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1A26A" w14:textId="4E2EB255" w:rsidR="00E040FD" w:rsidRDefault="00FE5799" w:rsidP="00FE5799">
      <w:pPr>
        <w:pStyle w:val="Pagedecouverture"/>
        <w:rPr>
          <w:noProof/>
        </w:rPr>
      </w:pPr>
      <w:bookmarkStart w:id="0" w:name="LW_BM_COVERPAGE"/>
      <w:r>
        <w:rPr>
          <w:noProof/>
        </w:rPr>
        <w:pict w14:anchorId="7E514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06D72F2-7499-4C64-92F7-1C72437E4060" style="width:455.25pt;height:452.25pt">
            <v:imagedata r:id="rId11" o:title=""/>
          </v:shape>
        </w:pict>
      </w:r>
    </w:p>
    <w:bookmarkEnd w:id="0"/>
    <w:p w14:paraId="0B51AFC5" w14:textId="77777777" w:rsidR="00E040FD" w:rsidRDefault="00E040FD">
      <w:pPr>
        <w:rPr>
          <w:noProof/>
        </w:rPr>
        <w:sectPr w:rsidR="00E040FD" w:rsidSect="00FE5799">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D5F6175" w14:textId="152E7379" w:rsidR="00E040FD" w:rsidRDefault="00740D64">
      <w:pPr>
        <w:pStyle w:val="P68B1DB1-Normal1"/>
        <w:jc w:val="center"/>
        <w:rPr>
          <w:noProof/>
        </w:rPr>
      </w:pPr>
      <w:bookmarkStart w:id="1" w:name="_GoBack"/>
      <w:bookmarkEnd w:id="1"/>
      <w:r>
        <w:rPr>
          <w:noProof/>
        </w:rPr>
        <w:lastRenderedPageBreak/>
        <w:t>BILAGA</w:t>
      </w:r>
    </w:p>
    <w:p w14:paraId="57574ED9" w14:textId="78CF222F" w:rsidR="00E040FD" w:rsidRDefault="00740D64">
      <w:pPr>
        <w:pStyle w:val="P68B1DB1-Normal2"/>
        <w:keepNext/>
        <w:tabs>
          <w:tab w:val="num" w:pos="850"/>
        </w:tabs>
        <w:spacing w:before="360" w:after="0" w:line="259" w:lineRule="auto"/>
        <w:ind w:left="850" w:hanging="850"/>
        <w:jc w:val="both"/>
        <w:outlineLvl w:val="0"/>
        <w:rPr>
          <w:rFonts w:eastAsiaTheme="majorEastAsia" w:cs="Times New Roman"/>
          <w:noProof/>
        </w:rPr>
      </w:pPr>
      <w:r>
        <w:rPr>
          <w:noProof/>
        </w:rPr>
        <w:t>AVSNITT 1: REFORMER OCH INVESTERINGAR INOM RAMEN FÖR ÅTERHÄMTNINGS- OCH RESILIENSPLANEN</w:t>
      </w:r>
    </w:p>
    <w:p w14:paraId="4B78C2C2"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72D463D7"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 xml:space="preserve">1. Beskrivning av reformer och investeringar </w:t>
      </w:r>
    </w:p>
    <w:p w14:paraId="5907275D" w14:textId="77777777" w:rsidR="00E040FD" w:rsidRDefault="00E040FD">
      <w:pPr>
        <w:keepNext/>
        <w:spacing w:before="40" w:after="0" w:line="259" w:lineRule="auto"/>
        <w:jc w:val="both"/>
        <w:rPr>
          <w:rFonts w:ascii="Times New Roman" w:eastAsiaTheme="minorEastAsia" w:hAnsi="Times New Roman" w:cs="Times New Roman"/>
          <w:i/>
          <w:noProof/>
          <w:sz w:val="24"/>
        </w:rPr>
      </w:pPr>
    </w:p>
    <w:p w14:paraId="027E0929" w14:textId="55751958"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A. KOMPONENT 1: Den nationella hälso- och sjukvården</w:t>
      </w:r>
    </w:p>
    <w:p w14:paraId="38320C5D" w14:textId="409087CF" w:rsidR="00E040FD" w:rsidRDefault="00740D64">
      <w:pPr>
        <w:pStyle w:val="P68B1DB1-Normal4"/>
        <w:keepNext/>
        <w:spacing w:before="40" w:after="0" w:line="259" w:lineRule="auto"/>
        <w:jc w:val="both"/>
        <w:rPr>
          <w:rFonts w:eastAsiaTheme="minorEastAsia" w:cs="Times New Roman"/>
          <w:noProof/>
        </w:rPr>
      </w:pPr>
      <w:r>
        <w:rPr>
          <w:noProof/>
        </w:rPr>
        <w:t>Denna del av Portugals återhämtnings- och resiliensplan tar itu med flera utmaningar som det portugisiska hälso- och sjukvårdssystemet för närvarande står inför när det gäller nuvarande och föränderliga vårdbehov och tillhörande kostnader. För det första sammanfaller Portugals negativa demografiska utveckling – som kännetecknas av ett allt snabbare åldrande och efterföljande behov av långvarig vård och omsorg – med förändrade sjukdomsmönster, en ökande börda med kroniska och degenerativa sjukdomar samt en ökande förekomst av multisjuklighet. För det andra finns det fortfarande en betydande dödlighet som går att undvika i Portugal och ett relativt lågt antal friska levnadsår vid 65 års ålder. För det tredje finns det utrymme för att lägga större fokus på hälsofrämjande och sjukdomsförebyggande åtgärder, i kombination med åtgärder mot fragmenteringen av hälso- och sjukvårdstjänster och bristerna i tillgången till hälso- och sjukvård. För det fjärde är patientavgifterna för hälso- och sjukvård bland de högsta i EU och den rapporterade ekonomiska bördan för hälso- och sjukvården är relativt hög. Slutligen har Portugals nationella hälso- och sjukvårdssystem stått inför en svår ekonomisk situation under ett antal år. Portugal har i synnerhet visat att regeringen vid upprepade tillfällen har räddat offentliga sjukhus, vilket inte har lyckats undvika en systematisk cykel av sjukhusens skuldsättning, med dominoeffekter på förhållandet mellan försörjningskedjan.</w:t>
      </w:r>
    </w:p>
    <w:p w14:paraId="7311148A" w14:textId="0249E23A" w:rsidR="00E040FD" w:rsidRDefault="00740D64">
      <w:pPr>
        <w:pStyle w:val="P68B1DB1-Normal4"/>
        <w:keepNext/>
        <w:spacing w:before="40" w:after="0" w:line="259" w:lineRule="auto"/>
        <w:jc w:val="both"/>
        <w:rPr>
          <w:rFonts w:eastAsia="Times New Roman" w:cs="Times New Roman"/>
          <w:noProof/>
        </w:rPr>
      </w:pPr>
      <w:r>
        <w:rPr>
          <w:noProof/>
        </w:rPr>
        <w:t>Huvudsyftet med denna del är att stärka kapaciteten hos Portugals nationella hälso- och sjukvårdssystem, i syfte att reagera på de demografiska och epidemiologiska förändringarna i landet, på terapeutisk och teknisk innovation och på trenden med ökande efterfrågan på hälso- och sjukvård och därmed sammanhängande kostnader. I detta syfte syftar komponenten till att stärka primärvårdstjänsternas centrala roll inom det nationella hälso- och sjukvårdssystemets övergripande struktur, utöka långtids- och psykisk hälso- och sjukvård och öka effektiviteten genom att slutföra reformen av styrningsmodellen för offentliga sjukhus och främja digitaliseringen av hälso- och sjukvårdstjänster.</w:t>
      </w:r>
    </w:p>
    <w:p w14:paraId="714DF149" w14:textId="77777777" w:rsidR="00E040FD" w:rsidRDefault="00740D64">
      <w:pPr>
        <w:pStyle w:val="P68B1DB1-Normal4"/>
        <w:spacing w:before="40" w:after="120" w:line="259" w:lineRule="auto"/>
        <w:jc w:val="both"/>
        <w:rPr>
          <w:rFonts w:eastAsiaTheme="minorEastAsia" w:cs="Times New Roman"/>
          <w:noProof/>
        </w:rPr>
      </w:pPr>
      <w:r>
        <w:rPr>
          <w:noProof/>
        </w:rPr>
        <w:t>Komponenten stöder genomförandet av den landsspecifika rekommendationen om stärkt övergripande utgiftskontroll, kostnadseffektivitet och adekvat budgetering, med fokus på en varaktig minskning av förfallna skulder på sjukhus (landsspecifik rekommendation 1 2019) samt den landsspecifika rekommendationen om att stärka hälso- och sjukvårdssystemets resiliens och säkerställa lika tillgång till hälso- och sjukvård och långvarig vård och omsorg av god kvalitet (landsspecifik rekommendation 1 2020). Komponenten bidrar också till att följa den landsspecifika rekommendationen om att inrikta investeringarna på den gröna och digitala omställningen (landsspecifik rekommendation 3 2020).</w:t>
      </w:r>
    </w:p>
    <w:p w14:paraId="562E60CC" w14:textId="5277BFA7" w:rsidR="00E040FD" w:rsidRDefault="00740D64">
      <w:pPr>
        <w:pStyle w:val="P68B1DB1-Normal4"/>
        <w:keepNext/>
        <w:spacing w:before="40" w:after="120" w:line="259" w:lineRule="auto"/>
        <w:jc w:val="both"/>
        <w:rPr>
          <w:rFonts w:eastAsiaTheme="minorEastAsia" w:cs="Times New Roman"/>
          <w:b/>
          <w:noProof/>
          <w:u w:val="single"/>
        </w:rPr>
      </w:pPr>
      <w:r>
        <w:rPr>
          <w:noProof/>
        </w:rPr>
        <w:t>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w:t>
      </w:r>
    </w:p>
    <w:p w14:paraId="4C4465E0" w14:textId="77777777" w:rsidR="00E040FD" w:rsidRDefault="00740D64">
      <w:pPr>
        <w:pStyle w:val="P68B1DB1-Normal3"/>
        <w:keepNext/>
        <w:spacing w:before="40" w:after="120" w:line="259" w:lineRule="auto"/>
        <w:ind w:left="130" w:firstLine="720"/>
        <w:jc w:val="both"/>
        <w:outlineLvl w:val="1"/>
        <w:rPr>
          <w:rFonts w:eastAsiaTheme="minorEastAsia" w:cs="Times New Roman"/>
          <w:noProof/>
        </w:rPr>
      </w:pPr>
      <w:r>
        <w:rPr>
          <w:noProof/>
        </w:rPr>
        <w:t>A.1 Beskrivning av reformer och investeringar avseende icke återbetalningspliktigt ekonomiskt stöd</w:t>
      </w:r>
    </w:p>
    <w:p w14:paraId="77050E33"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Reform RE-r01: Reform av primärvården</w:t>
      </w:r>
    </w:p>
    <w:p w14:paraId="17FEB3D7" w14:textId="77777777" w:rsidR="00E040FD" w:rsidRDefault="00740D64">
      <w:pPr>
        <w:pStyle w:val="P68B1DB1-Normal4"/>
        <w:keepNext/>
        <w:spacing w:before="40" w:after="0" w:line="259" w:lineRule="auto"/>
        <w:jc w:val="both"/>
        <w:rPr>
          <w:rFonts w:eastAsiaTheme="minorEastAsia" w:cs="Times New Roman"/>
          <w:noProof/>
          <w:u w:val="single"/>
        </w:rPr>
      </w:pPr>
      <w:r>
        <w:rPr>
          <w:noProof/>
        </w:rPr>
        <w:t>Reformens övergripande mål är att stärka primärvårdens centrala roll när det gäller att tillgodose befolkningens hälsobehov inom det nationella hälso- och sjukvårdssystemets övergripande struktur. Reformen syftar därför till att ta itu med sex prioriteringar: i) Förbättra kapaciteten för screening och tidig diagnos, nämligen för de vanligaste patologierna, II) stärka primärvårdens reaktionsförmåga genom att inrätta mer proaktiva vårdcentraler med en utökad tjänsteportfölj och insatsområden, samt mer integrerade med andra vårdnivåer, och genom att anpassa processerna till varje användares individuella egenskaper och den därmed sammanhängande livsstilen, minska de stora variationerna i kliniska metoder (även när det gäller receptbelagda öppenvårdsläkemedel), förbättra den kliniska remitteringen mellan olika nivåer av hälso- och sjukvård och eftersträva effektivitetsvinster genom att begränsa dubbleringen av tjänster eller tillhandahållandet av ineffektiv, olämplig eller lågvärdig vård. korrigering av regionala och lokala asymmetrier när det gäller de anläggningar och den utrustning som finns tillgänglig inom primärvården. IV) stödja samhällsbaserade insatser och inrättande av stödprogram för användare och deras familjer, med bättre deltagande av medborgare och samhällen, bland annat genom att slutföra överlämnandet av hälso- och sjukvårdsansvar från centrala till lokala myndigheter. v) Förbättra kompetensen hos hälso- och sjukvårdspersonalen, stärka det tvärvetenskapliga lagarbetet och öka antalet yrkesverksamma, inklusive specialister. och vi) genomföra den digitala omställningen av det nationella hälso- och sjukvårdssystemet och utnyttja dess potential att modernisera och förenkla användningen av hälso- och sjukvårdstjänster. I samband med detta ska reformen ge bättre ramvillkor för investeringar i primärvård.</w:t>
      </w:r>
    </w:p>
    <w:p w14:paraId="2145F595" w14:textId="182C1721" w:rsidR="00E040FD" w:rsidRDefault="00740D64">
      <w:pPr>
        <w:pStyle w:val="P68B1DB1-Normal4"/>
        <w:keepNext/>
        <w:spacing w:before="40" w:after="0" w:line="259" w:lineRule="auto"/>
        <w:jc w:val="both"/>
        <w:rPr>
          <w:rFonts w:eastAsiaTheme="minorEastAsia" w:cs="Times New Roman"/>
          <w:noProof/>
        </w:rPr>
      </w:pPr>
      <w:r>
        <w:rPr>
          <w:noProof/>
        </w:rPr>
        <w:t>Reformen ska bestå av genomförandet av flera lagar och andra författningar i syfte att i) breddning av ansvarsområden och insatsområden för grupper av vårdcentraler samt typologin för de funktionella enheter som de består av. II) se över den rättsliga ordningen för de funktionella enheternas organisation och funktion samt incitamentssystemet för de delar som de består av. III) utveckla ett riskstratifieringsinstrument för att stödja den kliniska styrningen i de funktionella enheterna i vårdcentralsgrupperna. och iv) slutföra överföringen av ansvaret på hälsoområdet från central förvaltning till kommuner.</w:t>
      </w:r>
    </w:p>
    <w:p w14:paraId="13EB0AA1" w14:textId="77777777" w:rsidR="00E040FD" w:rsidRDefault="00740D64">
      <w:pPr>
        <w:pStyle w:val="P68B1DB1-Normal4"/>
        <w:keepNext/>
        <w:spacing w:before="40" w:after="0" w:line="259" w:lineRule="auto"/>
        <w:jc w:val="both"/>
        <w:rPr>
          <w:rFonts w:eastAsiaTheme="minorEastAsia" w:cs="Times New Roman"/>
          <w:noProof/>
        </w:rPr>
      </w:pPr>
      <w:r>
        <w:rPr>
          <w:noProof/>
        </w:rPr>
        <w:t>Delmålet och målen för genomförandet av reformen ska vara slutförda senast den 31 december 2023.</w:t>
      </w:r>
    </w:p>
    <w:p w14:paraId="3B03907D"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Reform RE-r02: Reform av psykisk hälsa</w:t>
      </w:r>
    </w:p>
    <w:p w14:paraId="12CAE8A0" w14:textId="77777777" w:rsidR="00E040FD" w:rsidRDefault="00740D64">
      <w:pPr>
        <w:pStyle w:val="P68B1DB1-Normal4"/>
        <w:keepNext/>
        <w:spacing w:before="40" w:after="0" w:line="259" w:lineRule="auto"/>
        <w:jc w:val="both"/>
        <w:rPr>
          <w:rFonts w:eastAsiaTheme="minorEastAsia" w:cs="Times New Roman"/>
          <w:noProof/>
        </w:rPr>
      </w:pPr>
      <w:r>
        <w:rPr>
          <w:noProof/>
        </w:rPr>
        <w:t>Reformens övergripande mål är att förbättra den psykiska hälsan i Portugal. I detta syfte är reformen uppdelad i fem insatsområden: i) Avinstitutionalisering av patienter som bor på psykiatriska sjukhus eller på institutioner inom den sociala sektorn. II) komplettera den nationella täckningen av lokala psykiatriska hälso- och sjukvårdstjänster när det gäller sluten vård, öppenvård och närvård. III) utvidga det nationella nätverket för integrerad fortsatt vård, med fokus på psykisk hälsa. IV) omorganisering av rättspsykiatriska tjänster. och v) genomföra de regionala hälsoplanerna för demens.</w:t>
      </w:r>
    </w:p>
    <w:p w14:paraId="0D4AF41B" w14:textId="77777777" w:rsidR="00E040FD" w:rsidRDefault="00740D64">
      <w:pPr>
        <w:pStyle w:val="P68B1DB1-Normal4"/>
        <w:keepNext/>
        <w:spacing w:before="40" w:after="0" w:line="259" w:lineRule="auto"/>
        <w:jc w:val="both"/>
        <w:rPr>
          <w:rFonts w:eastAsiaTheme="minorEastAsia" w:cs="Times New Roman"/>
          <w:noProof/>
        </w:rPr>
      </w:pPr>
      <w:r>
        <w:rPr>
          <w:noProof/>
        </w:rPr>
        <w:t>Konkret ska reformen bestå av en översyn av den nuvarande lagen om psykisk hälsa – som ska fastställa de allmänna principerna för politiken för psykisk hälsa i Portugal och reglera obligatorisk internering av personer med psykiska störningar – och lagdekretet om psykisk hälsa – som ska fastställa de vägledande principerna för organisation, förvaltning och utvärdering av tjänster för psykisk hälsa. Bland annat ska följande ändringar införas i dessa rättsliga bestämmelser: införliva principerna i Förenta nationernas konvention om rättigheter för personer med funktionsnedsättning i lagstiftningen, och ii) öka självbestämmandet och den sunda förvaltningen av lokala tjänster för psykisk hälsa genom inrättande av integrerade centrum för ansvar. I samband med detta ska reformen ge bättre ramvillkor för investeringar i psykiatrisk vård.</w:t>
      </w:r>
    </w:p>
    <w:p w14:paraId="10338A6D" w14:textId="77777777" w:rsidR="00E040FD" w:rsidRDefault="00740D64">
      <w:pPr>
        <w:pStyle w:val="P68B1DB1-Normal4"/>
        <w:keepNext/>
        <w:spacing w:before="40" w:after="0" w:line="259" w:lineRule="auto"/>
        <w:jc w:val="both"/>
        <w:rPr>
          <w:rFonts w:eastAsiaTheme="minorEastAsia" w:cs="Times New Roman"/>
          <w:noProof/>
        </w:rPr>
        <w:sectPr w:rsidR="00E040FD" w:rsidSect="00787826">
          <w:headerReference w:type="even" r:id="rId18"/>
          <w:headerReference w:type="default" r:id="rId19"/>
          <w:footerReference w:type="even" r:id="rId20"/>
          <w:footerReference w:type="default" r:id="rId21"/>
          <w:headerReference w:type="first" r:id="rId22"/>
          <w:footerReference w:type="first" r:id="rId23"/>
          <w:pgSz w:w="11907" w:h="16839"/>
          <w:pgMar w:top="1134" w:right="1134" w:bottom="1134" w:left="1134" w:header="567" w:footer="567" w:gutter="0"/>
          <w:cols w:space="720"/>
          <w:docGrid w:linePitch="360"/>
        </w:sectPr>
      </w:pPr>
      <w:r>
        <w:rPr>
          <w:noProof/>
        </w:rPr>
        <w:t>De delmål som rör genomförandet av reformen ska vara slutförda senast den 31 mars 2023.</w:t>
      </w:r>
    </w:p>
    <w:p w14:paraId="3F67CEFA"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Reform RE-r03: Slutförande av reformen av styrningsmodellen för offentliga sjukhus</w:t>
      </w:r>
    </w:p>
    <w:p w14:paraId="0C7C138E" w14:textId="77777777" w:rsidR="00E040FD" w:rsidRDefault="00740D64">
      <w:pPr>
        <w:pStyle w:val="P68B1DB1-Normal4"/>
        <w:keepNext/>
        <w:spacing w:before="40" w:after="0" w:line="259" w:lineRule="auto"/>
        <w:jc w:val="both"/>
        <w:rPr>
          <w:rFonts w:eastAsiaTheme="minorEastAsia" w:cs="Times New Roman"/>
          <w:noProof/>
        </w:rPr>
      </w:pPr>
      <w:r>
        <w:rPr>
          <w:noProof/>
        </w:rPr>
        <w:t>Reformens övergripande mål är att öka effektiviteten på sjukhusen inom det nationella hälso- och sjukvårdssystemet. I detta syfte syftar den till att i) reformera organisationen och den interna förvaltningen av offentliga sjukhus, II) omkonfigurera sjukhusnätverket i enlighet med kapacitetsplaneringen när det gäller efterfrågan på tjänster och tillgång på mänskliga resurser och infrastruktur. förbättra samordningen med andra delar av det nationella hälso- och sjukvårdssystemet, nämligen med primärvård och psykiatrisk vård, samt med palliativa och integrerade vårdnätverk. IV) involvera hälso- och sjukvårdspersonal och förmedlande strukturer i förvaltningen av offentliga sjukhus. och v) fokusera insatserna på medborgarnas verkliga behov av hälsa och välbefinnande.</w:t>
      </w:r>
    </w:p>
    <w:p w14:paraId="0F06F40C" w14:textId="77777777" w:rsidR="00E040FD" w:rsidRDefault="00740D64">
      <w:pPr>
        <w:pStyle w:val="P68B1DB1-Normal4"/>
        <w:keepNext/>
        <w:spacing w:before="40" w:after="0" w:line="259" w:lineRule="auto"/>
        <w:jc w:val="both"/>
        <w:rPr>
          <w:rFonts w:eastAsiaTheme="minorEastAsia" w:cs="Times New Roman"/>
          <w:noProof/>
        </w:rPr>
      </w:pPr>
      <w:r>
        <w:rPr>
          <w:noProof/>
        </w:rPr>
        <w:t>Objektiva mått för att bedöma sjukhuschefernas resultat ska ingå i förvaltningskontrakten, med en bedömning av både tjänsternas kvalitet och de offentliga sjukhusens ekonomiska situation. Detta ska bidra till att säkerställa överensstämmelse med regeringens hälsopolitiska prioriteringar och till en mer förutsägbar förvaltning av sjukhusresurser, där autonomi kombineras med förstärkt övervakning och ansvarsskyldighet. Genomförandet av de moderniserade förvaltningskontrakten ska ske gradvis och prioriteras i enlighet med de offentliga sjukhusens effektivitet, dimension och geografiska fördelning. Dessutom ska hälso- och finansministeriernas övervakningsroll stärkas för att säkerställa en integrerad och enhetlig strategi för att bedöma sjukhusens resultat och i god tid korrigera avvikelser från de godkända budgetarna.</w:t>
      </w:r>
    </w:p>
    <w:p w14:paraId="18CD3273" w14:textId="77777777" w:rsidR="00E040FD" w:rsidRDefault="00740D64">
      <w:pPr>
        <w:pStyle w:val="P68B1DB1-Normal4"/>
        <w:keepNext/>
        <w:spacing w:before="40" w:after="0" w:line="259" w:lineRule="auto"/>
        <w:jc w:val="both"/>
        <w:rPr>
          <w:rFonts w:eastAsiaTheme="minorEastAsia" w:cs="Times New Roman"/>
          <w:noProof/>
        </w:rPr>
      </w:pPr>
      <w:r>
        <w:rPr>
          <w:noProof/>
        </w:rPr>
        <w:t>Dessutom ska de centraliserade inköpen stärkas i syfte att uppnå ytterligare effektivitetsbesparingar, särskilt genom att följa rekommendationerna från en nyligen genomförd oberoende utvärdering. I synnerhet ska centraliserade inköp utvidgas till att omfatta medicinsk utrustning och medicintekniska produkter. Dessutom planeras en förbättring av den interna förvaltningen av offentliga sjukhus, särskilt genom inrättande av integrerade ansvarscentrum och genomförande av resultatbaserade ersättningssystem som är tillämpliga på enheter som är knutna till sådana centrum. I samband med detta ska ett system för fullständigt engagemang för det nationella hälso- och sjukvårdssystemet för hälso- och sjukvårdspersonal träda i kraft.</w:t>
      </w:r>
    </w:p>
    <w:p w14:paraId="13152133" w14:textId="77777777" w:rsidR="00E040FD" w:rsidRDefault="00740D64">
      <w:pPr>
        <w:pStyle w:val="P68B1DB1-Normal4"/>
        <w:keepNext/>
        <w:spacing w:before="40" w:after="0" w:line="259" w:lineRule="auto"/>
        <w:jc w:val="both"/>
        <w:rPr>
          <w:rFonts w:eastAsiaTheme="minorEastAsia" w:cs="Times New Roman"/>
          <w:noProof/>
        </w:rPr>
      </w:pPr>
      <w:r>
        <w:rPr>
          <w:noProof/>
        </w:rPr>
        <w:t>Dessutom ska åtgärden omfatta initiativ för att omforma sjukhusnätverket för att säkerställa en bättre koppling mellan olika tjänster. I synnerhet ska åtgärder för hembaserad sjukhusvistelse vidareutvecklas för att tillhandahålla sjukhusvård i patientens hem, i nära samverkan med primärvården, det nationella nätverket av integrerade kontinuerliga vårdtjänster, den sociala sektorn och lokalsamhällena. Dessutom ska den nationella hälso- och sjukvårdsmyndighetens laboratoriekapacitet för diagnostisering av infektionssjukdomar stärkas och dess kapacitet för intensivvård ökas.</w:t>
      </w:r>
    </w:p>
    <w:p w14:paraId="2CA75694" w14:textId="77777777" w:rsidR="00E040FD" w:rsidRDefault="00740D64">
      <w:pPr>
        <w:pStyle w:val="P68B1DB1-Normal4"/>
        <w:keepNext/>
        <w:spacing w:before="40" w:after="0" w:line="259" w:lineRule="auto"/>
        <w:jc w:val="both"/>
        <w:rPr>
          <w:rFonts w:eastAsiaTheme="minorEastAsia" w:cs="Times New Roman"/>
          <w:noProof/>
        </w:rPr>
      </w:pPr>
      <w:r>
        <w:rPr>
          <w:noProof/>
        </w:rPr>
        <w:t>Genomförandet av reformen ska vara slutfört senast den 31 december 2025.</w:t>
      </w:r>
    </w:p>
    <w:p w14:paraId="2AB13652"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 RE-C01-i01: Primärvård med fler svar</w:t>
      </w:r>
    </w:p>
    <w:p w14:paraId="6B7DB75C" w14:textId="77777777" w:rsidR="00E040FD" w:rsidRDefault="00740D64">
      <w:pPr>
        <w:pStyle w:val="P68B1DB1-Normal4"/>
        <w:keepNext/>
        <w:spacing w:before="40" w:after="0" w:line="259" w:lineRule="auto"/>
        <w:jc w:val="both"/>
        <w:rPr>
          <w:rFonts w:eastAsia="Times New Roman" w:cs="Times New Roman"/>
          <w:noProof/>
        </w:rPr>
      </w:pPr>
      <w:r>
        <w:rPr>
          <w:noProof/>
        </w:rPr>
        <w:t>Syftet med denna investering är att utvidga primärvården och stärka primärvårdstjänsternas centrala roll när det gäller att tillgodose befolkningens hälsobehov inom ramen för det nationella hälso- och sjukvårdssystemets övergripande struktur. Investeringen bygger på reformen av primärvården.</w:t>
      </w:r>
    </w:p>
    <w:p w14:paraId="50F040E1" w14:textId="77777777" w:rsidR="00E040FD" w:rsidRDefault="00740D64">
      <w:pPr>
        <w:pStyle w:val="P68B1DB1-Normal4"/>
        <w:keepNext/>
        <w:spacing w:before="40" w:after="0" w:line="259" w:lineRule="auto"/>
        <w:jc w:val="both"/>
        <w:rPr>
          <w:rFonts w:eastAsia="Times New Roman" w:cs="Times New Roman"/>
          <w:noProof/>
        </w:rPr>
      </w:pPr>
      <w:r>
        <w:rPr>
          <w:noProof/>
        </w:rPr>
        <w:t>Investeringen ska omfatta följande initiativ:</w:t>
      </w:r>
    </w:p>
    <w:p w14:paraId="2BF5C657" w14:textId="77777777" w:rsidR="00E040FD" w:rsidRDefault="00740D64">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För det första ska flera delinvesteringar förbättra tillgången till, kvaliteten på och effektiviteten hos primärvården och därigenom bidra till att komplettera den nationella täckningen av screeningprogram och stärka kapaciteten för tidig diagnos. Dessa ska omfatta följande: i) utvidga cancerscreeningen till alla vårdcentraler, även för tjock- och ändtarmscancer och livmoderhalscancer, II) utvidga screeningen för diabetisk retinopati till alla vårdcentraler, ge alla vårdcentraler kapacitet att mäta C-reaktivt protein. IV) utrusta vårdcentralsgrupper med spirometrar för tidig diagnos, övervakning och behandling av astma, kronisk obstruktiv lungsjukdom och rökning. v) förse hälso- och sjukvårdsenheterna med Holterutrustning och ambulatorisk blodtrycksövervakning. vi) utvidga samråden med diabetisk fot till alla grupper av vårdcentraler. VII) Antagande av individuella vårdplaner för komplexa och multimoranta patienter. VIII) Fastställande av remitteringsprotokoll inom de mest efterfrågade vårdområdena, nämligen oftalmologi, otorhinolaryngologi, ortopedi och urologi. och ix) färdigställa det integrerade informationssystemet som ska underlätta remittering av patienter mellan olika nivåer av hälso- och sjukvård.</w:t>
      </w:r>
    </w:p>
    <w:p w14:paraId="0EC6BFD7" w14:textId="77777777" w:rsidR="00E040FD" w:rsidRDefault="00740D64">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För det andra ska andra delinvesteringar inriktas på att utvidga insatsområdena för grupper av vårdcentraler och därigenom öka insatskapaciteten på denna nivå av hälso- och sjukvård och stärka utbudet av medicinska specialiteter genom att stärka det specialiserade arbetet och lagarbetet vid hälso- och sjukvårdsenheterna. Dessa ska i detalj omfatta följande: i) Installation av tandläkarmottagningar på vårdcentraler, II) inrätta integrerade diagnoscentrum (som åtminstone omfattar röntgenanalyser och kliniska analyser) i vårdcentralsgrupper, III) skapa rehabiliteringstjänster vid vårdcentraler (lämpliga fysiska utrymmen och rehabilitering, tvärvetenskapliga och tvärvetenskapliga team), IV) förse alla vårdcentraler med utrustning (nödväska, defibrillator och övervakning av vitala skyltar) för kvalificerade akutinsatser (grundläggande livsuppehåll). och v) öka takten i programmet för att minska den otillräckliga och/eller förebyggande användningen av akutsjukvård.</w:t>
      </w:r>
    </w:p>
    <w:p w14:paraId="79BA5279" w14:textId="43FCD498" w:rsidR="00E040FD" w:rsidRDefault="00740D64">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För det tredje ska ytterligare delinvesteringar omfatta uppgradering av anläggningar och utrustning vid vårdcentraler, ökad energieffektivitet, säkerställande av villkor för tillgänglighet, kvalitet, komfort och säkerhet för patienter och yrkesverksamma samt anpassning av dem till nya modeller för tillhandahållande av hälso- och sjukvård. Dessa ska i detalj omfatta bland annat följande: i) bygga 124 nya vårdcentraler, II) renovering eller anpassning av 347 hälso- och sjukvårdsinrättningar för att öka energieffektiviteten, följa beredskapsplanerna och säkerställa tillgänglighet, sanitär säkerhet och komfort. och iii) uppgradering av hälso- och sjukvårdsutrustning.</w:t>
      </w:r>
    </w:p>
    <w:p w14:paraId="7BFAF513" w14:textId="77777777" w:rsidR="00E040FD" w:rsidRDefault="00740D64">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För det fjärde ska ytterligare delinvesteringar inriktas på att förbättra närhetssvar, med fokus på hemvård och samhällsbaserad vård, ingripande i de mest riskutsatta befolkningsgrupperna och främjande av avinstitutionalisering och öppenvård. Dessa ska i detalj omfatta följande: i) förse vårdcentraler med elfordon för att stödja tillhandahållandet av vård i hemmet, utvidgning av antalet mobila enheter till att omfatta regioner med låg befolkningstäthet. ge vårdcentraler tekniska förutsättningar att utföra telekonsultationer och telemonitorering av kroniska sjukdomar, t.ex. vid hjärtsvikt. IV) Förstärkning av lokala vårdenheter och grupper av integrerad fortsatt vård. v) skapa lokala team för att stödja palliativ vård vid vårdcentraler. och vi) skapa psykosociala interventionsprogram för vanliga psykiska sjukdomar (depression och ångest) på vårdcentraler.</w:t>
      </w:r>
    </w:p>
    <w:p w14:paraId="6598C353" w14:textId="351C8CDE" w:rsidR="00E040FD" w:rsidRDefault="00740D64">
      <w:pPr>
        <w:pStyle w:val="P68B1DB1-Normal4"/>
        <w:keepNext/>
        <w:tabs>
          <w:tab w:val="left" w:pos="426"/>
        </w:tabs>
        <w:spacing w:before="40" w:after="0" w:line="259" w:lineRule="auto"/>
        <w:jc w:val="both"/>
        <w:rPr>
          <w:rFonts w:eastAsiaTheme="minorEastAsia" w:cs="Times New Roman"/>
          <w:noProof/>
        </w:rPr>
      </w:pPr>
      <w:r>
        <w:rPr>
          <w:noProof/>
        </w:rPr>
        <w:t>Investeringen ska vara genomförd senast den 30 juni 2026.</w:t>
      </w:r>
    </w:p>
    <w:p w14:paraId="2354E762" w14:textId="0B3D6010" w:rsidR="00E040FD" w:rsidRDefault="00E040FD">
      <w:pPr>
        <w:keepNext/>
        <w:tabs>
          <w:tab w:val="left" w:pos="426"/>
        </w:tabs>
        <w:spacing w:before="40" w:after="0" w:line="259" w:lineRule="auto"/>
        <w:jc w:val="both"/>
        <w:rPr>
          <w:rFonts w:ascii="Times New Roman" w:eastAsiaTheme="minorEastAsia" w:hAnsi="Times New Roman" w:cs="Times New Roman"/>
          <w:noProof/>
          <w:sz w:val="24"/>
        </w:rPr>
      </w:pPr>
    </w:p>
    <w:p w14:paraId="4C9B07E6" w14:textId="77777777" w:rsidR="00E040FD" w:rsidRDefault="00E040FD">
      <w:pPr>
        <w:keepNext/>
        <w:tabs>
          <w:tab w:val="left" w:pos="426"/>
        </w:tabs>
        <w:spacing w:before="40" w:after="0" w:line="259" w:lineRule="auto"/>
        <w:jc w:val="both"/>
        <w:rPr>
          <w:rFonts w:ascii="Times New Roman" w:eastAsia="Times New Roman" w:hAnsi="Times New Roman" w:cs="Times New Roman"/>
          <w:noProof/>
          <w:sz w:val="24"/>
        </w:rPr>
      </w:pPr>
    </w:p>
    <w:p w14:paraId="308A36DF" w14:textId="77777777" w:rsidR="00E040FD" w:rsidRDefault="00740D64">
      <w:pPr>
        <w:pStyle w:val="P68B1DB1-Normal5"/>
        <w:keepNext/>
        <w:spacing w:before="240" w:after="0" w:line="259" w:lineRule="auto"/>
        <w:ind w:left="851"/>
        <w:jc w:val="both"/>
        <w:outlineLvl w:val="2"/>
        <w:rPr>
          <w:rFonts w:eastAsia="Times New Roman" w:cs="Times New Roman"/>
          <w:noProof/>
        </w:rPr>
      </w:pPr>
      <w:r>
        <w:rPr>
          <w:noProof/>
        </w:rPr>
        <w:t>Investering RE-C01-i02: Nationellt nätverk för integrerad kontinuerlig vård och nationellt nätverk för förebyggande vård</w:t>
      </w:r>
    </w:p>
    <w:p w14:paraId="4167DC2F" w14:textId="77777777" w:rsidR="00E040FD" w:rsidRDefault="00740D64">
      <w:pPr>
        <w:pStyle w:val="P68B1DB1-Normal4"/>
        <w:keepNext/>
        <w:spacing w:before="40" w:after="0" w:line="259" w:lineRule="auto"/>
        <w:jc w:val="both"/>
        <w:rPr>
          <w:rFonts w:eastAsia="Times New Roman" w:cs="Times New Roman"/>
          <w:noProof/>
        </w:rPr>
      </w:pPr>
      <w:r>
        <w:rPr>
          <w:noProof/>
        </w:rPr>
        <w:t>Syftet med investeringen är att utöka de nationella nätverken av palliativ och integrerad fortsatt vård, både när det gäller behandling inom och utanför vården samt hembaserad vård. Investeringen stöds av reformen av en nationell strategi för inkludering av personer med funktionsnedsättning som presenteras i del 3 om sociala åtgärder och är en del av Portugals avinstitutionaliseringsstrategi och övergripande strävan att ta itu med de negativa demografiska trender som landet står inför.</w:t>
      </w:r>
    </w:p>
    <w:p w14:paraId="4876C261" w14:textId="5574ACD9" w:rsidR="00E040FD" w:rsidRDefault="00740D64">
      <w:pPr>
        <w:pStyle w:val="P68B1DB1-Normal4"/>
        <w:keepNext/>
        <w:spacing w:before="40" w:after="0" w:line="259" w:lineRule="auto"/>
        <w:jc w:val="both"/>
        <w:rPr>
          <w:rFonts w:eastAsia="Times New Roman" w:cs="Times New Roman"/>
          <w:noProof/>
        </w:rPr>
      </w:pPr>
      <w:r>
        <w:rPr>
          <w:noProof/>
        </w:rPr>
        <w:t>Investeringen ska bestå av ett strukturerat och stegvist program för att ge ekonomiskt stöd till projektledare från den offentliga, sociala eller privata sektorn i syfte att i) utvidga det nationella nätverket av integrerad kontinuerlig vård med 5 500 bäddar (antingen i befintliga eller nya enheter), II) skapa 20 dagsenheter för att främja självständighet, i syfte att övervaka 500 öppenpatienter. III) inrätta 50 team med integrerad kontinuerlig vård i hemmet för att svara på 1 000 patienter i hemmet (inklusive utrustning och elfordon). IV) utöka de integrerade insatserna för psykisk hälsa på 1 000 platser, i 50 bostäder och social- och yrkesgrupper (stöd till nya reaktioner eller utvidgning av befintliga insatser). V) skapa upp till 100 platser i 10 team för stöd till psykisk hälsa i hemmet (stöd till anskaffning av nödvändiga materiella resurser och elfordon för teamets verksamhet). vi) utvidga det nationella nätverket för förebyggande vård med 20 palliativa vårdenheter med låg komplexitet för att svara på 400 patienter. och vii) skapa upp till 100 platser i 10 lokala palliativa vårdgrupper (stöd till förvärv av nödvändiga materiella resurser och elfordon för teamets verksamhet).</w:t>
      </w:r>
    </w:p>
    <w:p w14:paraId="0F0BCBC6" w14:textId="77777777" w:rsidR="00E040FD" w:rsidRDefault="00740D64">
      <w:pPr>
        <w:pStyle w:val="P68B1DB1-Normal4"/>
        <w:keepNext/>
        <w:spacing w:before="40" w:after="0" w:line="259" w:lineRule="auto"/>
        <w:jc w:val="both"/>
        <w:rPr>
          <w:rFonts w:eastAsia="Times New Roman" w:cs="Times New Roman"/>
          <w:noProof/>
        </w:rPr>
      </w:pPr>
      <w:r>
        <w:rPr>
          <w:noProof/>
        </w:rPr>
        <w:t>Investeringen ska vara genomförd senast den 31 december 2025.</w:t>
      </w:r>
    </w:p>
    <w:p w14:paraId="529517D0" w14:textId="77777777" w:rsidR="00E040FD" w:rsidRDefault="00740D64">
      <w:pPr>
        <w:pStyle w:val="P68B1DB1-Normal5"/>
        <w:keepNext/>
        <w:spacing w:before="240" w:after="0" w:line="259" w:lineRule="auto"/>
        <w:ind w:left="851"/>
        <w:jc w:val="both"/>
        <w:outlineLvl w:val="2"/>
        <w:rPr>
          <w:rFonts w:eastAsia="Times New Roman" w:cs="Times New Roman"/>
          <w:noProof/>
        </w:rPr>
      </w:pPr>
      <w:r>
        <w:rPr>
          <w:noProof/>
        </w:rPr>
        <w:t>Investering RE-C01-i03: Slutförande av reformen av den psykiska hälsan och genomförandet av strategin för demens</w:t>
      </w:r>
    </w:p>
    <w:p w14:paraId="3CBF58D6" w14:textId="77777777" w:rsidR="00E040FD" w:rsidRDefault="00740D64">
      <w:pPr>
        <w:pStyle w:val="P68B1DB1-Normal4"/>
        <w:keepNext/>
        <w:spacing w:before="40" w:after="0" w:line="259" w:lineRule="auto"/>
        <w:jc w:val="both"/>
        <w:rPr>
          <w:rFonts w:eastAsia="Times New Roman" w:cs="Times New Roman"/>
          <w:noProof/>
        </w:rPr>
      </w:pPr>
      <w:r>
        <w:rPr>
          <w:noProof/>
        </w:rPr>
        <w:t>Syftet med investeringen är att stödja genomförandet av reformen av den psykiska vården och på så sätt bidra till att utöka och stärka den nationella hälso- och sjukvårdsmyndighetens insatskapacitet på området psykisk hälsa.</w:t>
      </w:r>
    </w:p>
    <w:p w14:paraId="13BFCE28" w14:textId="77777777" w:rsidR="00E040FD" w:rsidRDefault="00740D64">
      <w:pPr>
        <w:pStyle w:val="P68B1DB1-Normal4"/>
        <w:keepNext/>
        <w:spacing w:before="40" w:after="0" w:line="259" w:lineRule="auto"/>
        <w:jc w:val="both"/>
        <w:rPr>
          <w:rFonts w:eastAsia="Times New Roman" w:cs="Times New Roman"/>
          <w:noProof/>
        </w:rPr>
      </w:pPr>
      <w:r>
        <w:rPr>
          <w:noProof/>
        </w:rPr>
        <w:t>Investeringen ska bestå av kompletterande delinvesteringar i anläggningar, strukturer och mänskliga resurser, nämligen i) skapa boendetjänster i samhället som gör det möjligt att avinstitutionalisera patienter som bor på psykiatriska sjukhus eller inom den sociala sektorn och som inte drar nytta av det nationella nätverket av integrerad kontinuerlig vård, inbegripet en ökning med 500 platser för psykisk vård i det nationella nätverket av integrerad fortsatt vård på området psykisk hälsa, II) bygga fyra vårdinrättningar på allmänna sjukhus, så att akutmottagningen på psykiatriska sjukhus elimineras. III) inrätta 15 integrerade ansvarscentrum för att övervinna hinder för tillhandahållande av vård utanför sjukhus, med en större grad av självständighet och ansvarsskyldighet. IV) renovering av 20 befintliga anläggningar för lokal psykiatrisk vård. V) bilda 40 grupper för psykisk hälsa i samhället. vi) omformning, utvidgning och renovering av kriminaltekniska psykiatriska tjänster. och vii) utveckla medvetandehöjande åtgärder och utbildningsåtgärder för att ”bygga upp patienternas vägar” i samband med demenssjukdomar.</w:t>
      </w:r>
    </w:p>
    <w:p w14:paraId="405481CA" w14:textId="728AE455" w:rsidR="00E040FD" w:rsidRDefault="00740D64">
      <w:pPr>
        <w:pStyle w:val="P68B1DB1-Normal4"/>
        <w:keepNext/>
        <w:spacing w:before="40" w:after="0" w:line="259" w:lineRule="auto"/>
        <w:jc w:val="both"/>
        <w:rPr>
          <w:rFonts w:eastAsia="Times New Roman" w:cs="Times New Roman"/>
          <w:noProof/>
        </w:rPr>
      </w:pPr>
      <w:r>
        <w:rPr>
          <w:noProof/>
        </w:rPr>
        <w:t>Investeringen ska vara genomförd senast den 31 december 2025.</w:t>
      </w:r>
    </w:p>
    <w:p w14:paraId="556692A7" w14:textId="5B150195" w:rsidR="00E040FD" w:rsidRDefault="00E040FD">
      <w:pPr>
        <w:keepNext/>
        <w:spacing w:before="40" w:after="0" w:line="259" w:lineRule="auto"/>
        <w:jc w:val="both"/>
        <w:rPr>
          <w:rFonts w:ascii="Times New Roman" w:eastAsia="Times New Roman" w:hAnsi="Times New Roman" w:cs="Times New Roman"/>
          <w:noProof/>
          <w:sz w:val="24"/>
        </w:rPr>
      </w:pPr>
    </w:p>
    <w:p w14:paraId="4FEAA711" w14:textId="77777777" w:rsidR="00E040FD" w:rsidRDefault="00E040FD">
      <w:pPr>
        <w:keepNext/>
        <w:spacing w:before="40" w:after="0" w:line="259" w:lineRule="auto"/>
        <w:jc w:val="both"/>
        <w:rPr>
          <w:rFonts w:ascii="Times New Roman" w:eastAsia="Times New Roman" w:hAnsi="Times New Roman" w:cs="Times New Roman"/>
          <w:noProof/>
          <w:sz w:val="24"/>
        </w:rPr>
      </w:pPr>
    </w:p>
    <w:p w14:paraId="0503F123" w14:textId="15B27731" w:rsidR="00E040FD" w:rsidRDefault="00740D64">
      <w:pPr>
        <w:pStyle w:val="P68B1DB1-Normal5"/>
        <w:keepNext/>
        <w:spacing w:before="240" w:after="0" w:line="259" w:lineRule="auto"/>
        <w:ind w:left="851"/>
        <w:jc w:val="both"/>
        <w:outlineLvl w:val="2"/>
        <w:rPr>
          <w:rFonts w:eastAsia="Times New Roman" w:cs="Times New Roman"/>
          <w:noProof/>
        </w:rPr>
      </w:pPr>
      <w:r>
        <w:rPr>
          <w:noProof/>
        </w:rPr>
        <w:t>Investering RE-C01-i04: Uppförande av sjukhus i östra Lissabon och utrustning för sjukhus i Lissabon och Vale do Tejo</w:t>
      </w:r>
    </w:p>
    <w:p w14:paraId="03467B86" w14:textId="790B987B" w:rsidR="00E040FD" w:rsidRDefault="00740D64">
      <w:pPr>
        <w:pStyle w:val="P68B1DB1-Normal4"/>
        <w:keepNext/>
        <w:spacing w:before="40" w:after="0" w:line="259" w:lineRule="auto"/>
        <w:jc w:val="both"/>
        <w:rPr>
          <w:rFonts w:eastAsia="Times New Roman" w:cs="Times New Roman"/>
          <w:noProof/>
        </w:rPr>
      </w:pPr>
      <w:r>
        <w:rPr>
          <w:noProof/>
        </w:rPr>
        <w:t>Syftet med investeringen är att slutföra byggandet av en del av det planerade sjukhuset i östra Lissabon och utrusta sjukhusen i Lissabon och Vale do Tejo, för att på så sätt stärka sjukhusnätverket och utbudet av sjukhusvård i en tätbefolkad region där efterfrågan på hälso- och sjukvårdstjänster är betydande. Detta syftar till att säkerställa bättre tillgång till hälso- och sjukvård för en betydande del av befolkningen och bidra till att minska ojämlikheten och den sociala sammanhållningen i regionen.</w:t>
      </w:r>
    </w:p>
    <w:p w14:paraId="119C3D2D" w14:textId="68C14379" w:rsidR="00E040FD" w:rsidRDefault="00740D64">
      <w:pPr>
        <w:pStyle w:val="P68B1DB1-Normal4"/>
        <w:keepNext/>
        <w:spacing w:before="40" w:after="0" w:line="259" w:lineRule="auto"/>
        <w:jc w:val="both"/>
        <w:rPr>
          <w:rFonts w:eastAsia="Times New Roman" w:cs="Times New Roman"/>
          <w:noProof/>
        </w:rPr>
      </w:pPr>
      <w:r>
        <w:rPr>
          <w:noProof/>
        </w:rPr>
        <w:t>Investeringen ska bestå av följande:</w:t>
      </w:r>
    </w:p>
    <w:p w14:paraId="25F5E9CC" w14:textId="7585701E" w:rsidR="00E040FD" w:rsidRDefault="00740D64">
      <w:pPr>
        <w:pStyle w:val="ListParagraph"/>
        <w:numPr>
          <w:ilvl w:val="0"/>
          <w:numId w:val="72"/>
        </w:numPr>
        <w:spacing w:before="40" w:after="0"/>
        <w:rPr>
          <w:rFonts w:eastAsia="Times New Roman"/>
          <w:noProof/>
        </w:rPr>
      </w:pPr>
      <w:r>
        <w:rPr>
          <w:noProof/>
        </w:rPr>
        <w:t xml:space="preserve"> uppförande av en del av sjukhuset i östra Lissabon, nämligen i) Poente-tornet, som är ett av de fem tornen i huvudsjukhusbyggnaden, ii) byggnaden i tomt B, som är avsedd för bland annat administrativa områden, psykisk hälsa, fysik och rehabiliteringsmedicin, och iii) byggnaden i område C, som är avsedd för bland annat forskning och utbildning. </w:t>
      </w:r>
    </w:p>
    <w:p w14:paraId="7C5B0F72" w14:textId="2D36EDF8" w:rsidR="00E040FD" w:rsidRDefault="00740D64">
      <w:pPr>
        <w:pStyle w:val="ListParagraph"/>
        <w:numPr>
          <w:ilvl w:val="0"/>
          <w:numId w:val="72"/>
        </w:numPr>
        <w:spacing w:before="40" w:after="0"/>
        <w:rPr>
          <w:rFonts w:eastAsia="Times New Roman"/>
          <w:noProof/>
        </w:rPr>
      </w:pPr>
      <w:r>
        <w:rPr>
          <w:noProof/>
        </w:rPr>
        <w:t xml:space="preserve">inköp av utrustning som ska installeras på sjukhuset i östra Lissabon och det nya sjukhuset i Sintra. </w:t>
      </w:r>
    </w:p>
    <w:p w14:paraId="4C6CEAA9" w14:textId="7DDA0E9B" w:rsidR="00E040FD" w:rsidRDefault="00740D64">
      <w:pPr>
        <w:pStyle w:val="ListParagraph"/>
        <w:numPr>
          <w:ilvl w:val="0"/>
          <w:numId w:val="72"/>
        </w:numPr>
        <w:spacing w:before="40" w:after="0"/>
        <w:rPr>
          <w:rFonts w:eastAsia="Times New Roman"/>
          <w:noProof/>
        </w:rPr>
      </w:pPr>
      <w:r>
        <w:rPr>
          <w:noProof/>
        </w:rPr>
        <w:t>inköp av tung medicinsk utrustning som ska installeras på sjukhus i Lissabon och regionen Vale do Tejo.</w:t>
      </w:r>
    </w:p>
    <w:p w14:paraId="41FD72CF" w14:textId="14FAD427" w:rsidR="00E040FD" w:rsidRDefault="00740D64">
      <w:pPr>
        <w:pStyle w:val="P68B1DB1-Normal4"/>
        <w:spacing w:before="40" w:after="0"/>
        <w:ind w:left="420"/>
        <w:rPr>
          <w:rFonts w:eastAsia="Times New Roman" w:cs="Times New Roman"/>
          <w:noProof/>
        </w:rPr>
      </w:pPr>
      <w:r>
        <w:rPr>
          <w:noProof/>
        </w:rPr>
        <w:t>Den utrustning som ska installeras på sjukhuset i östra Lissabon och det nya sjukhuset i Sintra ska omfatta följande: klinisk, medicinsk och högteknologisk utrustning. allmän utrustning, inklusive specialmöbler. och iii) datorutrustning.</w:t>
      </w:r>
    </w:p>
    <w:p w14:paraId="6CDC5B0F" w14:textId="21852E7C" w:rsidR="00E040FD" w:rsidRDefault="00740D64">
      <w:pPr>
        <w:pStyle w:val="P68B1DB1-Normal4"/>
        <w:spacing w:before="40" w:after="0"/>
        <w:ind w:left="420"/>
        <w:rPr>
          <w:rFonts w:eastAsia="Times New Roman" w:cs="Times New Roman"/>
          <w:noProof/>
        </w:rPr>
        <w:sectPr w:rsidR="00E040FD" w:rsidSect="00787826">
          <w:headerReference w:type="even" r:id="rId24"/>
          <w:headerReference w:type="default" r:id="rId25"/>
          <w:footerReference w:type="even" r:id="rId26"/>
          <w:footerReference w:type="default" r:id="rId27"/>
          <w:headerReference w:type="first" r:id="rId28"/>
          <w:footerReference w:type="first" r:id="rId29"/>
          <w:pgSz w:w="11907" w:h="16839"/>
          <w:pgMar w:top="1134" w:right="1134" w:bottom="1134" w:left="1134" w:header="567" w:footer="567" w:gutter="0"/>
          <w:cols w:space="720"/>
          <w:docGrid w:linePitch="360"/>
        </w:sectPr>
      </w:pPr>
      <w:r>
        <w:rPr>
          <w:noProof/>
        </w:rPr>
        <w:t>Investeringen ska vara genomförd senast den 30 juni 2026.</w:t>
      </w:r>
    </w:p>
    <w:p w14:paraId="5E298467" w14:textId="77777777" w:rsidR="00E040FD" w:rsidRDefault="00E040FD">
      <w:pPr>
        <w:spacing w:before="40" w:after="0"/>
        <w:ind w:left="420"/>
        <w:rPr>
          <w:rFonts w:ascii="Times New Roman" w:eastAsia="Times New Roman" w:hAnsi="Times New Roman" w:cs="Times New Roman"/>
          <w:noProof/>
          <w:sz w:val="24"/>
        </w:rPr>
      </w:pPr>
    </w:p>
    <w:p w14:paraId="65A51627" w14:textId="77777777" w:rsidR="00E040FD" w:rsidRDefault="00E040FD">
      <w:pPr>
        <w:spacing w:before="40" w:after="0"/>
        <w:ind w:left="420"/>
        <w:rPr>
          <w:rFonts w:ascii="Times New Roman" w:eastAsia="Times New Roman" w:hAnsi="Times New Roman" w:cs="Times New Roman"/>
          <w:noProof/>
          <w:sz w:val="24"/>
        </w:rPr>
      </w:pPr>
    </w:p>
    <w:p w14:paraId="222CB904" w14:textId="77777777" w:rsidR="00E040FD" w:rsidRDefault="00E040FD">
      <w:pPr>
        <w:spacing w:before="40" w:after="0"/>
        <w:ind w:left="420"/>
        <w:rPr>
          <w:rFonts w:ascii="Times New Roman" w:eastAsia="Times New Roman" w:hAnsi="Times New Roman" w:cs="Times New Roman"/>
          <w:noProof/>
          <w:sz w:val="24"/>
        </w:rPr>
      </w:pPr>
    </w:p>
    <w:p w14:paraId="79B3BC9F" w14:textId="77777777" w:rsidR="00E040FD" w:rsidRDefault="00740D64">
      <w:pPr>
        <w:pStyle w:val="P68B1DB1-Normal5"/>
        <w:keepNext/>
        <w:spacing w:before="240" w:after="0" w:line="259" w:lineRule="auto"/>
        <w:ind w:left="851"/>
        <w:jc w:val="both"/>
        <w:outlineLvl w:val="2"/>
        <w:rPr>
          <w:rFonts w:eastAsia="Times New Roman" w:cs="Times New Roman"/>
          <w:noProof/>
        </w:rPr>
      </w:pPr>
      <w:r>
        <w:rPr>
          <w:noProof/>
        </w:rPr>
        <w:t>Investering RE-C01-i05-RAM: Förstärkning av Madeiras regionala hälso- och sjukvård</w:t>
      </w:r>
    </w:p>
    <w:p w14:paraId="7F581BEA" w14:textId="77777777" w:rsidR="00E040FD" w:rsidRDefault="00740D64">
      <w:pPr>
        <w:pStyle w:val="P68B1DB1-Normal4"/>
        <w:keepNext/>
        <w:spacing w:before="40" w:after="0" w:line="259" w:lineRule="auto"/>
        <w:jc w:val="both"/>
        <w:rPr>
          <w:rFonts w:eastAsia="Times New Roman" w:cs="Times New Roman"/>
          <w:noProof/>
        </w:rPr>
      </w:pPr>
      <w:r>
        <w:rPr>
          <w:noProof/>
        </w:rPr>
        <w:t>Syftet med denna investering är att genomföra den strategiska planen för det regionala hälso- och sjukvårdssystemet i den autonoma regionen Madeira och den regionala strategin för främjande av psykisk hälsa.</w:t>
      </w:r>
    </w:p>
    <w:p w14:paraId="7233DF75" w14:textId="75A994D0" w:rsidR="00E040FD" w:rsidRDefault="00740D64">
      <w:pPr>
        <w:pStyle w:val="P68B1DB1-Normal4"/>
        <w:keepNext/>
        <w:spacing w:before="40" w:after="0" w:line="259" w:lineRule="auto"/>
        <w:jc w:val="both"/>
        <w:rPr>
          <w:rFonts w:eastAsia="Times New Roman" w:cs="Times New Roman"/>
          <w:noProof/>
        </w:rPr>
      </w:pPr>
      <w:r>
        <w:rPr>
          <w:noProof/>
        </w:rPr>
        <w:t>Investeringen ska bestå av två delinvesteringar. För det första ska den omfatta en delinvestering för att utvidga, utveckla och förbättra det regionala nätverket av integrerad kontinuerlig vård, bland annat genom att renovera och utöka antalet platser i alla deras typologier i linje med principen om avinstitutionalisering, i samarbete med den privata och sociala sektorn och i områden som kännetecknas av en mer akut demografisk åldrande och/eller mindre installerad kapacitet. För det andra omfattar det också en delinvestering för att stärka insatskapaciteten på området psykisk hälsa och demenssjukdomar i samband med åldrande, inbegripet uppgradering av infrastruktur och utrustning i sjukhus- och primärvården, tillhandahållande av nya platser för hembaserad sjukhusvård och dagsjukhusvård samt inrättande av lokala grupper för psykisk hälsa.</w:t>
      </w:r>
    </w:p>
    <w:p w14:paraId="4B108AA8" w14:textId="77777777" w:rsidR="00E040FD" w:rsidRDefault="00740D64">
      <w:pPr>
        <w:pStyle w:val="P68B1DB1-Normal4"/>
        <w:keepNext/>
        <w:spacing w:before="40" w:after="0" w:line="259" w:lineRule="auto"/>
        <w:jc w:val="both"/>
        <w:rPr>
          <w:rFonts w:eastAsia="Times New Roman" w:cs="Times New Roman"/>
          <w:noProof/>
        </w:rPr>
      </w:pPr>
      <w:r>
        <w:rPr>
          <w:noProof/>
        </w:rPr>
        <w:t>Investeringen ska vara genomförd senast den 30 juni 2026.</w:t>
      </w:r>
    </w:p>
    <w:p w14:paraId="54A4324F" w14:textId="77777777" w:rsidR="00E040FD" w:rsidRDefault="00740D64">
      <w:pPr>
        <w:pStyle w:val="P68B1DB1-Normal5"/>
        <w:keepNext/>
        <w:spacing w:before="240" w:after="0" w:line="259" w:lineRule="auto"/>
        <w:ind w:left="851"/>
        <w:jc w:val="both"/>
        <w:outlineLvl w:val="2"/>
        <w:rPr>
          <w:rFonts w:eastAsia="Times New Roman" w:cs="Times New Roman"/>
          <w:noProof/>
        </w:rPr>
      </w:pPr>
      <w:r>
        <w:rPr>
          <w:noProof/>
        </w:rPr>
        <w:t>Investering RE-C01-i06: Övergången till digital hälsa</w:t>
      </w:r>
    </w:p>
    <w:p w14:paraId="3A2AF464" w14:textId="77777777" w:rsidR="00E040FD" w:rsidRDefault="00740D64">
      <w:pPr>
        <w:pStyle w:val="P68B1DB1-Normal4"/>
        <w:keepNext/>
        <w:spacing w:before="40" w:after="0" w:line="259" w:lineRule="auto"/>
        <w:jc w:val="both"/>
        <w:rPr>
          <w:rFonts w:eastAsia="Times New Roman" w:cs="Times New Roman"/>
          <w:noProof/>
        </w:rPr>
      </w:pPr>
      <w:r>
        <w:rPr>
          <w:noProof/>
        </w:rPr>
        <w:t>Syftet med investeringen är att ta itu med flaskhalsar som hämmar den digitala omställningen inom det nationella hälso- och sjukvårdssystemet, bland annat bristen på lämplig hårdvara och programvara som vårdpersonalen förfogar över, att stärka standardiseringen av informationssystemen inom det nationella hälso- och sjukvårdssystemet och att förbättra användarnas upplevelse och tillgången till data.</w:t>
      </w:r>
    </w:p>
    <w:p w14:paraId="1CEE6531" w14:textId="77777777" w:rsidR="00E040FD" w:rsidRDefault="00740D64">
      <w:pPr>
        <w:pStyle w:val="P68B1DB1-Normal4"/>
        <w:keepNext/>
        <w:spacing w:before="40" w:after="0" w:line="259" w:lineRule="auto"/>
        <w:jc w:val="both"/>
        <w:rPr>
          <w:rFonts w:eastAsia="Times New Roman" w:cs="Times New Roman"/>
          <w:noProof/>
        </w:rPr>
      </w:pPr>
      <w:r>
        <w:rPr>
          <w:noProof/>
        </w:rPr>
        <w:t>Investeringen ska bestå av fyra delinvesteringar. För det första ska nätverket för hälsodata stärkas i syfte att förbättra tjänstekvaliteten och motståndskraften hos de datasystem som finns tillgängliga inom det nationella hälso- och sjukvårdssystemet, underlätta användningen av data i system för beslutsstöd, säkerställa interoperabilitet mellan olika informationssystem och efterlevnad av lämpliga säkerhetsprinciper. För det andra ska kommunikationen mellan medborgarna och hälso- och sjukvårdsenheterna förenklas, standardiseras och digitaliseras genom elektroniska verktyg, såsom en medborgarcentrerad plattform och verktyg för telehälsa för att öka tillgången till hälso- och sjukvård. För det tredje uppgraderade och driftskompatibla verktyg som finns tillgängliga för hälso- och sjukvårdspersonal (t.ex. telemonitoring och telerehabiliteringsplattformar och system som förbättrar dataportabiliteten mellan primärvård, sjukhus och integrerade anläggningar för fortsatt vård) och relevant utbildning i digitala färdigheter. För det fjärde ska digitaliseringen av kliniska journaler främjas i syfte att bedriva verksamhet för att övervaka det nationella hälso- och sjukvårdssystemets resultat.</w:t>
      </w:r>
    </w:p>
    <w:p w14:paraId="00ACB982" w14:textId="05BED5B2" w:rsidR="00E040FD" w:rsidRDefault="00740D64">
      <w:pPr>
        <w:pStyle w:val="P68B1DB1-Normal4"/>
        <w:keepNext/>
        <w:spacing w:before="40" w:after="0" w:line="259" w:lineRule="auto"/>
        <w:jc w:val="both"/>
        <w:rPr>
          <w:rFonts w:eastAsia="Times New Roman" w:cs="Times New Roman"/>
          <w:noProof/>
        </w:rPr>
      </w:pPr>
      <w:r>
        <w:rPr>
          <w:noProof/>
        </w:rPr>
        <w:t>Investeringen ska vara genomförd senast den 30 juni 2025.</w:t>
      </w:r>
    </w:p>
    <w:p w14:paraId="7D55663F"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 RE-C01-i07-RAM: Digitalisering av Madeiras regionala hälso- och sjukvård</w:t>
      </w:r>
    </w:p>
    <w:p w14:paraId="50407DAA" w14:textId="6CE36D09" w:rsidR="00E040FD" w:rsidRDefault="00740D64">
      <w:pPr>
        <w:pStyle w:val="P68B1DB1-Normal4"/>
        <w:keepNext/>
        <w:spacing w:before="40" w:after="0" w:line="259" w:lineRule="auto"/>
        <w:jc w:val="both"/>
        <w:rPr>
          <w:rFonts w:eastAsia="Times New Roman" w:cs="Times New Roman"/>
          <w:noProof/>
        </w:rPr>
      </w:pPr>
      <w:r>
        <w:rPr>
          <w:noProof/>
        </w:rPr>
        <w:t>Syftet med denna investering är att främja digitaliseringen av Madeiras regionala hälso- och sjukvård genom användning av digital teknik för att stödja hälso- och sjukvårdens kvalitet och effektivitet och stärka hälso- och sjukvårdspersonal och medborgare.</w:t>
      </w:r>
    </w:p>
    <w:p w14:paraId="5521D506" w14:textId="0518B0F6" w:rsidR="00E040FD" w:rsidRDefault="00740D64">
      <w:pPr>
        <w:pStyle w:val="P68B1DB1-Normal4"/>
        <w:keepNext/>
        <w:spacing w:before="40" w:after="0" w:line="259" w:lineRule="auto"/>
        <w:jc w:val="both"/>
        <w:rPr>
          <w:rFonts w:eastAsia="Times New Roman" w:cs="Times New Roman"/>
          <w:noProof/>
        </w:rPr>
      </w:pPr>
      <w:r>
        <w:rPr>
          <w:noProof/>
        </w:rPr>
        <w:t>Investeringen ska bestå av flera projekt, bland annat följande: i) Genomförande av digital teknik för att stödja patientövervakning, intensifierad distansvård och telemonitering av medborgarnas hälsosituation. stärka digital teknik och artificiell intelligens för epidemiologisk övervakning. III) öka digitaliseringen av hälso- och sjukvården och förbättra interoperabiliteten mellan informationssystem. IV) förbättra medborgarnas tillgång till hälsoinformation och hälsovårdstjänster på digital väg. och v) utbilda medborgare och berörda parter så att de kan använda digitala hälsoresurser på hälsoområdet.</w:t>
      </w:r>
    </w:p>
    <w:p w14:paraId="4184B02B" w14:textId="548FE233" w:rsidR="00E040FD" w:rsidRDefault="00740D64">
      <w:pPr>
        <w:pStyle w:val="P68B1DB1-Normal4"/>
        <w:keepNext/>
        <w:spacing w:before="40" w:after="0" w:line="259" w:lineRule="auto"/>
        <w:jc w:val="both"/>
        <w:rPr>
          <w:rFonts w:eastAsia="Times New Roman" w:cs="Times New Roman"/>
          <w:noProof/>
        </w:rPr>
      </w:pPr>
      <w:r>
        <w:rPr>
          <w:noProof/>
        </w:rPr>
        <w:t>Investeringen ska vara genomförd senast den 31 december 2024.</w:t>
      </w:r>
    </w:p>
    <w:p w14:paraId="36606E5C" w14:textId="77777777" w:rsidR="00E040FD" w:rsidRDefault="00740D64">
      <w:pPr>
        <w:pStyle w:val="P68B1DB1-Normal5"/>
        <w:keepNext/>
        <w:spacing w:before="240" w:after="0" w:line="259" w:lineRule="auto"/>
        <w:ind w:left="851"/>
        <w:jc w:val="both"/>
        <w:outlineLvl w:val="2"/>
        <w:rPr>
          <w:rFonts w:eastAsia="Times New Roman" w:cs="Times New Roman"/>
          <w:noProof/>
        </w:rPr>
      </w:pPr>
      <w:r>
        <w:rPr>
          <w:noProof/>
        </w:rPr>
        <w:t>Investering RE-C01-i08-RAA: Digitala sjukhus på Azorerna</w:t>
      </w:r>
    </w:p>
    <w:p w14:paraId="2C7694B1" w14:textId="77777777" w:rsidR="00E040FD" w:rsidRDefault="00740D64">
      <w:pPr>
        <w:pStyle w:val="P68B1DB1-Normal4"/>
        <w:keepNext/>
        <w:spacing w:before="40" w:after="0" w:line="259" w:lineRule="auto"/>
        <w:jc w:val="both"/>
        <w:rPr>
          <w:rFonts w:eastAsia="Times New Roman" w:cs="Times New Roman"/>
          <w:noProof/>
        </w:rPr>
      </w:pPr>
      <w:r>
        <w:rPr>
          <w:noProof/>
        </w:rPr>
        <w:t>Syftet med investeringen är att öka utbudet av hälso- och sjukvård och säkerställa bättre tillgång till hälso- och sjukvård på Azorerna genom digitalisering av landets regionala hälso- och sjukvård.</w:t>
      </w:r>
    </w:p>
    <w:p w14:paraId="5C3318E6" w14:textId="77777777" w:rsidR="00E040FD" w:rsidRDefault="00740D64">
      <w:pPr>
        <w:pStyle w:val="P68B1DB1-Normal4"/>
        <w:keepNext/>
        <w:spacing w:before="40" w:after="0" w:line="259" w:lineRule="auto"/>
        <w:jc w:val="both"/>
        <w:rPr>
          <w:rFonts w:eastAsia="Times New Roman" w:cs="Times New Roman"/>
          <w:noProof/>
        </w:rPr>
      </w:pPr>
      <w:r>
        <w:rPr>
          <w:noProof/>
        </w:rPr>
        <w:t>Investeringen ska bestå i att skapa en elektronisk patientjournal för varje medborgare, öka interoperabiliteten mellan informationssystem för att göra det möjligt att dela klinisk information mellan hälso- och sjukvårdspersonal, förbättra tillgången till hälso- och sjukvård på de mest isolerade öarna utan sjukhus genom telemedicinska konsultationer och tillhandahålla nödvändig hårdvara, programvara och informationssystem.</w:t>
      </w:r>
    </w:p>
    <w:p w14:paraId="2F4F1E26" w14:textId="77777777" w:rsidR="00E040FD" w:rsidRDefault="00740D64">
      <w:pPr>
        <w:pStyle w:val="P68B1DB1-Normal4"/>
        <w:keepNext/>
        <w:spacing w:before="40" w:after="0" w:line="259" w:lineRule="auto"/>
        <w:jc w:val="both"/>
        <w:rPr>
          <w:rFonts w:eastAsia="Times New Roman" w:cs="Times New Roman"/>
          <w:noProof/>
        </w:rPr>
      </w:pPr>
      <w:r>
        <w:rPr>
          <w:noProof/>
        </w:rPr>
        <w:t>Investeringen ska vara genomförd senast den 30 september 2025.</w:t>
      </w:r>
    </w:p>
    <w:p w14:paraId="0944758B" w14:textId="77777777" w:rsidR="00E040FD" w:rsidRDefault="00740D64">
      <w:pPr>
        <w:pStyle w:val="P68B1DB1-Normal5"/>
        <w:keepNext/>
        <w:spacing w:before="240" w:after="0" w:line="259" w:lineRule="auto"/>
        <w:ind w:left="851"/>
        <w:jc w:val="both"/>
        <w:outlineLvl w:val="2"/>
        <w:rPr>
          <w:rFonts w:eastAsia="Times New Roman" w:cs="Times New Roman"/>
          <w:noProof/>
        </w:rPr>
      </w:pPr>
      <w:r>
        <w:rPr>
          <w:noProof/>
        </w:rPr>
        <w:t>Investering RE-C01-i09: System för stöd till ett aktivt liv för alla</w:t>
      </w:r>
    </w:p>
    <w:p w14:paraId="225E11E4" w14:textId="77777777" w:rsidR="00E040FD" w:rsidRDefault="00740D64">
      <w:pPr>
        <w:pStyle w:val="P68B1DB1-Normal4"/>
        <w:keepNext/>
        <w:spacing w:before="40" w:after="0" w:line="259" w:lineRule="auto"/>
        <w:jc w:val="both"/>
        <w:rPr>
          <w:rFonts w:eastAsia="Times New Roman" w:cs="Times New Roman"/>
          <w:noProof/>
        </w:rPr>
      </w:pPr>
      <w:r>
        <w:rPr>
          <w:noProof/>
        </w:rPr>
        <w:t>Syftet med investeringen är att främja fysiskt och emotionellt välbefinnande i Portugal genom att öka den låga graden av fysisk aktivitet i landet och bidra till bättre förebyggande av sjukdomar och hantering av bördan av icke-överförbara sjukdomar.</w:t>
      </w:r>
    </w:p>
    <w:p w14:paraId="0DE11ABE" w14:textId="77777777" w:rsidR="00E040FD" w:rsidRDefault="00740D64">
      <w:pPr>
        <w:pStyle w:val="P68B1DB1-Normal4"/>
        <w:keepNext/>
        <w:spacing w:before="40" w:after="0" w:line="259" w:lineRule="auto"/>
        <w:jc w:val="both"/>
        <w:rPr>
          <w:rFonts w:eastAsia="Times New Roman" w:cs="Times New Roman"/>
          <w:noProof/>
        </w:rPr>
      </w:pPr>
      <w:r>
        <w:rPr>
          <w:noProof/>
        </w:rPr>
        <w:t>Investeringen ska bestå av följande: en nationell kampanj och en teknisk plattform för att främja fysisk aktivitet, öka medborgarnas kunskaper om fördelarna med regelbunden fysisk aktivitet i alla åldrar, förskriva övningar i enlighet med deras förmåga och uppmuntra till hälsosammare livsstilar. II) utvidga skolidrotten till samhället genom att främja aktiv rörlighet, från yngre och hela livet, och idrott i familjesammanhang, som ett sätt att främja elevernas framgång och hälsosammare livsstilar. och iii) uppmuntra fysisk aktivitet på arbetsplatsen, främja genomförandet av åtgärder och program samt tillhandahålla utrymmen och utrustning för fysisk aktivitet.</w:t>
      </w:r>
    </w:p>
    <w:p w14:paraId="0FCBA65F" w14:textId="77777777" w:rsidR="00E040FD" w:rsidRDefault="00740D64">
      <w:pPr>
        <w:pStyle w:val="P68B1DB1-Normal4"/>
        <w:keepNext/>
        <w:spacing w:before="40" w:after="0" w:line="259" w:lineRule="auto"/>
        <w:jc w:val="both"/>
        <w:rPr>
          <w:rFonts w:eastAsia="Times New Roman" w:cs="Times New Roman"/>
          <w:noProof/>
        </w:rPr>
      </w:pPr>
      <w:r>
        <w:rPr>
          <w:noProof/>
        </w:rPr>
        <w:t>Investeringen ska vara genomförd senast den 30 september 2025.</w:t>
      </w:r>
    </w:p>
    <w:p w14:paraId="7D908420" w14:textId="0634E12D" w:rsidR="00E040FD" w:rsidRDefault="00740D64">
      <w:pPr>
        <w:pStyle w:val="P68B1DB1-Normal5"/>
        <w:keepNext/>
        <w:spacing w:before="240" w:after="0" w:line="259" w:lineRule="auto"/>
        <w:ind w:left="851"/>
        <w:jc w:val="both"/>
        <w:outlineLvl w:val="2"/>
        <w:rPr>
          <w:rFonts w:eastAsia="Times New Roman" w:cs="Times New Roman"/>
          <w:noProof/>
        </w:rPr>
      </w:pPr>
      <w:bookmarkStart w:id="2" w:name="_Toc137472436"/>
      <w:r>
        <w:rPr>
          <w:noProof/>
        </w:rPr>
        <w:t xml:space="preserve">Investering RE-C01-i10: Program för modernisering av </w:t>
      </w:r>
      <w:bookmarkEnd w:id="2"/>
      <w:r>
        <w:rPr>
          <w:noProof/>
        </w:rPr>
        <w:t>NHS-teknik</w:t>
      </w:r>
    </w:p>
    <w:p w14:paraId="2C29C380" w14:textId="183EDF89" w:rsidR="00E040FD" w:rsidRDefault="00740D64">
      <w:pPr>
        <w:pStyle w:val="P68B1DB1-Normal4"/>
        <w:keepNext/>
        <w:spacing w:before="40" w:after="0" w:line="259" w:lineRule="auto"/>
        <w:jc w:val="both"/>
        <w:rPr>
          <w:rFonts w:eastAsia="Times New Roman" w:cs="Times New Roman"/>
          <w:noProof/>
        </w:rPr>
      </w:pPr>
      <w:r>
        <w:rPr>
          <w:noProof/>
        </w:rPr>
        <w:t>Syftet med denna investering är att förbättra teknikparken inom det nationella hälso- och sjukvårdssystemet (NHS) och bidra till att förbättra hälso- och sjukvården.</w:t>
      </w:r>
    </w:p>
    <w:p w14:paraId="593DD359" w14:textId="13C9F938" w:rsidR="00E040FD" w:rsidRDefault="00740D64">
      <w:pPr>
        <w:pStyle w:val="P68B1DB1-Normal4"/>
        <w:keepNext/>
        <w:spacing w:before="40" w:after="0" w:line="259" w:lineRule="auto"/>
        <w:jc w:val="both"/>
        <w:rPr>
          <w:rFonts w:eastAsia="Times New Roman" w:cs="Times New Roman"/>
          <w:noProof/>
        </w:rPr>
      </w:pPr>
      <w:r>
        <w:rPr>
          <w:noProof/>
        </w:rPr>
        <w:t xml:space="preserve">Denna investering ska säkerställa inköp av tung medicinsk utrustning till NHS sjukhus, på grundval av en rapport som godkänts av hälsoministeriet och som identifierar dessa sjukhusens behov av utrustning, inom följande kategorier: angiografisystem, datortomografiskannrar med enkelfotton, detektorer för positionsemissionstomografi, system för magnetisk resonanstomografi, datortomografiskannrar, linjära acceleratorer och kirurgiska robotar. </w:t>
      </w:r>
    </w:p>
    <w:p w14:paraId="7E32F4AC" w14:textId="77777777" w:rsidR="00E040FD" w:rsidRDefault="00740D64">
      <w:pPr>
        <w:pStyle w:val="P68B1DB1-Normal4"/>
        <w:keepNext/>
        <w:spacing w:before="40" w:after="0" w:line="259" w:lineRule="auto"/>
        <w:jc w:val="both"/>
        <w:rPr>
          <w:rFonts w:eastAsia="Times New Roman" w:cs="Times New Roman"/>
          <w:noProof/>
        </w:rPr>
      </w:pPr>
      <w:r>
        <w:rPr>
          <w:noProof/>
        </w:rPr>
        <w:t>De sjukhus inom NHS och NHS primärvård som får finansiering genom investeringarna RE-C01-i04 respektive RE-C01-i01 ska undantas från denna investering.</w:t>
      </w:r>
    </w:p>
    <w:p w14:paraId="03E16FDC" w14:textId="77777777" w:rsidR="00E040FD" w:rsidRDefault="00740D64">
      <w:pPr>
        <w:pStyle w:val="P68B1DB1-Normal4"/>
        <w:keepNext/>
        <w:spacing w:before="40" w:after="0" w:line="259" w:lineRule="auto"/>
        <w:jc w:val="both"/>
        <w:rPr>
          <w:rFonts w:eastAsia="Times New Roman" w:cs="Times New Roman"/>
          <w:noProof/>
        </w:rPr>
      </w:pPr>
      <w:r>
        <w:rPr>
          <w:noProof/>
        </w:rPr>
        <w:t>Investeringen ska vara genomförd senast den 30 juni 2026.</w:t>
      </w:r>
    </w:p>
    <w:p w14:paraId="3F70E244" w14:textId="77777777" w:rsidR="00E040FD" w:rsidRDefault="00E040FD">
      <w:pPr>
        <w:keepNext/>
        <w:spacing w:before="40" w:after="0" w:line="259" w:lineRule="auto"/>
        <w:jc w:val="both"/>
        <w:rPr>
          <w:rFonts w:ascii="Times New Roman" w:eastAsia="Times New Roman" w:hAnsi="Times New Roman" w:cs="Times New Roman"/>
          <w:noProof/>
          <w:sz w:val="24"/>
        </w:rPr>
      </w:pPr>
    </w:p>
    <w:p w14:paraId="6B39DFAD"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3A4E8AF1" w14:textId="512DF5C1" w:rsidR="00E040FD" w:rsidRDefault="00E040FD">
      <w:pPr>
        <w:keepNext/>
        <w:spacing w:before="40" w:after="0" w:line="259" w:lineRule="auto"/>
        <w:jc w:val="both"/>
        <w:rPr>
          <w:rFonts w:ascii="Times New Roman" w:eastAsiaTheme="minorEastAsia" w:hAnsi="Times New Roman" w:cs="Times New Roman"/>
          <w:noProof/>
          <w:sz w:val="24"/>
        </w:rPr>
        <w:sectPr w:rsidR="00E040FD" w:rsidSect="00CA5ACC">
          <w:headerReference w:type="even" r:id="rId30"/>
          <w:headerReference w:type="default" r:id="rId31"/>
          <w:footerReference w:type="even" r:id="rId32"/>
          <w:footerReference w:type="default" r:id="rId33"/>
          <w:headerReference w:type="first" r:id="rId34"/>
          <w:footerReference w:type="first" r:id="rId35"/>
          <w:type w:val="continuous"/>
          <w:pgSz w:w="11907" w:h="16839"/>
          <w:pgMar w:top="1134" w:right="1134" w:bottom="1134" w:left="1134" w:header="567" w:footer="567" w:gutter="0"/>
          <w:cols w:space="720"/>
          <w:docGrid w:linePitch="360"/>
        </w:sectPr>
      </w:pPr>
    </w:p>
    <w:p w14:paraId="723522AE"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7B8052F6" w14:textId="4383A929"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A.2 Delmål, mål, indikatorer och tidsplan för övervakning och genomförande avseende icke återbetalningspliktigt ekonomiskt stöd</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992"/>
        <w:gridCol w:w="1843"/>
        <w:gridCol w:w="1418"/>
        <w:gridCol w:w="1164"/>
        <w:gridCol w:w="962"/>
        <w:gridCol w:w="805"/>
        <w:gridCol w:w="9"/>
        <w:gridCol w:w="824"/>
        <w:gridCol w:w="901"/>
        <w:gridCol w:w="3981"/>
      </w:tblGrid>
      <w:tr w:rsidR="00E040FD" w14:paraId="7B628CE4" w14:textId="77777777">
        <w:trPr>
          <w:trHeight w:val="910"/>
          <w:tblHeader/>
        </w:trPr>
        <w:tc>
          <w:tcPr>
            <w:tcW w:w="1135" w:type="dxa"/>
            <w:vMerge w:val="restart"/>
            <w:shd w:val="clear" w:color="auto" w:fill="BDD6EE"/>
            <w:noWrap/>
            <w:vAlign w:val="center"/>
            <w:hideMark/>
          </w:tcPr>
          <w:p w14:paraId="43757383"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noWrap/>
            <w:vAlign w:val="center"/>
            <w:hideMark/>
          </w:tcPr>
          <w:p w14:paraId="0BDD4AC0"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992" w:type="dxa"/>
            <w:vMerge w:val="restart"/>
            <w:shd w:val="clear" w:color="auto" w:fill="BDD6EE"/>
            <w:noWrap/>
            <w:vAlign w:val="center"/>
            <w:hideMark/>
          </w:tcPr>
          <w:p w14:paraId="43895947" w14:textId="12E1DEA9" w:rsidR="00E040FD" w:rsidRDefault="00740D64">
            <w:pPr>
              <w:pStyle w:val="P68B1DB1-Normal6"/>
              <w:spacing w:after="0" w:line="240" w:lineRule="auto"/>
              <w:jc w:val="center"/>
              <w:rPr>
                <w:rFonts w:eastAsia="Times New Roman" w:cs="Times New Roman"/>
                <w:noProof/>
              </w:rPr>
            </w:pPr>
            <w:r>
              <w:rPr>
                <w:noProof/>
              </w:rPr>
              <w:t>Delmål/mål</w:t>
            </w:r>
          </w:p>
        </w:tc>
        <w:tc>
          <w:tcPr>
            <w:tcW w:w="1843" w:type="dxa"/>
            <w:vMerge w:val="restart"/>
            <w:shd w:val="clear" w:color="auto" w:fill="BDD6EE"/>
            <w:noWrap/>
            <w:vAlign w:val="center"/>
            <w:hideMark/>
          </w:tcPr>
          <w:p w14:paraId="0732D51C" w14:textId="77777777" w:rsidR="00E040FD" w:rsidRDefault="00740D64">
            <w:pPr>
              <w:pStyle w:val="P68B1DB1-Normal6"/>
              <w:spacing w:after="0" w:line="240" w:lineRule="auto"/>
              <w:jc w:val="center"/>
              <w:rPr>
                <w:rFonts w:eastAsia="Times New Roman" w:cs="Times New Roman"/>
                <w:noProof/>
              </w:rPr>
            </w:pPr>
            <w:r>
              <w:rPr>
                <w:noProof/>
              </w:rPr>
              <w:t>Namn</w:t>
            </w:r>
          </w:p>
        </w:tc>
        <w:tc>
          <w:tcPr>
            <w:tcW w:w="1418" w:type="dxa"/>
            <w:vMerge w:val="restart"/>
            <w:shd w:val="clear" w:color="auto" w:fill="BDD6EE"/>
            <w:noWrap/>
            <w:vAlign w:val="center"/>
            <w:hideMark/>
          </w:tcPr>
          <w:p w14:paraId="44263E41"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940" w:type="dxa"/>
            <w:gridSpan w:val="4"/>
            <w:shd w:val="clear" w:color="auto" w:fill="BDD6EE"/>
            <w:noWrap/>
            <w:vAlign w:val="center"/>
            <w:hideMark/>
          </w:tcPr>
          <w:p w14:paraId="0A2F2E77"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725" w:type="dxa"/>
            <w:gridSpan w:val="2"/>
            <w:shd w:val="clear" w:color="auto" w:fill="BDD6EE"/>
            <w:noWrap/>
            <w:vAlign w:val="center"/>
            <w:hideMark/>
          </w:tcPr>
          <w:p w14:paraId="4F163F74"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3981" w:type="dxa"/>
            <w:vMerge w:val="restart"/>
            <w:shd w:val="clear" w:color="auto" w:fill="BDD6EE"/>
            <w:noWrap/>
            <w:vAlign w:val="center"/>
            <w:hideMark/>
          </w:tcPr>
          <w:p w14:paraId="238D3622"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775EA2A6" w14:textId="77777777">
        <w:trPr>
          <w:trHeight w:val="300"/>
          <w:tblHeader/>
        </w:trPr>
        <w:tc>
          <w:tcPr>
            <w:tcW w:w="1135" w:type="dxa"/>
            <w:vMerge/>
            <w:vAlign w:val="center"/>
            <w:hideMark/>
          </w:tcPr>
          <w:p w14:paraId="0EC3FF2B"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1020BD4F" w14:textId="77777777" w:rsidR="00E040FD" w:rsidRDefault="00E040FD">
            <w:pPr>
              <w:spacing w:after="0" w:line="240" w:lineRule="auto"/>
              <w:rPr>
                <w:rFonts w:ascii="Times New Roman" w:eastAsia="Times New Roman" w:hAnsi="Times New Roman" w:cs="Times New Roman"/>
                <w:b/>
                <w:noProof/>
                <w:sz w:val="18"/>
              </w:rPr>
            </w:pPr>
          </w:p>
        </w:tc>
        <w:tc>
          <w:tcPr>
            <w:tcW w:w="992" w:type="dxa"/>
            <w:vMerge/>
            <w:noWrap/>
            <w:vAlign w:val="center"/>
            <w:hideMark/>
          </w:tcPr>
          <w:p w14:paraId="530B4B60" w14:textId="4C0DADAB" w:rsidR="00E040FD" w:rsidRDefault="00E040FD">
            <w:pPr>
              <w:spacing w:after="0" w:line="240" w:lineRule="auto"/>
              <w:jc w:val="center"/>
              <w:rPr>
                <w:rFonts w:ascii="Times New Roman" w:eastAsia="Times New Roman" w:hAnsi="Times New Roman" w:cs="Times New Roman"/>
                <w:b/>
                <w:noProof/>
                <w:sz w:val="18"/>
              </w:rPr>
            </w:pPr>
          </w:p>
        </w:tc>
        <w:tc>
          <w:tcPr>
            <w:tcW w:w="1843" w:type="dxa"/>
            <w:vMerge/>
            <w:vAlign w:val="center"/>
            <w:hideMark/>
          </w:tcPr>
          <w:p w14:paraId="73578D3F" w14:textId="77777777" w:rsidR="00E040FD" w:rsidRDefault="00E040FD">
            <w:pPr>
              <w:spacing w:after="0" w:line="240" w:lineRule="auto"/>
              <w:rPr>
                <w:rFonts w:ascii="Times New Roman" w:eastAsia="Times New Roman" w:hAnsi="Times New Roman" w:cs="Times New Roman"/>
                <w:b/>
                <w:noProof/>
                <w:sz w:val="18"/>
              </w:rPr>
            </w:pPr>
          </w:p>
        </w:tc>
        <w:tc>
          <w:tcPr>
            <w:tcW w:w="1418" w:type="dxa"/>
            <w:vMerge/>
            <w:vAlign w:val="center"/>
            <w:hideMark/>
          </w:tcPr>
          <w:p w14:paraId="00D28EE5" w14:textId="77777777" w:rsidR="00E040FD" w:rsidRDefault="00E040FD">
            <w:pPr>
              <w:spacing w:after="0" w:line="240" w:lineRule="auto"/>
              <w:rPr>
                <w:rFonts w:ascii="Times New Roman" w:eastAsia="Times New Roman" w:hAnsi="Times New Roman" w:cs="Times New Roman"/>
                <w:b/>
                <w:noProof/>
                <w:sz w:val="18"/>
              </w:rPr>
            </w:pPr>
          </w:p>
        </w:tc>
        <w:tc>
          <w:tcPr>
            <w:tcW w:w="1164" w:type="dxa"/>
            <w:shd w:val="clear" w:color="auto" w:fill="BDD6EE"/>
            <w:noWrap/>
            <w:vAlign w:val="center"/>
            <w:hideMark/>
          </w:tcPr>
          <w:p w14:paraId="28C094F9"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62" w:type="dxa"/>
            <w:shd w:val="clear" w:color="auto" w:fill="BDD6EE"/>
            <w:noWrap/>
            <w:vAlign w:val="center"/>
            <w:hideMark/>
          </w:tcPr>
          <w:p w14:paraId="7F1FED9F"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805" w:type="dxa"/>
            <w:shd w:val="clear" w:color="auto" w:fill="BDD6EE"/>
            <w:noWrap/>
            <w:vAlign w:val="center"/>
            <w:hideMark/>
          </w:tcPr>
          <w:p w14:paraId="06EBD7F3" w14:textId="77777777" w:rsidR="00E040FD" w:rsidRDefault="00740D64">
            <w:pPr>
              <w:pStyle w:val="P68B1DB1-Normal6"/>
              <w:spacing w:after="0" w:line="240" w:lineRule="auto"/>
              <w:jc w:val="center"/>
              <w:rPr>
                <w:rFonts w:eastAsia="Times New Roman" w:cs="Times New Roman"/>
                <w:noProof/>
              </w:rPr>
            </w:pPr>
            <w:r>
              <w:rPr>
                <w:noProof/>
              </w:rPr>
              <w:t>Mål</w:t>
            </w:r>
          </w:p>
        </w:tc>
        <w:tc>
          <w:tcPr>
            <w:tcW w:w="833" w:type="dxa"/>
            <w:gridSpan w:val="2"/>
            <w:shd w:val="clear" w:color="auto" w:fill="BDD6EE"/>
            <w:noWrap/>
            <w:vAlign w:val="center"/>
            <w:hideMark/>
          </w:tcPr>
          <w:p w14:paraId="20C845CB" w14:textId="77777777" w:rsidR="00E040FD" w:rsidRDefault="00740D64">
            <w:pPr>
              <w:pStyle w:val="P68B1DB1-Normal6"/>
              <w:spacing w:after="0" w:line="240" w:lineRule="auto"/>
              <w:jc w:val="center"/>
              <w:rPr>
                <w:rFonts w:eastAsia="Times New Roman" w:cs="Times New Roman"/>
                <w:noProof/>
              </w:rPr>
            </w:pPr>
            <w:r>
              <w:rPr>
                <w:noProof/>
              </w:rPr>
              <w:t>Q</w:t>
            </w:r>
          </w:p>
        </w:tc>
        <w:tc>
          <w:tcPr>
            <w:tcW w:w="901" w:type="dxa"/>
            <w:shd w:val="clear" w:color="auto" w:fill="BDD6EE"/>
            <w:noWrap/>
            <w:vAlign w:val="center"/>
            <w:hideMark/>
          </w:tcPr>
          <w:p w14:paraId="3E2A3F48" w14:textId="77777777" w:rsidR="00E040FD" w:rsidRDefault="00740D64">
            <w:pPr>
              <w:pStyle w:val="P68B1DB1-Normal6"/>
              <w:spacing w:after="0" w:line="240" w:lineRule="auto"/>
              <w:jc w:val="center"/>
              <w:rPr>
                <w:rFonts w:eastAsia="Times New Roman" w:cs="Times New Roman"/>
                <w:noProof/>
              </w:rPr>
            </w:pPr>
            <w:r>
              <w:rPr>
                <w:noProof/>
              </w:rPr>
              <w:t>Året</w:t>
            </w:r>
          </w:p>
        </w:tc>
        <w:tc>
          <w:tcPr>
            <w:tcW w:w="3981" w:type="dxa"/>
            <w:vMerge/>
            <w:vAlign w:val="center"/>
            <w:hideMark/>
          </w:tcPr>
          <w:p w14:paraId="75CA9262" w14:textId="77777777" w:rsidR="00E040FD" w:rsidRDefault="00E040FD">
            <w:pPr>
              <w:spacing w:after="0" w:line="240" w:lineRule="auto"/>
              <w:rPr>
                <w:rFonts w:ascii="Times New Roman" w:eastAsia="Times New Roman" w:hAnsi="Times New Roman" w:cs="Times New Roman"/>
                <w:b/>
                <w:noProof/>
                <w:sz w:val="18"/>
              </w:rPr>
            </w:pPr>
          </w:p>
        </w:tc>
      </w:tr>
      <w:tr w:rsidR="00E040FD" w14:paraId="121D32D4" w14:textId="77777777">
        <w:trPr>
          <w:trHeight w:val="1270"/>
        </w:trPr>
        <w:tc>
          <w:tcPr>
            <w:tcW w:w="1135" w:type="dxa"/>
            <w:shd w:val="clear" w:color="auto" w:fill="C4EFCE"/>
            <w:noWrap/>
            <w:vAlign w:val="center"/>
            <w:hideMark/>
          </w:tcPr>
          <w:p w14:paraId="0492ADA0" w14:textId="77777777" w:rsidR="00E040FD" w:rsidRDefault="00740D64">
            <w:pPr>
              <w:pStyle w:val="P68B1DB1-Normal7"/>
              <w:spacing w:after="0" w:line="240" w:lineRule="auto"/>
              <w:jc w:val="center"/>
              <w:rPr>
                <w:rFonts w:eastAsia="Times New Roman" w:cs="Calibri"/>
                <w:noProof/>
              </w:rPr>
            </w:pPr>
            <w:r>
              <w:rPr>
                <w:noProof/>
              </w:rPr>
              <w:t>1.1</w:t>
            </w:r>
          </w:p>
        </w:tc>
        <w:tc>
          <w:tcPr>
            <w:tcW w:w="1276" w:type="dxa"/>
            <w:shd w:val="clear" w:color="auto" w:fill="C4EFCE"/>
            <w:noWrap/>
            <w:vAlign w:val="center"/>
            <w:hideMark/>
          </w:tcPr>
          <w:p w14:paraId="0A1B7539" w14:textId="77777777" w:rsidR="00E040FD" w:rsidRDefault="00740D64">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5A6CB19F"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6E6F728" w14:textId="77777777" w:rsidR="00E040FD" w:rsidRDefault="00740D64">
            <w:pPr>
              <w:pStyle w:val="P68B1DB1-Normal8"/>
              <w:spacing w:after="0" w:line="240" w:lineRule="auto"/>
              <w:jc w:val="center"/>
              <w:rPr>
                <w:rFonts w:eastAsia="Times New Roman" w:cs="Calibri"/>
                <w:noProof/>
              </w:rPr>
            </w:pPr>
            <w:r>
              <w:rPr>
                <w:noProof/>
              </w:rPr>
              <w:t>Ikraftträdande av rättsakter på området primärvård</w:t>
            </w:r>
          </w:p>
        </w:tc>
        <w:tc>
          <w:tcPr>
            <w:tcW w:w="1418" w:type="dxa"/>
            <w:shd w:val="clear" w:color="auto" w:fill="C4EFCE"/>
            <w:noWrap/>
            <w:vAlign w:val="center"/>
            <w:hideMark/>
          </w:tcPr>
          <w:p w14:paraId="35A47D91" w14:textId="77777777" w:rsidR="00E040FD" w:rsidRDefault="00740D64">
            <w:pPr>
              <w:pStyle w:val="P68B1DB1-Normal8"/>
              <w:spacing w:after="0" w:line="240" w:lineRule="auto"/>
              <w:jc w:val="center"/>
              <w:rPr>
                <w:rFonts w:eastAsia="Times New Roman" w:cs="Calibri"/>
                <w:noProof/>
              </w:rPr>
            </w:pPr>
            <w:r>
              <w:rPr>
                <w:noProof/>
              </w:rPr>
              <w:t>Ikraftträdande av de reviderade rättsakterna</w:t>
            </w:r>
          </w:p>
        </w:tc>
        <w:tc>
          <w:tcPr>
            <w:tcW w:w="1164" w:type="dxa"/>
            <w:shd w:val="clear" w:color="auto" w:fill="C4EFCE"/>
            <w:noWrap/>
            <w:vAlign w:val="center"/>
            <w:hideMark/>
          </w:tcPr>
          <w:p w14:paraId="0271FAD2"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69B00747"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1142975"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D871EE2" w14:textId="77777777" w:rsidR="00E040FD" w:rsidRDefault="00740D64">
            <w:pPr>
              <w:pStyle w:val="P68B1DB1-Normal8"/>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63B8927A" w14:textId="77777777" w:rsidR="00E040FD" w:rsidRDefault="00740D6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3AD82C03" w14:textId="77777777" w:rsidR="00E040FD" w:rsidRDefault="00740D64">
            <w:pPr>
              <w:pStyle w:val="P68B1DB1-Normal8"/>
              <w:spacing w:after="0" w:line="240" w:lineRule="auto"/>
              <w:jc w:val="both"/>
              <w:rPr>
                <w:rFonts w:eastAsia="Times New Roman" w:cs="Calibri"/>
                <w:noProof/>
              </w:rPr>
            </w:pPr>
            <w:r>
              <w:rPr>
                <w:noProof/>
              </w:rPr>
              <w:t>Översyn av rättsakter på området primärvård, nämligen i) den lagstiftning som ligger till grund för de funktionella enheterna vid primärvårdscentralerna (däribland lagdekret nr 73/2017 om familjevårdsenheter enligt modell B, regeringsförordning nr 1368/2007, reglerna och ersättningsmodellen för familjeenheter i modell B och tillhörande rättsakt, samt de rättsakter som ligger till grund för andra typer av primärvårdsenheters funktion), och ii) den lagstiftning som ligger till grund för vårdcentralsgrupperna (inklusive de rättsakter som ligger till grund för vårdcentralerna, nämligen lagdekret nr 28/2008).</w:t>
            </w:r>
          </w:p>
        </w:tc>
      </w:tr>
      <w:tr w:rsidR="00E040FD" w14:paraId="50205165" w14:textId="77777777">
        <w:trPr>
          <w:trHeight w:val="1270"/>
        </w:trPr>
        <w:tc>
          <w:tcPr>
            <w:tcW w:w="1135" w:type="dxa"/>
            <w:shd w:val="clear" w:color="auto" w:fill="C4EFCE"/>
            <w:noWrap/>
            <w:vAlign w:val="center"/>
            <w:hideMark/>
          </w:tcPr>
          <w:p w14:paraId="0533AA4A" w14:textId="77777777" w:rsidR="00E040FD" w:rsidRDefault="00740D64">
            <w:pPr>
              <w:pStyle w:val="P68B1DB1-Normal7"/>
              <w:spacing w:after="0" w:line="240" w:lineRule="auto"/>
              <w:jc w:val="center"/>
              <w:rPr>
                <w:rFonts w:eastAsia="Times New Roman" w:cs="Calibri"/>
                <w:noProof/>
              </w:rPr>
            </w:pPr>
            <w:r>
              <w:rPr>
                <w:noProof/>
              </w:rPr>
              <w:t>1.2</w:t>
            </w:r>
          </w:p>
        </w:tc>
        <w:tc>
          <w:tcPr>
            <w:tcW w:w="1276" w:type="dxa"/>
            <w:shd w:val="clear" w:color="auto" w:fill="C4EFCE"/>
            <w:noWrap/>
            <w:vAlign w:val="center"/>
            <w:hideMark/>
          </w:tcPr>
          <w:p w14:paraId="2A187FFF" w14:textId="77777777" w:rsidR="00E040FD" w:rsidRDefault="00740D64">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08F32C70"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3FC6D25" w14:textId="77777777" w:rsidR="00E040FD" w:rsidRDefault="00740D64">
            <w:pPr>
              <w:pStyle w:val="P68B1DB1-Normal8"/>
              <w:spacing w:after="0" w:line="240" w:lineRule="auto"/>
              <w:jc w:val="center"/>
              <w:rPr>
                <w:rFonts w:eastAsia="Times New Roman" w:cs="Calibri"/>
                <w:noProof/>
              </w:rPr>
            </w:pPr>
            <w:r>
              <w:rPr>
                <w:noProof/>
              </w:rPr>
              <w:t>Tillhandahållande av tillgång till riskstratifieringsinstrumentet för att stödja den kliniska styrningen i de funktionella enheterna i vårdcentralsgrupperna</w:t>
            </w:r>
          </w:p>
        </w:tc>
        <w:tc>
          <w:tcPr>
            <w:tcW w:w="1418" w:type="dxa"/>
            <w:shd w:val="clear" w:color="auto" w:fill="C4EFCE"/>
            <w:noWrap/>
            <w:vAlign w:val="center"/>
            <w:hideMark/>
          </w:tcPr>
          <w:p w14:paraId="35F427F1"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72AD19FF"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75CB367B"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FF60DCA" w14:textId="77777777" w:rsidR="00E040FD" w:rsidRDefault="00740D64">
            <w:pPr>
              <w:pStyle w:val="P68B1DB1-Normal8"/>
              <w:spacing w:after="0" w:line="240" w:lineRule="auto"/>
              <w:jc w:val="center"/>
              <w:rPr>
                <w:rFonts w:eastAsia="Times New Roman" w:cs="Calibri"/>
                <w:noProof/>
              </w:rPr>
            </w:pPr>
            <w:r>
              <w:rPr>
                <w:noProof/>
              </w:rPr>
              <w:t>1 000</w:t>
            </w:r>
          </w:p>
        </w:tc>
        <w:tc>
          <w:tcPr>
            <w:tcW w:w="833" w:type="dxa"/>
            <w:gridSpan w:val="2"/>
            <w:shd w:val="clear" w:color="auto" w:fill="C4EFCE"/>
            <w:noWrap/>
            <w:vAlign w:val="center"/>
            <w:hideMark/>
          </w:tcPr>
          <w:p w14:paraId="6D7BB0A8"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3D3518AA" w14:textId="77777777" w:rsidR="00E040FD" w:rsidRDefault="00740D6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39000082" w14:textId="77777777" w:rsidR="00E040FD" w:rsidRDefault="00740D64">
            <w:pPr>
              <w:pStyle w:val="P68B1DB1-Normal8"/>
              <w:spacing w:after="0" w:line="240" w:lineRule="auto"/>
              <w:jc w:val="both"/>
              <w:rPr>
                <w:rFonts w:eastAsia="Times New Roman" w:cs="Calibri"/>
                <w:noProof/>
              </w:rPr>
            </w:pPr>
            <w:r>
              <w:rPr>
                <w:noProof/>
              </w:rPr>
              <w:t>Antal funktionella enheter vid vårdcentraler som får tillgång till informationen från riskstratifieringsinstrumentet för registrerade användare. Riskstratifieringsinstrumentet ska möjliggöra proaktiva insatser i populationer med högre klinisk risk och social sårbarhet, säkerställa populationsbaserad screening och program för tidig diagnos i hela landet samt snabb behandling och lämplig uppföljning av användare som lider av de vanligaste sjukdomarna (hjärt- och kärlsjukdomar, diabetes, cancer, andningsorganen, mentala sjukdomar och osteoartikulära sjukdomar).</w:t>
            </w:r>
          </w:p>
        </w:tc>
      </w:tr>
      <w:tr w:rsidR="00E040FD" w14:paraId="10D6008A" w14:textId="77777777">
        <w:trPr>
          <w:trHeight w:val="1123"/>
        </w:trPr>
        <w:tc>
          <w:tcPr>
            <w:tcW w:w="1135" w:type="dxa"/>
            <w:shd w:val="clear" w:color="auto" w:fill="C4EFCE"/>
            <w:noWrap/>
            <w:vAlign w:val="center"/>
            <w:hideMark/>
          </w:tcPr>
          <w:p w14:paraId="02DF6530" w14:textId="77777777" w:rsidR="00E040FD" w:rsidRDefault="00740D64">
            <w:pPr>
              <w:pStyle w:val="P68B1DB1-Normal7"/>
              <w:spacing w:after="0" w:line="240" w:lineRule="auto"/>
              <w:jc w:val="center"/>
              <w:rPr>
                <w:rFonts w:eastAsia="Times New Roman" w:cs="Calibri"/>
                <w:noProof/>
              </w:rPr>
            </w:pPr>
            <w:r>
              <w:rPr>
                <w:noProof/>
              </w:rPr>
              <w:t>1.3</w:t>
            </w:r>
          </w:p>
        </w:tc>
        <w:tc>
          <w:tcPr>
            <w:tcW w:w="1276" w:type="dxa"/>
            <w:shd w:val="clear" w:color="auto" w:fill="C4EFCE"/>
            <w:noWrap/>
            <w:vAlign w:val="center"/>
            <w:hideMark/>
          </w:tcPr>
          <w:p w14:paraId="4F399F94" w14:textId="77777777" w:rsidR="00E040FD" w:rsidRDefault="00740D64">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70ABD2FF"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0ACA7681" w14:textId="77777777" w:rsidR="00E040FD" w:rsidRDefault="00740D64">
            <w:pPr>
              <w:pStyle w:val="P68B1DB1-Normal8"/>
              <w:spacing w:after="0" w:line="240" w:lineRule="auto"/>
              <w:jc w:val="center"/>
              <w:rPr>
                <w:rFonts w:eastAsia="Times New Roman" w:cs="Calibri"/>
                <w:noProof/>
              </w:rPr>
            </w:pPr>
            <w:r>
              <w:rPr>
                <w:noProof/>
              </w:rPr>
              <w:t>Slutförande av decentraliseringen av ansvaret på hälsoområdet i kommunerna</w:t>
            </w:r>
          </w:p>
        </w:tc>
        <w:tc>
          <w:tcPr>
            <w:tcW w:w="1418" w:type="dxa"/>
            <w:shd w:val="clear" w:color="auto" w:fill="C4EFCE"/>
            <w:noWrap/>
            <w:vAlign w:val="center"/>
            <w:hideMark/>
          </w:tcPr>
          <w:p w14:paraId="1430DBB4"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1693BA5"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2D21E5B6"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8763683" w14:textId="77777777" w:rsidR="00E040FD" w:rsidRDefault="00740D64">
            <w:pPr>
              <w:pStyle w:val="P68B1DB1-Normal8"/>
              <w:spacing w:after="0" w:line="240" w:lineRule="auto"/>
              <w:jc w:val="center"/>
              <w:rPr>
                <w:rFonts w:eastAsia="Times New Roman" w:cs="Calibri"/>
                <w:noProof/>
              </w:rPr>
            </w:pPr>
            <w:r>
              <w:rPr>
                <w:noProof/>
              </w:rPr>
              <w:t>201</w:t>
            </w:r>
          </w:p>
        </w:tc>
        <w:tc>
          <w:tcPr>
            <w:tcW w:w="833" w:type="dxa"/>
            <w:gridSpan w:val="2"/>
            <w:shd w:val="clear" w:color="auto" w:fill="C4EFCE"/>
            <w:noWrap/>
            <w:vAlign w:val="center"/>
            <w:hideMark/>
          </w:tcPr>
          <w:p w14:paraId="3A15E654"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7531FAD5" w14:textId="77777777" w:rsidR="00E040FD" w:rsidRDefault="00740D6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1970A0D0" w14:textId="5F4E6DC1" w:rsidR="00E040FD" w:rsidRDefault="00740D64">
            <w:pPr>
              <w:pStyle w:val="P68B1DB1-Normal8"/>
              <w:spacing w:after="0" w:line="240" w:lineRule="auto"/>
              <w:jc w:val="both"/>
              <w:rPr>
                <w:rFonts w:eastAsia="Times New Roman" w:cs="Calibri"/>
                <w:noProof/>
              </w:rPr>
            </w:pPr>
            <w:r>
              <w:rPr>
                <w:noProof/>
              </w:rPr>
              <w:t xml:space="preserve">Antal nya kommuner där decentraliseringen av ansvaret på hälsoområdet, i enlighet med lagdekret nr 23/2019 av den 30 januari, har slutförts genom att hälsoministeriet, de regionala hälso- och sjukvårdsförvaltningarna och kommunerna undertecknat ett överföringsmeddelande. Överföringen av ansvar ska omfatta följande: i) Kommunernas deltagande i primärvårdsenheternas planerings-, förvaltnings- och investeringsbeslut och i uppdelningen av ingrepp i beroendeframkallande beteenden och beroendeförhållanden, särskilt när det gäller byggnation, utrustning och underhåll. II) Förvaltning, underhåll och bevarande av annan primärvårdsutrustning. III) Hantering av hälso- och sjukvårdspersonal i kategorin operativ assistent vid de funktionella enheterna inom vårdcentralsgrupper och insatsavdelningar för beroendebeteende och beroendeförhållanden som integrerar det nationella hälso- och sjukvårdssystemet. IV) Hantering av logistiska stödtjänster för vårdcentralsgrupper. </w:t>
            </w:r>
          </w:p>
        </w:tc>
      </w:tr>
      <w:tr w:rsidR="00E040FD" w14:paraId="52519A96" w14:textId="77777777">
        <w:trPr>
          <w:trHeight w:val="640"/>
        </w:trPr>
        <w:tc>
          <w:tcPr>
            <w:tcW w:w="1135" w:type="dxa"/>
            <w:shd w:val="clear" w:color="auto" w:fill="C4EFCE"/>
            <w:noWrap/>
            <w:vAlign w:val="center"/>
            <w:hideMark/>
          </w:tcPr>
          <w:p w14:paraId="7CDF71B7" w14:textId="77777777" w:rsidR="00E040FD" w:rsidRDefault="00740D64">
            <w:pPr>
              <w:pStyle w:val="P68B1DB1-Normal7"/>
              <w:spacing w:after="0" w:line="240" w:lineRule="auto"/>
              <w:jc w:val="center"/>
              <w:rPr>
                <w:rFonts w:eastAsia="Times New Roman" w:cs="Calibri"/>
                <w:noProof/>
              </w:rPr>
            </w:pPr>
            <w:r>
              <w:rPr>
                <w:noProof/>
              </w:rPr>
              <w:t>1.4</w:t>
            </w:r>
          </w:p>
        </w:tc>
        <w:tc>
          <w:tcPr>
            <w:tcW w:w="1276" w:type="dxa"/>
            <w:shd w:val="clear" w:color="auto" w:fill="C4EFCE"/>
            <w:noWrap/>
            <w:vAlign w:val="center"/>
            <w:hideMark/>
          </w:tcPr>
          <w:p w14:paraId="231A738A" w14:textId="77777777" w:rsidR="00E040FD" w:rsidRDefault="00740D64">
            <w:pPr>
              <w:pStyle w:val="P68B1DB1-Normal8"/>
              <w:spacing w:after="0" w:line="240" w:lineRule="auto"/>
              <w:jc w:val="center"/>
              <w:rPr>
                <w:rFonts w:eastAsia="Times New Roman" w:cs="Calibri"/>
                <w:noProof/>
              </w:rPr>
            </w:pPr>
            <w:r>
              <w:rPr>
                <w:noProof/>
              </w:rPr>
              <w:t>RE-C01-r02</w:t>
            </w:r>
          </w:p>
        </w:tc>
        <w:tc>
          <w:tcPr>
            <w:tcW w:w="992" w:type="dxa"/>
            <w:shd w:val="clear" w:color="auto" w:fill="C4EFCE"/>
            <w:noWrap/>
            <w:vAlign w:val="center"/>
            <w:hideMark/>
          </w:tcPr>
          <w:p w14:paraId="48CF4AED"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537A3F1D" w14:textId="77777777" w:rsidR="00E040FD" w:rsidRDefault="00740D64">
            <w:pPr>
              <w:pStyle w:val="P68B1DB1-Normal8"/>
              <w:spacing w:after="0" w:line="240" w:lineRule="auto"/>
              <w:jc w:val="center"/>
              <w:rPr>
                <w:rFonts w:eastAsia="Times New Roman" w:cs="Calibri"/>
                <w:noProof/>
              </w:rPr>
            </w:pPr>
            <w:r>
              <w:rPr>
                <w:noProof/>
              </w:rPr>
              <w:t>Ikraftträdande av det nya lagdekretet om psykisk hälsa, i vilket principerna för organisationen av psykiatrisk vård fastställs</w:t>
            </w:r>
          </w:p>
        </w:tc>
        <w:tc>
          <w:tcPr>
            <w:tcW w:w="1418" w:type="dxa"/>
            <w:shd w:val="clear" w:color="auto" w:fill="C4EFCE"/>
            <w:noWrap/>
            <w:vAlign w:val="center"/>
            <w:hideMark/>
          </w:tcPr>
          <w:p w14:paraId="13D40D49" w14:textId="77777777" w:rsidR="00E040FD" w:rsidRDefault="00740D64">
            <w:pPr>
              <w:pStyle w:val="P68B1DB1-Normal8"/>
              <w:spacing w:after="0" w:line="240" w:lineRule="auto"/>
              <w:jc w:val="center"/>
              <w:rPr>
                <w:rFonts w:eastAsia="Times New Roman" w:cs="Calibri"/>
                <w:noProof/>
              </w:rPr>
            </w:pPr>
            <w:r>
              <w:rPr>
                <w:noProof/>
              </w:rPr>
              <w:t>Ikraftträdande av det nya lagdekretet om psykisk hälsa</w:t>
            </w:r>
          </w:p>
        </w:tc>
        <w:tc>
          <w:tcPr>
            <w:tcW w:w="1164" w:type="dxa"/>
            <w:shd w:val="clear" w:color="auto" w:fill="C4EFCE"/>
            <w:noWrap/>
            <w:vAlign w:val="center"/>
            <w:hideMark/>
          </w:tcPr>
          <w:p w14:paraId="490E6384"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480C890F"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3F2D094"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35388639"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548204FC" w14:textId="77777777" w:rsidR="00E040FD" w:rsidRDefault="00740D64">
            <w:pPr>
              <w:pStyle w:val="P68B1DB1-Normal8"/>
              <w:spacing w:after="0" w:line="240" w:lineRule="auto"/>
              <w:jc w:val="center"/>
              <w:rPr>
                <w:rFonts w:eastAsia="Times New Roman" w:cs="Calibri"/>
                <w:noProof/>
              </w:rPr>
            </w:pPr>
            <w:r>
              <w:rPr>
                <w:noProof/>
              </w:rPr>
              <w:t>2021</w:t>
            </w:r>
          </w:p>
        </w:tc>
        <w:tc>
          <w:tcPr>
            <w:tcW w:w="3981" w:type="dxa"/>
            <w:shd w:val="clear" w:color="auto" w:fill="C4EFCE"/>
            <w:noWrap/>
            <w:vAlign w:val="center"/>
            <w:hideMark/>
          </w:tcPr>
          <w:p w14:paraId="1B060DF1" w14:textId="77777777" w:rsidR="00E040FD" w:rsidRDefault="00740D64">
            <w:pPr>
              <w:pStyle w:val="P68B1DB1-Normal8"/>
              <w:spacing w:after="0" w:line="240" w:lineRule="auto"/>
              <w:jc w:val="both"/>
              <w:rPr>
                <w:rFonts w:eastAsia="Times New Roman" w:cs="Calibri"/>
                <w:noProof/>
              </w:rPr>
            </w:pPr>
            <w:r>
              <w:rPr>
                <w:noProof/>
              </w:rPr>
              <w:t>Det nya lagdekretet ska återspegla de förslag till ändringar som lagts fram av den arbetsgrupp som inrättats genom regeringsförordning nr 6324/2020 av den 15 juni, ändrad genom regeringsförordning nr 11485/2020 av den 20 november, i syfte att fastställa principerna för organisationen av psykiatrisk vård.</w:t>
            </w:r>
          </w:p>
        </w:tc>
      </w:tr>
      <w:tr w:rsidR="00E040FD" w14:paraId="5A9C21C0" w14:textId="77777777">
        <w:trPr>
          <w:trHeight w:val="1966"/>
        </w:trPr>
        <w:tc>
          <w:tcPr>
            <w:tcW w:w="1135" w:type="dxa"/>
            <w:shd w:val="clear" w:color="auto" w:fill="C4EFCE"/>
            <w:noWrap/>
            <w:vAlign w:val="center"/>
            <w:hideMark/>
          </w:tcPr>
          <w:p w14:paraId="1FA443A3" w14:textId="77777777" w:rsidR="00E040FD" w:rsidRDefault="00740D64">
            <w:pPr>
              <w:pStyle w:val="P68B1DB1-Normal7"/>
              <w:spacing w:after="0" w:line="240" w:lineRule="auto"/>
              <w:jc w:val="center"/>
              <w:rPr>
                <w:rFonts w:eastAsia="Times New Roman" w:cs="Calibri"/>
                <w:noProof/>
              </w:rPr>
            </w:pPr>
            <w:r>
              <w:rPr>
                <w:noProof/>
              </w:rPr>
              <w:t>1.5</w:t>
            </w:r>
          </w:p>
        </w:tc>
        <w:tc>
          <w:tcPr>
            <w:tcW w:w="1276" w:type="dxa"/>
            <w:shd w:val="clear" w:color="auto" w:fill="C4EFCE"/>
            <w:noWrap/>
            <w:vAlign w:val="center"/>
            <w:hideMark/>
          </w:tcPr>
          <w:p w14:paraId="7BC38134" w14:textId="77777777" w:rsidR="00E040FD" w:rsidRDefault="00740D64">
            <w:pPr>
              <w:pStyle w:val="P68B1DB1-Normal8"/>
              <w:spacing w:after="0" w:line="240" w:lineRule="auto"/>
              <w:jc w:val="center"/>
              <w:rPr>
                <w:rFonts w:eastAsia="Times New Roman" w:cs="Calibri"/>
                <w:noProof/>
              </w:rPr>
            </w:pPr>
            <w:r>
              <w:rPr>
                <w:noProof/>
              </w:rPr>
              <w:t>RE-C01-r02</w:t>
            </w:r>
          </w:p>
        </w:tc>
        <w:tc>
          <w:tcPr>
            <w:tcW w:w="992" w:type="dxa"/>
            <w:shd w:val="clear" w:color="auto" w:fill="C4EFCE"/>
            <w:noWrap/>
            <w:vAlign w:val="center"/>
            <w:hideMark/>
          </w:tcPr>
          <w:p w14:paraId="1640A28D"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48A8BC09" w14:textId="77777777" w:rsidR="00E040FD" w:rsidRDefault="00740D64">
            <w:pPr>
              <w:pStyle w:val="P68B1DB1-Normal8"/>
              <w:spacing w:after="0" w:line="240" w:lineRule="auto"/>
              <w:jc w:val="center"/>
              <w:rPr>
                <w:rFonts w:eastAsia="Times New Roman" w:cs="Calibri"/>
                <w:noProof/>
              </w:rPr>
            </w:pPr>
            <w:r>
              <w:rPr>
                <w:noProof/>
              </w:rPr>
              <w:t>Ikraftträdande av den nya lagen om psykisk hälsa, som fastställer principerna om rättigheter för personer med psykisk ohälsa och reglerar obligatorisk sjukhusvistelse eller behandling.</w:t>
            </w:r>
          </w:p>
        </w:tc>
        <w:tc>
          <w:tcPr>
            <w:tcW w:w="1418" w:type="dxa"/>
            <w:shd w:val="clear" w:color="auto" w:fill="C4EFCE"/>
            <w:noWrap/>
            <w:vAlign w:val="center"/>
            <w:hideMark/>
          </w:tcPr>
          <w:p w14:paraId="0C4283AF" w14:textId="77777777" w:rsidR="00E040FD" w:rsidRDefault="00740D64">
            <w:pPr>
              <w:pStyle w:val="P68B1DB1-Normal8"/>
              <w:spacing w:after="0" w:line="240" w:lineRule="auto"/>
              <w:jc w:val="center"/>
              <w:rPr>
                <w:rFonts w:eastAsia="Times New Roman" w:cs="Calibri"/>
                <w:noProof/>
              </w:rPr>
            </w:pPr>
            <w:r>
              <w:rPr>
                <w:noProof/>
              </w:rPr>
              <w:t>Den nya lagen om psykisk hälsa träder i kraft</w:t>
            </w:r>
          </w:p>
        </w:tc>
        <w:tc>
          <w:tcPr>
            <w:tcW w:w="1164" w:type="dxa"/>
            <w:shd w:val="clear" w:color="auto" w:fill="C4EFCE"/>
            <w:noWrap/>
            <w:vAlign w:val="center"/>
            <w:hideMark/>
          </w:tcPr>
          <w:p w14:paraId="6EC27EF4"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368D4131"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640AB3AA"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99B69D0" w14:textId="77777777" w:rsidR="00E040FD" w:rsidRDefault="00740D64">
            <w:pPr>
              <w:pStyle w:val="P68B1DB1-Normal8"/>
              <w:spacing w:after="0" w:line="240" w:lineRule="auto"/>
              <w:jc w:val="center"/>
              <w:rPr>
                <w:rFonts w:eastAsia="Times New Roman" w:cs="Calibri"/>
                <w:noProof/>
              </w:rPr>
            </w:pPr>
            <w:r>
              <w:rPr>
                <w:noProof/>
              </w:rPr>
              <w:t>KVARTAL 1</w:t>
            </w:r>
          </w:p>
        </w:tc>
        <w:tc>
          <w:tcPr>
            <w:tcW w:w="901" w:type="dxa"/>
            <w:shd w:val="clear" w:color="auto" w:fill="C4EFCE"/>
            <w:noWrap/>
            <w:vAlign w:val="center"/>
            <w:hideMark/>
          </w:tcPr>
          <w:p w14:paraId="2A36F701" w14:textId="77777777" w:rsidR="00E040FD" w:rsidRDefault="00740D6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19AE9BCF" w14:textId="77777777" w:rsidR="00E040FD" w:rsidRDefault="00740D64">
            <w:pPr>
              <w:pStyle w:val="P68B1DB1-Normal8"/>
              <w:spacing w:after="0" w:line="240" w:lineRule="auto"/>
              <w:jc w:val="both"/>
              <w:rPr>
                <w:rFonts w:eastAsia="Times New Roman" w:cs="Calibri"/>
                <w:noProof/>
              </w:rPr>
            </w:pPr>
            <w:r>
              <w:rPr>
                <w:noProof/>
              </w:rPr>
              <w:t>Den nya lagen om psykisk hälsa ska återspegla de förslag till ändringar som lagts fram av den arbetsgrupp som inrättats genom regeringsförordning nr 6324/2020 av den 15 juni, ändrad genom regeringsförordning nr 11485/2020 av den 20 november, i syfte att fastställa principerna om rättigheter för personer med psykisk ohälsa och reglera obligatorisk sjukhusvistelse eller behandling.</w:t>
            </w:r>
          </w:p>
        </w:tc>
      </w:tr>
      <w:tr w:rsidR="00E040FD" w14:paraId="30477D5B" w14:textId="77777777">
        <w:trPr>
          <w:trHeight w:val="850"/>
        </w:trPr>
        <w:tc>
          <w:tcPr>
            <w:tcW w:w="1135" w:type="dxa"/>
            <w:shd w:val="clear" w:color="auto" w:fill="C4EFCE"/>
            <w:noWrap/>
            <w:vAlign w:val="center"/>
            <w:hideMark/>
          </w:tcPr>
          <w:p w14:paraId="32C79C84" w14:textId="77777777" w:rsidR="00E040FD" w:rsidRDefault="00740D64">
            <w:pPr>
              <w:pStyle w:val="P68B1DB1-Normal7"/>
              <w:spacing w:after="0" w:line="240" w:lineRule="auto"/>
              <w:jc w:val="center"/>
              <w:rPr>
                <w:rFonts w:eastAsia="Times New Roman" w:cs="Calibri"/>
                <w:noProof/>
              </w:rPr>
            </w:pPr>
            <w:r>
              <w:rPr>
                <w:noProof/>
              </w:rPr>
              <w:t>1.6</w:t>
            </w:r>
          </w:p>
        </w:tc>
        <w:tc>
          <w:tcPr>
            <w:tcW w:w="1276" w:type="dxa"/>
            <w:shd w:val="clear" w:color="auto" w:fill="C4EFCE"/>
            <w:noWrap/>
            <w:vAlign w:val="center"/>
            <w:hideMark/>
          </w:tcPr>
          <w:p w14:paraId="2ECC3EA8" w14:textId="77777777" w:rsidR="00E040FD" w:rsidRDefault="00740D6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6C8C908A"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791F258" w14:textId="77777777" w:rsidR="00E040FD" w:rsidRDefault="00740D64">
            <w:pPr>
              <w:pStyle w:val="P68B1DB1-Normal8"/>
              <w:spacing w:after="0" w:line="240" w:lineRule="auto"/>
              <w:jc w:val="center"/>
              <w:rPr>
                <w:rFonts w:eastAsia="Times New Roman" w:cs="Calibri"/>
                <w:noProof/>
              </w:rPr>
            </w:pPr>
            <w:r>
              <w:rPr>
                <w:noProof/>
              </w:rPr>
              <w:t xml:space="preserve">Ikraftträdande av den nya mallen för förvaltningskontrakt </w:t>
            </w:r>
          </w:p>
        </w:tc>
        <w:tc>
          <w:tcPr>
            <w:tcW w:w="1418" w:type="dxa"/>
            <w:shd w:val="clear" w:color="auto" w:fill="C4EFCE"/>
            <w:noWrap/>
            <w:vAlign w:val="center"/>
            <w:hideMark/>
          </w:tcPr>
          <w:p w14:paraId="650B0FAE" w14:textId="77777777" w:rsidR="00E040FD" w:rsidRDefault="00740D64">
            <w:pPr>
              <w:pStyle w:val="P68B1DB1-Normal8"/>
              <w:spacing w:after="0" w:line="240" w:lineRule="auto"/>
              <w:jc w:val="center"/>
              <w:rPr>
                <w:rFonts w:eastAsia="Times New Roman" w:cs="Calibri"/>
                <w:noProof/>
              </w:rPr>
            </w:pPr>
            <w:r>
              <w:rPr>
                <w:noProof/>
              </w:rPr>
              <w:t>Ikraftträdande av den nya mallen för förvaltningskontrakt</w:t>
            </w:r>
          </w:p>
        </w:tc>
        <w:tc>
          <w:tcPr>
            <w:tcW w:w="1164" w:type="dxa"/>
            <w:shd w:val="clear" w:color="auto" w:fill="C4EFCE"/>
            <w:noWrap/>
            <w:vAlign w:val="center"/>
            <w:hideMark/>
          </w:tcPr>
          <w:p w14:paraId="74656DC2"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7230ACBA"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505F4225"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717978E7" w14:textId="77777777" w:rsidR="00E040FD" w:rsidRDefault="00740D64">
            <w:pPr>
              <w:pStyle w:val="P68B1DB1-Normal8"/>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5C203299" w14:textId="77777777" w:rsidR="00E040FD" w:rsidRDefault="00740D6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5A41FB03" w14:textId="77777777" w:rsidR="00E040FD" w:rsidRDefault="00740D64">
            <w:pPr>
              <w:pStyle w:val="P68B1DB1-Normal8"/>
              <w:spacing w:after="0" w:line="240" w:lineRule="auto"/>
              <w:jc w:val="both"/>
              <w:rPr>
                <w:rFonts w:eastAsia="Times New Roman" w:cs="Calibri"/>
                <w:noProof/>
              </w:rPr>
            </w:pPr>
            <w:r>
              <w:rPr>
                <w:noProof/>
              </w:rPr>
              <w:t>Ikraftträdande, genom gemensamt godkännande av hälso- och finansministerierna, av den nya mallen för förvaltningskontrakt. Den nya mallen ska följas av alla framtida förvaltningskontrakt som ska undertecknas av alla offentliga chefer för statsägda företag i hälso- och sjukvårdssystemet, i syfte att stärka ansvarsskyldigheten och uppmuntra resultatbaserade förvaltningsmetoder.</w:t>
            </w:r>
          </w:p>
        </w:tc>
      </w:tr>
      <w:tr w:rsidR="00E040FD" w14:paraId="62CE5DDB" w14:textId="77777777">
        <w:trPr>
          <w:trHeight w:val="556"/>
        </w:trPr>
        <w:tc>
          <w:tcPr>
            <w:tcW w:w="1135" w:type="dxa"/>
            <w:shd w:val="clear" w:color="auto" w:fill="C4EFCE"/>
            <w:noWrap/>
            <w:vAlign w:val="center"/>
            <w:hideMark/>
          </w:tcPr>
          <w:p w14:paraId="41A0C8AD" w14:textId="77777777" w:rsidR="00E040FD" w:rsidRDefault="00740D64">
            <w:pPr>
              <w:pStyle w:val="P68B1DB1-Normal7"/>
              <w:spacing w:after="0" w:line="240" w:lineRule="auto"/>
              <w:jc w:val="center"/>
              <w:rPr>
                <w:rFonts w:eastAsia="Times New Roman" w:cs="Calibri"/>
                <w:noProof/>
              </w:rPr>
            </w:pPr>
            <w:r>
              <w:rPr>
                <w:noProof/>
              </w:rPr>
              <w:t>1.7</w:t>
            </w:r>
          </w:p>
        </w:tc>
        <w:tc>
          <w:tcPr>
            <w:tcW w:w="1276" w:type="dxa"/>
            <w:shd w:val="clear" w:color="auto" w:fill="C4EFCE"/>
            <w:noWrap/>
            <w:vAlign w:val="center"/>
            <w:hideMark/>
          </w:tcPr>
          <w:p w14:paraId="503F6CAA" w14:textId="77777777" w:rsidR="00E040FD" w:rsidRDefault="00740D6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2C388B1A"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03D3A04" w14:textId="77777777" w:rsidR="00E040FD" w:rsidRDefault="00740D64">
            <w:pPr>
              <w:pStyle w:val="P68B1DB1-Normal8"/>
              <w:spacing w:after="0" w:line="240" w:lineRule="auto"/>
              <w:jc w:val="center"/>
              <w:rPr>
                <w:rFonts w:eastAsia="Times New Roman" w:cs="Calibri"/>
                <w:noProof/>
              </w:rPr>
            </w:pPr>
            <w:r>
              <w:rPr>
                <w:noProof/>
              </w:rPr>
              <w:t>Ikraftträdande av den nya förvaltningsplanen för den nationella hälso- och sjukvården</w:t>
            </w:r>
          </w:p>
        </w:tc>
        <w:tc>
          <w:tcPr>
            <w:tcW w:w="1418" w:type="dxa"/>
            <w:shd w:val="clear" w:color="auto" w:fill="C4EFCE"/>
            <w:noWrap/>
            <w:vAlign w:val="center"/>
            <w:hideMark/>
          </w:tcPr>
          <w:p w14:paraId="17E76F91" w14:textId="77777777" w:rsidR="00E040FD" w:rsidRDefault="00740D64">
            <w:pPr>
              <w:pStyle w:val="P68B1DB1-Normal8"/>
              <w:spacing w:after="0" w:line="240" w:lineRule="auto"/>
              <w:jc w:val="center"/>
              <w:rPr>
                <w:rFonts w:eastAsia="Times New Roman" w:cs="Calibri"/>
                <w:noProof/>
              </w:rPr>
            </w:pPr>
            <w:r>
              <w:rPr>
                <w:noProof/>
              </w:rPr>
              <w:t>Den nya förvaltningsplanen träder i kraft</w:t>
            </w:r>
          </w:p>
        </w:tc>
        <w:tc>
          <w:tcPr>
            <w:tcW w:w="1164" w:type="dxa"/>
            <w:shd w:val="clear" w:color="auto" w:fill="C4EFCE"/>
            <w:noWrap/>
            <w:vAlign w:val="center"/>
            <w:hideMark/>
          </w:tcPr>
          <w:p w14:paraId="24AFC56D"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06359F79"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52339343"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FA554EC" w14:textId="77777777" w:rsidR="00E040FD" w:rsidRDefault="00740D64">
            <w:pPr>
              <w:pStyle w:val="P68B1DB1-Normal8"/>
              <w:spacing w:after="0" w:line="240" w:lineRule="auto"/>
              <w:jc w:val="center"/>
              <w:rPr>
                <w:rFonts w:eastAsia="Times New Roman" w:cs="Calibri"/>
                <w:noProof/>
              </w:rPr>
            </w:pPr>
            <w:r>
              <w:rPr>
                <w:noProof/>
              </w:rPr>
              <w:t>KVARTAL 1</w:t>
            </w:r>
          </w:p>
        </w:tc>
        <w:tc>
          <w:tcPr>
            <w:tcW w:w="901" w:type="dxa"/>
            <w:shd w:val="clear" w:color="auto" w:fill="C4EFCE"/>
            <w:noWrap/>
            <w:vAlign w:val="center"/>
            <w:hideMark/>
          </w:tcPr>
          <w:p w14:paraId="24B7A493" w14:textId="77777777" w:rsidR="00E040FD" w:rsidRDefault="00740D6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34314FC7" w14:textId="77777777" w:rsidR="00E040FD" w:rsidRDefault="00740D64">
            <w:pPr>
              <w:pStyle w:val="P68B1DB1-Normal8"/>
              <w:spacing w:after="0" w:line="240" w:lineRule="auto"/>
              <w:jc w:val="both"/>
              <w:rPr>
                <w:rFonts w:eastAsia="Times New Roman" w:cs="Calibri"/>
                <w:noProof/>
              </w:rPr>
            </w:pPr>
            <w:r>
              <w:rPr>
                <w:noProof/>
              </w:rPr>
              <w:t>Upprättande av en förvaltningsplan för det nationella hälso- och sjukvårdssystemet i syfte att på nationell nivå samla in information om sjukhusens kostnader, inkomster och resultat, och därigenom förbättra resursfördelningen inom det nationella hälso- och sjukvårdssystemet, riktmärkning och identifiera områden där hälso- och sjukvårdsorganens operativa effektivitet kan förbättras. Den nya förvaltningsplanen ska spridas genom ett normerande cirkulär av den centrala förvaltningen av hälso- och sjukvårdssystemet.</w:t>
            </w:r>
          </w:p>
        </w:tc>
      </w:tr>
      <w:tr w:rsidR="00E040FD" w14:paraId="32CD0FC0" w14:textId="77777777">
        <w:trPr>
          <w:trHeight w:val="509"/>
        </w:trPr>
        <w:tc>
          <w:tcPr>
            <w:tcW w:w="1135" w:type="dxa"/>
            <w:shd w:val="clear" w:color="auto" w:fill="C4EFCE"/>
            <w:noWrap/>
            <w:vAlign w:val="center"/>
            <w:hideMark/>
          </w:tcPr>
          <w:p w14:paraId="21F38F39" w14:textId="77777777" w:rsidR="00E040FD" w:rsidRDefault="00740D64">
            <w:pPr>
              <w:pStyle w:val="P68B1DB1-Normal7"/>
              <w:spacing w:after="0" w:line="240" w:lineRule="auto"/>
              <w:jc w:val="center"/>
              <w:rPr>
                <w:rFonts w:eastAsia="Times New Roman" w:cs="Calibri"/>
                <w:noProof/>
              </w:rPr>
            </w:pPr>
            <w:r>
              <w:rPr>
                <w:noProof/>
              </w:rPr>
              <w:t>1.8</w:t>
            </w:r>
          </w:p>
        </w:tc>
        <w:tc>
          <w:tcPr>
            <w:tcW w:w="1276" w:type="dxa"/>
            <w:shd w:val="clear" w:color="auto" w:fill="C4EFCE"/>
            <w:noWrap/>
            <w:vAlign w:val="center"/>
            <w:hideMark/>
          </w:tcPr>
          <w:p w14:paraId="17CA506E" w14:textId="77777777" w:rsidR="00E040FD" w:rsidRDefault="00740D6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477C53D1"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07A85A30" w14:textId="77777777" w:rsidR="00E040FD" w:rsidRDefault="00740D64">
            <w:pPr>
              <w:pStyle w:val="P68B1DB1-Normal8"/>
              <w:spacing w:after="0" w:line="240" w:lineRule="auto"/>
              <w:jc w:val="center"/>
              <w:rPr>
                <w:rFonts w:eastAsia="Times New Roman" w:cs="Calibri"/>
                <w:noProof/>
              </w:rPr>
            </w:pPr>
            <w:r>
              <w:rPr>
                <w:noProof/>
              </w:rPr>
              <w:t>Inrättande av nya integrerade ansvarscentrum på sjukhusen inom den nationella hälso- och sjukvården</w:t>
            </w:r>
          </w:p>
        </w:tc>
        <w:tc>
          <w:tcPr>
            <w:tcW w:w="1418" w:type="dxa"/>
            <w:shd w:val="clear" w:color="auto" w:fill="C4EFCE"/>
            <w:noWrap/>
            <w:vAlign w:val="center"/>
            <w:hideMark/>
          </w:tcPr>
          <w:p w14:paraId="60988E12"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78F2FF0"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2B2EFD81"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44C0063E" w14:textId="77777777" w:rsidR="00E040FD" w:rsidRDefault="00740D64">
            <w:pPr>
              <w:pStyle w:val="P68B1DB1-Normal8"/>
              <w:spacing w:after="0" w:line="240" w:lineRule="auto"/>
              <w:jc w:val="center"/>
              <w:rPr>
                <w:rFonts w:eastAsia="Times New Roman" w:cs="Calibri"/>
                <w:noProof/>
              </w:rPr>
            </w:pPr>
            <w:r>
              <w:rPr>
                <w:noProof/>
              </w:rPr>
              <w:t>10</w:t>
            </w:r>
          </w:p>
        </w:tc>
        <w:tc>
          <w:tcPr>
            <w:tcW w:w="833" w:type="dxa"/>
            <w:gridSpan w:val="2"/>
            <w:shd w:val="clear" w:color="auto" w:fill="C4EFCE"/>
            <w:noWrap/>
            <w:vAlign w:val="center"/>
            <w:hideMark/>
          </w:tcPr>
          <w:p w14:paraId="15BC6433"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775CACAD" w14:textId="77777777" w:rsidR="00E040FD" w:rsidRDefault="00740D6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95952DF" w14:textId="77777777" w:rsidR="00E040FD" w:rsidRDefault="00740D64">
            <w:pPr>
              <w:pStyle w:val="P68B1DB1-Normal8"/>
              <w:spacing w:after="0" w:line="240" w:lineRule="auto"/>
              <w:jc w:val="both"/>
              <w:rPr>
                <w:rFonts w:eastAsia="Times New Roman" w:cs="Calibri"/>
                <w:noProof/>
              </w:rPr>
            </w:pPr>
            <w:r>
              <w:rPr>
                <w:noProof/>
              </w:rPr>
              <w:t>Inrättande av nya integrerade ansvarscentrum på sjukhusen inom den nationella hälso- och sjukvården för att i) förbättra tillgången till, kvaliteten på och effektiviteten i tillhandahållandet av hälso- och sjukvårdstjänster, II) stärka den kliniska styrningen, oberoendet och ansvarsskyldigheten för hälso- och sjukvården, III) uppmuntra hälso- och sjukvårdspersonal att fortsätta att arbeta på offentliga sjukhus, IV) dela risker och fördelar mellan hälso- och sjukvårdstjänster och sjukhus. V) värdera varje hälso- och sjukvårdsinrättnings och sjukhuss uppdrag i det regionala och nationella sammanhanget för det nationella hälso- och sjukvårdssystemet.</w:t>
            </w:r>
          </w:p>
        </w:tc>
      </w:tr>
      <w:tr w:rsidR="00E040FD" w14:paraId="1939BFC6" w14:textId="77777777">
        <w:trPr>
          <w:trHeight w:val="1270"/>
        </w:trPr>
        <w:tc>
          <w:tcPr>
            <w:tcW w:w="1135" w:type="dxa"/>
            <w:shd w:val="clear" w:color="auto" w:fill="C4EFCE"/>
            <w:noWrap/>
            <w:vAlign w:val="center"/>
            <w:hideMark/>
          </w:tcPr>
          <w:p w14:paraId="3C32EC3C" w14:textId="77777777" w:rsidR="00E040FD" w:rsidRDefault="00740D64">
            <w:pPr>
              <w:pStyle w:val="P68B1DB1-Normal7"/>
              <w:spacing w:after="0" w:line="240" w:lineRule="auto"/>
              <w:jc w:val="center"/>
              <w:rPr>
                <w:rFonts w:eastAsia="Times New Roman" w:cs="Calibri"/>
                <w:noProof/>
              </w:rPr>
            </w:pPr>
            <w:r>
              <w:rPr>
                <w:noProof/>
              </w:rPr>
              <w:t>1.9</w:t>
            </w:r>
          </w:p>
        </w:tc>
        <w:tc>
          <w:tcPr>
            <w:tcW w:w="1276" w:type="dxa"/>
            <w:shd w:val="clear" w:color="auto" w:fill="C4EFCE"/>
            <w:noWrap/>
            <w:vAlign w:val="center"/>
            <w:hideMark/>
          </w:tcPr>
          <w:p w14:paraId="089D7CDD" w14:textId="77777777" w:rsidR="00E040FD" w:rsidRDefault="00740D6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1CCBCD34"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18C1018" w14:textId="77777777" w:rsidR="00E040FD" w:rsidRDefault="00740D64">
            <w:pPr>
              <w:pStyle w:val="P68B1DB1-Normal8"/>
              <w:spacing w:after="0" w:line="240" w:lineRule="auto"/>
              <w:jc w:val="center"/>
              <w:rPr>
                <w:rFonts w:eastAsia="Times New Roman" w:cs="Calibri"/>
                <w:noProof/>
              </w:rPr>
            </w:pPr>
            <w:r>
              <w:rPr>
                <w:noProof/>
              </w:rPr>
              <w:t>Inrättande av nya integrerade ansvarscentrum på sjukhusen inom den nationella hälso- och sjukvården</w:t>
            </w:r>
          </w:p>
        </w:tc>
        <w:tc>
          <w:tcPr>
            <w:tcW w:w="1418" w:type="dxa"/>
            <w:shd w:val="clear" w:color="auto" w:fill="C4EFCE"/>
            <w:noWrap/>
            <w:vAlign w:val="center"/>
            <w:hideMark/>
          </w:tcPr>
          <w:p w14:paraId="05523826"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E40AB99"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5203E359" w14:textId="77777777" w:rsidR="00E040FD" w:rsidRDefault="00740D64">
            <w:pPr>
              <w:pStyle w:val="P68B1DB1-Normal8"/>
              <w:spacing w:after="0" w:line="240" w:lineRule="auto"/>
              <w:jc w:val="center"/>
              <w:rPr>
                <w:rFonts w:eastAsia="Times New Roman" w:cs="Calibri"/>
                <w:noProof/>
              </w:rPr>
            </w:pPr>
            <w:r>
              <w:rPr>
                <w:noProof/>
              </w:rPr>
              <w:t>10</w:t>
            </w:r>
          </w:p>
        </w:tc>
        <w:tc>
          <w:tcPr>
            <w:tcW w:w="805" w:type="dxa"/>
            <w:shd w:val="clear" w:color="auto" w:fill="C4EFCE"/>
            <w:noWrap/>
            <w:vAlign w:val="center"/>
            <w:hideMark/>
          </w:tcPr>
          <w:p w14:paraId="7A35B435" w14:textId="77777777" w:rsidR="00E040FD" w:rsidRDefault="00740D64">
            <w:pPr>
              <w:pStyle w:val="P68B1DB1-Normal8"/>
              <w:spacing w:after="0" w:line="240" w:lineRule="auto"/>
              <w:jc w:val="center"/>
              <w:rPr>
                <w:rFonts w:eastAsia="Times New Roman" w:cs="Calibri"/>
                <w:noProof/>
              </w:rPr>
            </w:pPr>
            <w:r>
              <w:rPr>
                <w:noProof/>
              </w:rPr>
              <w:t>25</w:t>
            </w:r>
          </w:p>
        </w:tc>
        <w:tc>
          <w:tcPr>
            <w:tcW w:w="833" w:type="dxa"/>
            <w:gridSpan w:val="2"/>
            <w:shd w:val="clear" w:color="auto" w:fill="C4EFCE"/>
            <w:noWrap/>
            <w:vAlign w:val="center"/>
            <w:hideMark/>
          </w:tcPr>
          <w:p w14:paraId="794F3E26"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70104365" w14:textId="77777777" w:rsidR="00E040FD" w:rsidRDefault="00740D6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AF662D1" w14:textId="77777777" w:rsidR="00E040FD" w:rsidRDefault="00740D64">
            <w:pPr>
              <w:pStyle w:val="P68B1DB1-Normal8"/>
              <w:spacing w:after="0" w:line="240" w:lineRule="auto"/>
              <w:jc w:val="both"/>
              <w:rPr>
                <w:rFonts w:eastAsia="Times New Roman" w:cs="Calibri"/>
                <w:noProof/>
              </w:rPr>
            </w:pPr>
            <w:r>
              <w:rPr>
                <w:noProof/>
              </w:rPr>
              <w:t>Inrättande av nya integrerade ansvarscentrum på sjukhusen inom den nationella hälso- och sjukvården för att i) förbättra tillgången till, kvaliteten på och effektiviteten i tillhandahållandet av hälso- och sjukvårdstjänster, II) stärka den kliniska styrningen, oberoendet och ansvarsskyldigheten för hälso- och sjukvården, III) uppmuntra hälso- och sjukvårdspersonal att fortsätta att arbeta på offentliga sjukhus, IV) dela risker och fördelar mellan hälso- och sjukvårdstjänster och sjukhus. V) värdera varje hälso- och sjukvårdsinrättnings och sjukhuss uppdrag i det regionala och nationella sammanhanget för det nationella hälso- och sjukvårdssystemet.</w:t>
            </w:r>
          </w:p>
        </w:tc>
      </w:tr>
      <w:tr w:rsidR="00E040FD" w14:paraId="42C580F2" w14:textId="77777777">
        <w:trPr>
          <w:trHeight w:val="1270"/>
        </w:trPr>
        <w:tc>
          <w:tcPr>
            <w:tcW w:w="1135" w:type="dxa"/>
            <w:shd w:val="clear" w:color="auto" w:fill="C4EFCE"/>
            <w:noWrap/>
            <w:vAlign w:val="center"/>
            <w:hideMark/>
          </w:tcPr>
          <w:p w14:paraId="577ECC38" w14:textId="77777777" w:rsidR="00E040FD" w:rsidRDefault="00740D64">
            <w:pPr>
              <w:pStyle w:val="P68B1DB1-Normal7"/>
              <w:spacing w:after="0" w:line="240" w:lineRule="auto"/>
              <w:jc w:val="center"/>
              <w:rPr>
                <w:rFonts w:eastAsia="Times New Roman" w:cs="Calibri"/>
                <w:noProof/>
              </w:rPr>
            </w:pPr>
            <w:r>
              <w:rPr>
                <w:noProof/>
              </w:rPr>
              <w:t>1.10</w:t>
            </w:r>
          </w:p>
        </w:tc>
        <w:tc>
          <w:tcPr>
            <w:tcW w:w="1276" w:type="dxa"/>
            <w:shd w:val="clear" w:color="auto" w:fill="C4EFCE"/>
            <w:noWrap/>
            <w:vAlign w:val="center"/>
            <w:hideMark/>
          </w:tcPr>
          <w:p w14:paraId="366D7083" w14:textId="77777777" w:rsidR="00E040FD" w:rsidRDefault="00740D6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1F822836"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F4D5231" w14:textId="77777777" w:rsidR="00E040FD" w:rsidRDefault="00740D64">
            <w:pPr>
              <w:pStyle w:val="P68B1DB1-Normal8"/>
              <w:spacing w:after="0" w:line="240" w:lineRule="auto"/>
              <w:jc w:val="center"/>
              <w:rPr>
                <w:rFonts w:eastAsia="Times New Roman" w:cs="Calibri"/>
                <w:noProof/>
              </w:rPr>
            </w:pPr>
            <w:r>
              <w:rPr>
                <w:noProof/>
              </w:rPr>
              <w:t>Förstärkning av insatserna vid sjukhusvistelser på sjukhusen inom det nationella hälso- och sjukvårdssystemet</w:t>
            </w:r>
          </w:p>
        </w:tc>
        <w:tc>
          <w:tcPr>
            <w:tcW w:w="1418" w:type="dxa"/>
            <w:shd w:val="clear" w:color="auto" w:fill="C4EFCE"/>
            <w:noWrap/>
            <w:vAlign w:val="center"/>
            <w:hideMark/>
          </w:tcPr>
          <w:p w14:paraId="345712F2"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0B7E8C08"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10CED8A4"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A59B4DD" w14:textId="77777777" w:rsidR="00E040FD" w:rsidRDefault="00740D64">
            <w:pPr>
              <w:pStyle w:val="P68B1DB1-Normal8"/>
              <w:spacing w:after="0" w:line="240" w:lineRule="auto"/>
              <w:jc w:val="center"/>
              <w:rPr>
                <w:rFonts w:eastAsia="Times New Roman" w:cs="Calibri"/>
                <w:noProof/>
              </w:rPr>
            </w:pPr>
            <w:r>
              <w:rPr>
                <w:noProof/>
              </w:rPr>
              <w:t>5 000</w:t>
            </w:r>
          </w:p>
        </w:tc>
        <w:tc>
          <w:tcPr>
            <w:tcW w:w="833" w:type="dxa"/>
            <w:gridSpan w:val="2"/>
            <w:shd w:val="clear" w:color="auto" w:fill="C4EFCE"/>
            <w:noWrap/>
            <w:vAlign w:val="center"/>
            <w:hideMark/>
          </w:tcPr>
          <w:p w14:paraId="0E7C5F59"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5462A3BC" w14:textId="77777777" w:rsidR="00E040FD" w:rsidRDefault="00740D6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67304B4C" w14:textId="77777777" w:rsidR="00E040FD" w:rsidRDefault="00740D64">
            <w:pPr>
              <w:pStyle w:val="P68B1DB1-Normal8"/>
              <w:spacing w:after="0" w:line="240" w:lineRule="auto"/>
              <w:jc w:val="both"/>
              <w:rPr>
                <w:rFonts w:eastAsia="Times New Roman" w:cs="Calibri"/>
                <w:noProof/>
              </w:rPr>
            </w:pPr>
            <w:r>
              <w:rPr>
                <w:noProof/>
              </w:rPr>
              <w:t>Öka insatskapaciteten vid sjukhusvistelsen i hemmet genom att göra det möjligt att i hemmet tillhandahålla hälso- och sjukvårdstjänster med differentiering, komplexitet och intensitet på sjukhusen under en begränsad period, i nära samverkan med primärvården, det nationella nätverket för integrerad fortsatt vård, den sociala sektorn och samhället i stort, mätt i antalet nya perioder av sjukhusvistelse i hemmet (definierad som en uppsättning vård som tillhandahålls under den period då patienten är inlagd på sjukhuset, som löper utan avbrott från intagningsdagen till dagen för avskrivning, utom dagen för avskrivning).</w:t>
            </w:r>
          </w:p>
        </w:tc>
      </w:tr>
      <w:tr w:rsidR="00E040FD" w14:paraId="1699988C" w14:textId="77777777">
        <w:trPr>
          <w:trHeight w:val="548"/>
        </w:trPr>
        <w:tc>
          <w:tcPr>
            <w:tcW w:w="1135" w:type="dxa"/>
            <w:shd w:val="clear" w:color="auto" w:fill="C4EFCE"/>
            <w:noWrap/>
            <w:vAlign w:val="center"/>
            <w:hideMark/>
          </w:tcPr>
          <w:p w14:paraId="2DF091B1" w14:textId="77777777" w:rsidR="00E040FD" w:rsidRDefault="00740D64">
            <w:pPr>
              <w:pStyle w:val="P68B1DB1-Normal7"/>
              <w:spacing w:after="0" w:line="240" w:lineRule="auto"/>
              <w:jc w:val="center"/>
              <w:rPr>
                <w:rFonts w:eastAsia="Times New Roman" w:cs="Calibri"/>
                <w:noProof/>
              </w:rPr>
            </w:pPr>
            <w:r>
              <w:rPr>
                <w:noProof/>
              </w:rPr>
              <w:t>1.11</w:t>
            </w:r>
          </w:p>
        </w:tc>
        <w:tc>
          <w:tcPr>
            <w:tcW w:w="1276" w:type="dxa"/>
            <w:shd w:val="clear" w:color="auto" w:fill="C4EFCE"/>
            <w:noWrap/>
            <w:vAlign w:val="center"/>
            <w:hideMark/>
          </w:tcPr>
          <w:p w14:paraId="0111FB9C" w14:textId="77777777" w:rsidR="00E040FD" w:rsidRDefault="00740D6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29EE4E04"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633A7BA" w14:textId="77777777" w:rsidR="00E040FD" w:rsidRDefault="00740D64">
            <w:pPr>
              <w:pStyle w:val="P68B1DB1-Normal8"/>
              <w:spacing w:after="0" w:line="240" w:lineRule="auto"/>
              <w:jc w:val="center"/>
              <w:rPr>
                <w:rFonts w:eastAsia="Times New Roman" w:cs="Calibri"/>
                <w:noProof/>
              </w:rPr>
            </w:pPr>
            <w:r>
              <w:rPr>
                <w:noProof/>
              </w:rPr>
              <w:t>Ikraftträdande av handlingsplanen för att stärka centraliserade inköpsmekanismer för läkemedel</w:t>
            </w:r>
          </w:p>
        </w:tc>
        <w:tc>
          <w:tcPr>
            <w:tcW w:w="1418" w:type="dxa"/>
            <w:shd w:val="clear" w:color="auto" w:fill="C4EFCE"/>
            <w:noWrap/>
            <w:vAlign w:val="center"/>
            <w:hideMark/>
          </w:tcPr>
          <w:p w14:paraId="76B6595B" w14:textId="77777777" w:rsidR="00E040FD" w:rsidRDefault="00740D64">
            <w:pPr>
              <w:pStyle w:val="P68B1DB1-Normal8"/>
              <w:spacing w:after="0" w:line="240" w:lineRule="auto"/>
              <w:jc w:val="center"/>
              <w:rPr>
                <w:rFonts w:eastAsia="Times New Roman" w:cs="Calibri"/>
                <w:noProof/>
              </w:rPr>
            </w:pPr>
            <w:r>
              <w:rPr>
                <w:noProof/>
              </w:rPr>
              <w:t>Ikraftträdande av handlingsplanen för att stärka centraliserade inköpsmekanismer för läkemedel</w:t>
            </w:r>
          </w:p>
        </w:tc>
        <w:tc>
          <w:tcPr>
            <w:tcW w:w="1164" w:type="dxa"/>
            <w:shd w:val="clear" w:color="auto" w:fill="C4EFCE"/>
            <w:noWrap/>
            <w:vAlign w:val="center"/>
            <w:hideMark/>
          </w:tcPr>
          <w:p w14:paraId="4C8EE4DB"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0EE7582"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771ECECB"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73F04864" w14:textId="77777777" w:rsidR="00E040FD" w:rsidRDefault="00740D64">
            <w:pPr>
              <w:pStyle w:val="P68B1DB1-Normal8"/>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64160DE6" w14:textId="77777777" w:rsidR="00E040FD" w:rsidRDefault="00740D6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3D202E36" w14:textId="77777777" w:rsidR="00E040FD" w:rsidRDefault="00740D64">
            <w:pPr>
              <w:pStyle w:val="P68B1DB1-Normal8"/>
              <w:spacing w:after="0" w:line="240" w:lineRule="auto"/>
              <w:jc w:val="both"/>
              <w:rPr>
                <w:rFonts w:eastAsia="Times New Roman" w:cs="Calibri"/>
                <w:noProof/>
              </w:rPr>
            </w:pPr>
            <w:r>
              <w:rPr>
                <w:noProof/>
              </w:rPr>
              <w:t>Ikraftträdande av handlingsplanen för att stärka centraliserade inköpsmekanismer för läkemedel, för att genomföra rekommendationerna från den oberoende bedömning av centraliserad upphandling av läkemedel i Portugal som genomförts av Österrikes nationella folkhälsoinstitut inom ramen för stödprogrammet för strukturreformer.</w:t>
            </w:r>
          </w:p>
        </w:tc>
      </w:tr>
      <w:tr w:rsidR="00E040FD" w14:paraId="240E4FD9" w14:textId="77777777">
        <w:trPr>
          <w:trHeight w:val="430"/>
        </w:trPr>
        <w:tc>
          <w:tcPr>
            <w:tcW w:w="1135" w:type="dxa"/>
            <w:shd w:val="clear" w:color="auto" w:fill="C4EFCE"/>
            <w:noWrap/>
            <w:vAlign w:val="center"/>
            <w:hideMark/>
          </w:tcPr>
          <w:p w14:paraId="1D7DFEEA" w14:textId="77777777" w:rsidR="00E040FD" w:rsidRDefault="00740D64">
            <w:pPr>
              <w:pStyle w:val="P68B1DB1-Normal7"/>
              <w:spacing w:after="0" w:line="240" w:lineRule="auto"/>
              <w:jc w:val="center"/>
              <w:rPr>
                <w:rFonts w:eastAsia="Times New Roman" w:cs="Calibri"/>
                <w:noProof/>
              </w:rPr>
            </w:pPr>
            <w:r>
              <w:rPr>
                <w:noProof/>
              </w:rPr>
              <w:t>1.12</w:t>
            </w:r>
          </w:p>
        </w:tc>
        <w:tc>
          <w:tcPr>
            <w:tcW w:w="1276" w:type="dxa"/>
            <w:shd w:val="clear" w:color="auto" w:fill="C4EFCE"/>
            <w:noWrap/>
            <w:vAlign w:val="center"/>
            <w:hideMark/>
          </w:tcPr>
          <w:p w14:paraId="05A91880" w14:textId="77777777" w:rsidR="00E040FD" w:rsidRDefault="00740D6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431D9089"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03EADC9" w14:textId="5ED57581" w:rsidR="00E040FD" w:rsidRDefault="00740D64">
            <w:pPr>
              <w:pStyle w:val="P68B1DB1-Normal8"/>
              <w:spacing w:after="0" w:line="240" w:lineRule="auto"/>
              <w:jc w:val="center"/>
              <w:rPr>
                <w:rFonts w:eastAsia="Times New Roman" w:cs="Calibri"/>
                <w:noProof/>
              </w:rPr>
            </w:pPr>
            <w:r>
              <w:rPr>
                <w:noProof/>
              </w:rPr>
              <w:t>Ikraftträdande av det nya systemet för särskilt engagerat arbete inom den nationella hälso- och sjukvården</w:t>
            </w:r>
          </w:p>
        </w:tc>
        <w:tc>
          <w:tcPr>
            <w:tcW w:w="1418" w:type="dxa"/>
            <w:shd w:val="clear" w:color="auto" w:fill="C4EFCE"/>
            <w:noWrap/>
            <w:vAlign w:val="center"/>
            <w:hideMark/>
          </w:tcPr>
          <w:p w14:paraId="5F9DE5F0" w14:textId="3E09C163" w:rsidR="00E040FD" w:rsidRDefault="00740D64">
            <w:pPr>
              <w:pStyle w:val="P68B1DB1-Normal8"/>
              <w:spacing w:after="0" w:line="240" w:lineRule="auto"/>
              <w:jc w:val="center"/>
              <w:rPr>
                <w:rFonts w:eastAsia="Times New Roman" w:cs="Calibri"/>
                <w:noProof/>
              </w:rPr>
            </w:pPr>
            <w:r>
              <w:rPr>
                <w:noProof/>
              </w:rPr>
              <w:t>Ikraftträdande av det nya systemet för fullständigt engagerat arbete</w:t>
            </w:r>
          </w:p>
        </w:tc>
        <w:tc>
          <w:tcPr>
            <w:tcW w:w="1164" w:type="dxa"/>
            <w:shd w:val="clear" w:color="auto" w:fill="C4EFCE"/>
            <w:noWrap/>
            <w:vAlign w:val="center"/>
            <w:hideMark/>
          </w:tcPr>
          <w:p w14:paraId="478B13EF"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3D88994E"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3C6E2B3D"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697D9E32" w14:textId="77777777" w:rsidR="00E040FD" w:rsidRDefault="00740D64">
            <w:pPr>
              <w:pStyle w:val="P68B1DB1-Normal8"/>
              <w:spacing w:after="0" w:line="240" w:lineRule="auto"/>
              <w:jc w:val="center"/>
              <w:rPr>
                <w:rFonts w:eastAsia="Times New Roman" w:cs="Calibri"/>
                <w:noProof/>
              </w:rPr>
            </w:pPr>
            <w:r>
              <w:rPr>
                <w:noProof/>
              </w:rPr>
              <w:t>KVARTAL 1</w:t>
            </w:r>
          </w:p>
        </w:tc>
        <w:tc>
          <w:tcPr>
            <w:tcW w:w="901" w:type="dxa"/>
            <w:shd w:val="clear" w:color="auto" w:fill="C4EFCE"/>
            <w:noWrap/>
            <w:vAlign w:val="center"/>
            <w:hideMark/>
          </w:tcPr>
          <w:p w14:paraId="132AD89B" w14:textId="77777777" w:rsidR="00E040FD" w:rsidRDefault="00740D6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6DC4701F" w14:textId="174CBF8B" w:rsidR="00E040FD" w:rsidRDefault="00740D64">
            <w:pPr>
              <w:pStyle w:val="P68B1DB1-Normal8"/>
              <w:spacing w:after="0" w:line="240" w:lineRule="auto"/>
              <w:jc w:val="both"/>
              <w:rPr>
                <w:rFonts w:eastAsia="Times New Roman" w:cs="Calibri"/>
                <w:noProof/>
              </w:rPr>
            </w:pPr>
            <w:r>
              <w:rPr>
                <w:noProof/>
              </w:rPr>
              <w:t>Ett nytt fullständigt arbetssystem för hälso- och sjukvårdspersonal inom det nationella hälso- och sjukvårdssystemet, med lämpliga mekanismer för att organisera arbetstid och ersättningstabeller.</w:t>
            </w:r>
          </w:p>
        </w:tc>
      </w:tr>
      <w:tr w:rsidR="00E040FD" w14:paraId="00BADC6F" w14:textId="77777777">
        <w:trPr>
          <w:trHeight w:val="640"/>
        </w:trPr>
        <w:tc>
          <w:tcPr>
            <w:tcW w:w="1135" w:type="dxa"/>
            <w:shd w:val="clear" w:color="auto" w:fill="C4EFCE"/>
            <w:noWrap/>
            <w:vAlign w:val="center"/>
            <w:hideMark/>
          </w:tcPr>
          <w:p w14:paraId="5419F19A" w14:textId="77777777" w:rsidR="00E040FD" w:rsidRDefault="00740D64">
            <w:pPr>
              <w:pStyle w:val="P68B1DB1-Normal7"/>
              <w:spacing w:after="0" w:line="240" w:lineRule="auto"/>
              <w:jc w:val="center"/>
              <w:rPr>
                <w:rFonts w:eastAsia="Times New Roman" w:cs="Calibri"/>
                <w:noProof/>
              </w:rPr>
            </w:pPr>
            <w:r>
              <w:rPr>
                <w:noProof/>
              </w:rPr>
              <w:t>1.13</w:t>
            </w:r>
          </w:p>
        </w:tc>
        <w:tc>
          <w:tcPr>
            <w:tcW w:w="1276" w:type="dxa"/>
            <w:shd w:val="clear" w:color="auto" w:fill="C4EFCE"/>
            <w:noWrap/>
            <w:vAlign w:val="center"/>
            <w:hideMark/>
          </w:tcPr>
          <w:p w14:paraId="02567C83" w14:textId="77777777" w:rsidR="00E040FD" w:rsidRDefault="00740D6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4AF35FB7"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5ABDD2D" w14:textId="77777777" w:rsidR="00E040FD" w:rsidRDefault="00740D64">
            <w:pPr>
              <w:pStyle w:val="P68B1DB1-Normal8"/>
              <w:spacing w:after="0" w:line="240" w:lineRule="auto"/>
              <w:jc w:val="center"/>
              <w:rPr>
                <w:rFonts w:eastAsia="Times New Roman" w:cs="Calibri"/>
                <w:noProof/>
              </w:rPr>
            </w:pPr>
            <w:r>
              <w:rPr>
                <w:noProof/>
              </w:rPr>
              <w:t>Ikraftträdande av villkoren för hänvisning till akutepisoder som avskärmas i vitt, blått eller grönt i akutvård på sjukhus för andra typer av hälso- och sjukvårdstjänster, inbegripet primärvård</w:t>
            </w:r>
          </w:p>
        </w:tc>
        <w:tc>
          <w:tcPr>
            <w:tcW w:w="1418" w:type="dxa"/>
            <w:shd w:val="clear" w:color="auto" w:fill="C4EFCE"/>
            <w:noWrap/>
            <w:vAlign w:val="center"/>
            <w:hideMark/>
          </w:tcPr>
          <w:p w14:paraId="5D50F531" w14:textId="77777777" w:rsidR="00E040FD" w:rsidRDefault="00740D64">
            <w:pPr>
              <w:pStyle w:val="P68B1DB1-Normal8"/>
              <w:spacing w:after="0" w:line="240" w:lineRule="auto"/>
              <w:jc w:val="center"/>
              <w:rPr>
                <w:rFonts w:eastAsia="Times New Roman" w:cs="Calibri"/>
                <w:noProof/>
              </w:rPr>
            </w:pPr>
            <w:r>
              <w:rPr>
                <w:noProof/>
              </w:rPr>
              <w:t xml:space="preserve">Ikraftträdande av villkor för hänvisning till nödsituationer </w:t>
            </w:r>
          </w:p>
        </w:tc>
        <w:tc>
          <w:tcPr>
            <w:tcW w:w="1164" w:type="dxa"/>
            <w:shd w:val="clear" w:color="auto" w:fill="C4EFCE"/>
            <w:noWrap/>
            <w:vAlign w:val="center"/>
            <w:hideMark/>
          </w:tcPr>
          <w:p w14:paraId="05DB3DBC"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46DBFC1C"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00639B76"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84FB6D1" w14:textId="77777777" w:rsidR="00E040FD" w:rsidRDefault="00740D64">
            <w:pPr>
              <w:pStyle w:val="P68B1DB1-Normal8"/>
              <w:spacing w:after="0" w:line="240" w:lineRule="auto"/>
              <w:jc w:val="center"/>
              <w:rPr>
                <w:rFonts w:eastAsia="Times New Roman" w:cs="Calibri"/>
                <w:noProof/>
              </w:rPr>
            </w:pPr>
            <w:r>
              <w:rPr>
                <w:noProof/>
              </w:rPr>
              <w:t>KVARTAL 1</w:t>
            </w:r>
          </w:p>
        </w:tc>
        <w:tc>
          <w:tcPr>
            <w:tcW w:w="901" w:type="dxa"/>
            <w:shd w:val="clear" w:color="auto" w:fill="C4EFCE"/>
            <w:noWrap/>
            <w:vAlign w:val="center"/>
            <w:hideMark/>
          </w:tcPr>
          <w:p w14:paraId="75252533" w14:textId="77777777" w:rsidR="00E040FD" w:rsidRDefault="00740D6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2D11035D" w14:textId="77777777" w:rsidR="00E040FD" w:rsidRDefault="00740D64">
            <w:pPr>
              <w:pStyle w:val="P68B1DB1-Normal8"/>
              <w:spacing w:after="0" w:line="240" w:lineRule="auto"/>
              <w:jc w:val="both"/>
              <w:rPr>
                <w:rFonts w:eastAsia="Times New Roman" w:cs="Calibri"/>
                <w:noProof/>
              </w:rPr>
            </w:pPr>
            <w:r>
              <w:rPr>
                <w:noProof/>
              </w:rPr>
              <w:t>Ikraftträdande av förfaranden och administrativa regler för hänskjutningsförfarandet för användare med akutperioder som avskärmas i vitt, blått eller grönt i akutmottagningar på sjukhus för andra typer av hälso- och sjukvård, nämligen primärvård, med direkt tidsschemaläggning av besök.</w:t>
            </w:r>
          </w:p>
        </w:tc>
      </w:tr>
      <w:tr w:rsidR="00E040FD" w14:paraId="38EF775A" w14:textId="77777777">
        <w:trPr>
          <w:trHeight w:val="850"/>
        </w:trPr>
        <w:tc>
          <w:tcPr>
            <w:tcW w:w="1135" w:type="dxa"/>
            <w:shd w:val="clear" w:color="auto" w:fill="C4EFCE"/>
            <w:noWrap/>
            <w:vAlign w:val="center"/>
            <w:hideMark/>
          </w:tcPr>
          <w:p w14:paraId="1BA7330B" w14:textId="77777777" w:rsidR="00E040FD" w:rsidRDefault="00740D64">
            <w:pPr>
              <w:pStyle w:val="P68B1DB1-Normal7"/>
              <w:spacing w:after="0" w:line="240" w:lineRule="auto"/>
              <w:jc w:val="center"/>
              <w:rPr>
                <w:rFonts w:eastAsia="Times New Roman" w:cs="Calibri"/>
                <w:noProof/>
              </w:rPr>
            </w:pPr>
            <w:r>
              <w:rPr>
                <w:noProof/>
              </w:rPr>
              <w:t>1.14</w:t>
            </w:r>
          </w:p>
        </w:tc>
        <w:tc>
          <w:tcPr>
            <w:tcW w:w="1276" w:type="dxa"/>
            <w:shd w:val="clear" w:color="auto" w:fill="C4EFCE"/>
            <w:noWrap/>
            <w:vAlign w:val="center"/>
            <w:hideMark/>
          </w:tcPr>
          <w:p w14:paraId="785DE09F" w14:textId="77777777" w:rsidR="00E040FD" w:rsidRDefault="00740D6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447F1EDF"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BD030D8" w14:textId="77777777" w:rsidR="00E040FD" w:rsidRDefault="00740D64">
            <w:pPr>
              <w:pStyle w:val="P68B1DB1-Normal8"/>
              <w:spacing w:after="0" w:line="240" w:lineRule="auto"/>
              <w:jc w:val="center"/>
              <w:rPr>
                <w:rFonts w:eastAsia="Times New Roman" w:cs="Calibri"/>
                <w:noProof/>
              </w:rPr>
            </w:pPr>
            <w:r>
              <w:rPr>
                <w:noProof/>
              </w:rPr>
              <w:t>Bygga nya hälso- och sjukvårdsenheter</w:t>
            </w:r>
          </w:p>
        </w:tc>
        <w:tc>
          <w:tcPr>
            <w:tcW w:w="1418" w:type="dxa"/>
            <w:shd w:val="clear" w:color="auto" w:fill="C4EFCE"/>
            <w:noWrap/>
            <w:vAlign w:val="center"/>
            <w:hideMark/>
          </w:tcPr>
          <w:p w14:paraId="5CEEB485"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C903B4A"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543F7214"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21084E32" w14:textId="77777777" w:rsidR="00E040FD" w:rsidRDefault="00740D64">
            <w:pPr>
              <w:pStyle w:val="P68B1DB1-Normal8"/>
              <w:spacing w:after="0" w:line="240" w:lineRule="auto"/>
              <w:jc w:val="center"/>
              <w:rPr>
                <w:rFonts w:eastAsia="Times New Roman" w:cs="Calibri"/>
                <w:noProof/>
              </w:rPr>
            </w:pPr>
            <w:r>
              <w:rPr>
                <w:noProof/>
              </w:rPr>
              <w:t>20</w:t>
            </w:r>
          </w:p>
        </w:tc>
        <w:tc>
          <w:tcPr>
            <w:tcW w:w="833" w:type="dxa"/>
            <w:gridSpan w:val="2"/>
            <w:shd w:val="clear" w:color="auto" w:fill="C4EFCE"/>
            <w:noWrap/>
            <w:vAlign w:val="center"/>
            <w:hideMark/>
          </w:tcPr>
          <w:p w14:paraId="56ACA157"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37B663E4" w14:textId="765D0365" w:rsidR="00E040FD" w:rsidRDefault="00740D6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6B230122" w14:textId="695839F7" w:rsidR="00E040FD" w:rsidRDefault="00740D64">
            <w:pPr>
              <w:pStyle w:val="P68B1DB1-Normal8"/>
              <w:spacing w:after="0" w:line="240" w:lineRule="auto"/>
              <w:jc w:val="both"/>
              <w:rPr>
                <w:rFonts w:eastAsia="Times New Roman" w:cs="Calibri"/>
                <w:noProof/>
              </w:rPr>
            </w:pPr>
            <w:r>
              <w:rPr>
                <w:noProof/>
              </w:rPr>
              <w:t>Antal nya hälso- och sjukvårdsenheter som ska säkerställa tillgänglighet, kvalitet, komfort och säkerhet för användare och hälso- och sjukvårdspersonal och anpassa dem till nya hälso- och sjukvårdsmodeller. De nya enheterna ska byggas för att ersätta olämpliga byggnader och nya byggnader ska ha ett primärenergibehov som är minst 20 % lägre än kraven för nära-nollenergibyggnader.</w:t>
            </w:r>
          </w:p>
        </w:tc>
      </w:tr>
      <w:tr w:rsidR="00E040FD" w14:paraId="73A0E506" w14:textId="77777777">
        <w:trPr>
          <w:trHeight w:val="850"/>
        </w:trPr>
        <w:tc>
          <w:tcPr>
            <w:tcW w:w="1135" w:type="dxa"/>
            <w:shd w:val="clear" w:color="auto" w:fill="C4EFCE"/>
            <w:noWrap/>
            <w:vAlign w:val="center"/>
            <w:hideMark/>
          </w:tcPr>
          <w:p w14:paraId="55C2973A" w14:textId="77777777" w:rsidR="00E040FD" w:rsidRDefault="00740D64">
            <w:pPr>
              <w:pStyle w:val="P68B1DB1-Normal7"/>
              <w:spacing w:after="0" w:line="240" w:lineRule="auto"/>
              <w:jc w:val="center"/>
              <w:rPr>
                <w:rFonts w:eastAsia="Times New Roman" w:cs="Calibri"/>
                <w:noProof/>
              </w:rPr>
            </w:pPr>
            <w:r>
              <w:rPr>
                <w:noProof/>
              </w:rPr>
              <w:t>1.15</w:t>
            </w:r>
          </w:p>
        </w:tc>
        <w:tc>
          <w:tcPr>
            <w:tcW w:w="1276" w:type="dxa"/>
            <w:shd w:val="clear" w:color="auto" w:fill="C4EFCE"/>
            <w:noWrap/>
            <w:vAlign w:val="center"/>
            <w:hideMark/>
          </w:tcPr>
          <w:p w14:paraId="25307C9D" w14:textId="77777777" w:rsidR="00E040FD" w:rsidRDefault="00740D6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50296621"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F3FEAAF" w14:textId="77777777" w:rsidR="00E040FD" w:rsidRDefault="00740D64">
            <w:pPr>
              <w:pStyle w:val="P68B1DB1-Normal8"/>
              <w:spacing w:after="0" w:line="240" w:lineRule="auto"/>
              <w:jc w:val="center"/>
              <w:rPr>
                <w:rFonts w:eastAsia="Times New Roman" w:cs="Calibri"/>
                <w:noProof/>
              </w:rPr>
            </w:pPr>
            <w:r>
              <w:rPr>
                <w:noProof/>
              </w:rPr>
              <w:t>Bygga nya hälso- och sjukvårdsenheter</w:t>
            </w:r>
          </w:p>
        </w:tc>
        <w:tc>
          <w:tcPr>
            <w:tcW w:w="1418" w:type="dxa"/>
            <w:shd w:val="clear" w:color="auto" w:fill="C4EFCE"/>
            <w:noWrap/>
            <w:vAlign w:val="center"/>
            <w:hideMark/>
          </w:tcPr>
          <w:p w14:paraId="321B2E97"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7D729BA"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74689A5C" w14:textId="77777777" w:rsidR="00E040FD" w:rsidRDefault="00740D64">
            <w:pPr>
              <w:pStyle w:val="P68B1DB1-Normal8"/>
              <w:spacing w:after="0" w:line="240" w:lineRule="auto"/>
              <w:jc w:val="center"/>
              <w:rPr>
                <w:rFonts w:eastAsia="Times New Roman" w:cs="Calibri"/>
                <w:noProof/>
              </w:rPr>
            </w:pPr>
            <w:r>
              <w:rPr>
                <w:noProof/>
              </w:rPr>
              <w:t>20</w:t>
            </w:r>
          </w:p>
        </w:tc>
        <w:tc>
          <w:tcPr>
            <w:tcW w:w="805" w:type="dxa"/>
            <w:shd w:val="clear" w:color="auto" w:fill="C4EFCE"/>
            <w:noWrap/>
            <w:vAlign w:val="center"/>
            <w:hideMark/>
          </w:tcPr>
          <w:p w14:paraId="6BF6BACC" w14:textId="78B4B7BB" w:rsidR="00E040FD" w:rsidRDefault="00740D64">
            <w:pPr>
              <w:pStyle w:val="P68B1DB1-Normal8"/>
              <w:spacing w:after="0" w:line="240" w:lineRule="auto"/>
              <w:jc w:val="center"/>
              <w:rPr>
                <w:rFonts w:eastAsia="Times New Roman" w:cs="Calibri"/>
                <w:noProof/>
              </w:rPr>
            </w:pPr>
            <w:r>
              <w:rPr>
                <w:noProof/>
              </w:rPr>
              <w:t>124</w:t>
            </w:r>
          </w:p>
        </w:tc>
        <w:tc>
          <w:tcPr>
            <w:tcW w:w="833" w:type="dxa"/>
            <w:gridSpan w:val="2"/>
            <w:shd w:val="clear" w:color="auto" w:fill="C4EFCE"/>
            <w:noWrap/>
            <w:vAlign w:val="center"/>
            <w:hideMark/>
          </w:tcPr>
          <w:p w14:paraId="73691C37" w14:textId="77777777" w:rsidR="00E040FD" w:rsidRDefault="00740D64">
            <w:pPr>
              <w:pStyle w:val="P68B1DB1-Normal8"/>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226C70C7" w14:textId="77777777" w:rsidR="00E040FD" w:rsidRDefault="00740D6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352F5371" w14:textId="47F97C91" w:rsidR="00E040FD" w:rsidRDefault="00740D64">
            <w:pPr>
              <w:pStyle w:val="P68B1DB1-Normal8"/>
              <w:spacing w:after="0" w:line="240" w:lineRule="auto"/>
              <w:jc w:val="both"/>
              <w:rPr>
                <w:rFonts w:eastAsia="Times New Roman" w:cs="Calibri"/>
                <w:noProof/>
              </w:rPr>
            </w:pPr>
            <w:r>
              <w:rPr>
                <w:noProof/>
              </w:rPr>
              <w:t>Antal nya hälso- och sjukvårdsenheter som ska säkerställa tillgänglighet, kvalitet, komfort och säkerhet för användare och hälso- och sjukvårdspersonal och anpassa dem till nya hälso- och sjukvårdsmodeller. De nya enheterna ska byggas för att ersätta olämpliga byggnader och nya byggnader ska ha ett primärenergibehov som är minst 20 % lägre än kraven för nära-nollenergibyggnader.</w:t>
            </w:r>
          </w:p>
        </w:tc>
      </w:tr>
      <w:tr w:rsidR="00E040FD" w14:paraId="230D0958" w14:textId="77777777">
        <w:trPr>
          <w:trHeight w:val="1060"/>
        </w:trPr>
        <w:tc>
          <w:tcPr>
            <w:tcW w:w="1135" w:type="dxa"/>
            <w:shd w:val="clear" w:color="auto" w:fill="C4EFCE"/>
            <w:noWrap/>
            <w:vAlign w:val="center"/>
            <w:hideMark/>
          </w:tcPr>
          <w:p w14:paraId="7E7F0240" w14:textId="77777777" w:rsidR="00E040FD" w:rsidRDefault="00740D64">
            <w:pPr>
              <w:pStyle w:val="P68B1DB1-Normal7"/>
              <w:spacing w:after="0" w:line="240" w:lineRule="auto"/>
              <w:jc w:val="center"/>
              <w:rPr>
                <w:rFonts w:eastAsia="Times New Roman" w:cs="Calibri"/>
                <w:noProof/>
              </w:rPr>
            </w:pPr>
            <w:r>
              <w:rPr>
                <w:noProof/>
              </w:rPr>
              <w:t>1.16</w:t>
            </w:r>
          </w:p>
        </w:tc>
        <w:tc>
          <w:tcPr>
            <w:tcW w:w="1276" w:type="dxa"/>
            <w:shd w:val="clear" w:color="auto" w:fill="C4EFCE"/>
            <w:noWrap/>
            <w:vAlign w:val="center"/>
            <w:hideMark/>
          </w:tcPr>
          <w:p w14:paraId="698640D1" w14:textId="77777777" w:rsidR="00E040FD" w:rsidRDefault="00740D6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5E717D99"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42EC3118" w14:textId="77777777" w:rsidR="00E040FD" w:rsidRDefault="00740D64">
            <w:pPr>
              <w:pStyle w:val="P68B1DB1-Normal8"/>
              <w:spacing w:after="0" w:line="240" w:lineRule="auto"/>
              <w:jc w:val="center"/>
              <w:rPr>
                <w:rFonts w:eastAsia="Times New Roman" w:cs="Calibri"/>
                <w:noProof/>
              </w:rPr>
            </w:pPr>
            <w:r>
              <w:rPr>
                <w:noProof/>
              </w:rPr>
              <w:t>Slutföra den nationella täckningen av program för screening och tidig diagnos inom primärvården.</w:t>
            </w:r>
          </w:p>
        </w:tc>
        <w:tc>
          <w:tcPr>
            <w:tcW w:w="1418" w:type="dxa"/>
            <w:shd w:val="clear" w:color="auto" w:fill="C4EFCE"/>
            <w:noWrap/>
            <w:vAlign w:val="center"/>
            <w:hideMark/>
          </w:tcPr>
          <w:p w14:paraId="7A244FBD" w14:textId="77777777" w:rsidR="00E040FD" w:rsidRDefault="00740D64">
            <w:pPr>
              <w:pStyle w:val="P68B1DB1-Normal8"/>
              <w:spacing w:after="0" w:line="240" w:lineRule="auto"/>
              <w:jc w:val="center"/>
              <w:rPr>
                <w:rFonts w:eastAsia="Times New Roman" w:cs="Calibri"/>
                <w:noProof/>
              </w:rPr>
            </w:pPr>
            <w:r>
              <w:rPr>
                <w:noProof/>
              </w:rPr>
              <w:t>Rapport om slutförandet av program för screening och tidig diagnos inom primärvården</w:t>
            </w:r>
          </w:p>
        </w:tc>
        <w:tc>
          <w:tcPr>
            <w:tcW w:w="1164" w:type="dxa"/>
            <w:shd w:val="clear" w:color="auto" w:fill="C4EFCE"/>
            <w:noWrap/>
            <w:vAlign w:val="center"/>
            <w:hideMark/>
          </w:tcPr>
          <w:p w14:paraId="5E1406AF" w14:textId="77777777" w:rsidR="00E040FD" w:rsidRDefault="00740D64">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41515FAF" w14:textId="77777777" w:rsidR="00E040FD" w:rsidRDefault="00740D64">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69D09CEE" w14:textId="77777777" w:rsidR="00E040FD" w:rsidRDefault="00740D64">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032146EF" w14:textId="77777777" w:rsidR="00E040FD" w:rsidRDefault="00740D64">
            <w:pPr>
              <w:pStyle w:val="P68B1DB1-Normal8"/>
              <w:spacing w:after="0" w:line="240" w:lineRule="auto"/>
              <w:jc w:val="center"/>
              <w:rPr>
                <w:rFonts w:eastAsia="Times New Roman" w:cs="Calibri"/>
                <w:noProof/>
              </w:rPr>
            </w:pPr>
            <w:r>
              <w:rPr>
                <w:noProof/>
              </w:rPr>
              <w:t>KVARTAL 1</w:t>
            </w:r>
          </w:p>
        </w:tc>
        <w:tc>
          <w:tcPr>
            <w:tcW w:w="901" w:type="dxa"/>
            <w:shd w:val="clear" w:color="auto" w:fill="C4EFCE"/>
            <w:noWrap/>
            <w:vAlign w:val="center"/>
            <w:hideMark/>
          </w:tcPr>
          <w:p w14:paraId="2EAAE497" w14:textId="77777777" w:rsidR="00E040FD" w:rsidRDefault="00740D6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D103D50" w14:textId="77777777" w:rsidR="00E040FD" w:rsidRDefault="00740D64">
            <w:pPr>
              <w:pStyle w:val="P68B1DB1-Normal8"/>
              <w:spacing w:after="0" w:line="240" w:lineRule="auto"/>
              <w:jc w:val="both"/>
              <w:rPr>
                <w:rFonts w:eastAsia="Times New Roman" w:cs="Calibri"/>
                <w:noProof/>
              </w:rPr>
            </w:pPr>
            <w:r>
              <w:rPr>
                <w:noProof/>
              </w:rPr>
              <w:t>Genomförandet av denna milstolpe omfattar följande: i) Införande av livmoderhalsundersökningar på vårdcentraler. II) Införande av kolon- och ändtarmsundersökningar på vårdcentraler. införande av screening för diabetisk retinopati vid 300 vårdcentraler. IV) Införande av Holterprov och blodtrycksövervakning i funktionella enheter. införande av diagnos- och behandlingsverktyg för astma, kronisk obstruktiv lungsjukdom och rökning (spirometrar) på vårdcentraler. och vi) införande av C-reaktiv proteindosering på vårdcentraler.</w:t>
            </w:r>
          </w:p>
        </w:tc>
      </w:tr>
      <w:tr w:rsidR="00E040FD" w14:paraId="4D2FC373" w14:textId="77777777">
        <w:trPr>
          <w:trHeight w:val="1270"/>
        </w:trPr>
        <w:tc>
          <w:tcPr>
            <w:tcW w:w="1135" w:type="dxa"/>
            <w:shd w:val="clear" w:color="auto" w:fill="C4EFCE"/>
            <w:noWrap/>
            <w:vAlign w:val="center"/>
            <w:hideMark/>
          </w:tcPr>
          <w:p w14:paraId="462C425F" w14:textId="77777777" w:rsidR="00E040FD" w:rsidRDefault="00740D64">
            <w:pPr>
              <w:pStyle w:val="P68B1DB1-Normal7"/>
              <w:spacing w:after="0" w:line="240" w:lineRule="auto"/>
              <w:jc w:val="center"/>
              <w:rPr>
                <w:rFonts w:eastAsia="Times New Roman" w:cs="Calibri"/>
                <w:noProof/>
              </w:rPr>
            </w:pPr>
            <w:r>
              <w:rPr>
                <w:noProof/>
              </w:rPr>
              <w:t>1.17</w:t>
            </w:r>
          </w:p>
        </w:tc>
        <w:tc>
          <w:tcPr>
            <w:tcW w:w="1276" w:type="dxa"/>
            <w:shd w:val="clear" w:color="auto" w:fill="C4EFCE"/>
            <w:noWrap/>
            <w:vAlign w:val="center"/>
            <w:hideMark/>
          </w:tcPr>
          <w:p w14:paraId="2AFB0257" w14:textId="77777777" w:rsidR="00E040FD" w:rsidRDefault="00740D6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7A95968C"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57BD7BFC" w14:textId="77777777" w:rsidR="00E040FD" w:rsidRDefault="00740D64">
            <w:pPr>
              <w:pStyle w:val="P68B1DB1-Normal8"/>
              <w:spacing w:after="0" w:line="240" w:lineRule="auto"/>
              <w:jc w:val="center"/>
              <w:rPr>
                <w:rFonts w:eastAsia="Times New Roman" w:cs="Calibri"/>
                <w:noProof/>
              </w:rPr>
            </w:pPr>
            <w:r>
              <w:rPr>
                <w:noProof/>
              </w:rPr>
              <w:t>Öka primärvårdscentrumens insatskapacitet och utöka deras insatsområden.</w:t>
            </w:r>
          </w:p>
        </w:tc>
        <w:tc>
          <w:tcPr>
            <w:tcW w:w="1418" w:type="dxa"/>
            <w:shd w:val="clear" w:color="auto" w:fill="C4EFCE"/>
            <w:noWrap/>
            <w:vAlign w:val="center"/>
            <w:hideMark/>
          </w:tcPr>
          <w:p w14:paraId="1B4A4798" w14:textId="77777777" w:rsidR="00E040FD" w:rsidRDefault="00740D64">
            <w:pPr>
              <w:pStyle w:val="P68B1DB1-Normal8"/>
              <w:spacing w:after="0" w:line="240" w:lineRule="auto"/>
              <w:jc w:val="center"/>
              <w:rPr>
                <w:rFonts w:eastAsia="Times New Roman" w:cs="Calibri"/>
                <w:noProof/>
              </w:rPr>
            </w:pPr>
            <w:r>
              <w:rPr>
                <w:noProof/>
              </w:rPr>
              <w:t>Rapport om ökningen av primärvårdscentralernas insatskapacitet och utvidgning av deras insatsområden</w:t>
            </w:r>
          </w:p>
        </w:tc>
        <w:tc>
          <w:tcPr>
            <w:tcW w:w="1164" w:type="dxa"/>
            <w:shd w:val="clear" w:color="auto" w:fill="C4EFCE"/>
            <w:noWrap/>
            <w:vAlign w:val="center"/>
            <w:hideMark/>
          </w:tcPr>
          <w:p w14:paraId="0BA94BEB" w14:textId="77777777" w:rsidR="00E040FD" w:rsidRDefault="00740D64">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78D22499" w14:textId="77777777" w:rsidR="00E040FD" w:rsidRDefault="00740D64">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30D3048F" w14:textId="77777777" w:rsidR="00E040FD" w:rsidRDefault="00740D64">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2A62A8E8" w14:textId="77777777" w:rsidR="00E040FD" w:rsidRDefault="00740D64">
            <w:pPr>
              <w:pStyle w:val="P68B1DB1-Normal8"/>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25F6A6A6" w14:textId="77777777" w:rsidR="00E040FD" w:rsidRDefault="00740D64">
            <w:pPr>
              <w:pStyle w:val="P68B1DB1-Normal8"/>
              <w:spacing w:after="0" w:line="240" w:lineRule="auto"/>
              <w:jc w:val="both"/>
              <w:rPr>
                <w:rFonts w:eastAsia="Times New Roman" w:cs="Calibri"/>
                <w:noProof/>
              </w:rPr>
            </w:pPr>
            <w:r>
              <w:rPr>
                <w:noProof/>
              </w:rPr>
              <w:t>2026</w:t>
            </w:r>
          </w:p>
        </w:tc>
        <w:tc>
          <w:tcPr>
            <w:tcW w:w="3981" w:type="dxa"/>
            <w:shd w:val="clear" w:color="auto" w:fill="C4EFCE"/>
            <w:noWrap/>
            <w:vAlign w:val="center"/>
            <w:hideMark/>
          </w:tcPr>
          <w:p w14:paraId="0263E408" w14:textId="14BC938F" w:rsidR="00E040FD" w:rsidRDefault="00740D64">
            <w:pPr>
              <w:pStyle w:val="P68B1DB1-Normal8"/>
              <w:spacing w:after="0" w:line="240" w:lineRule="auto"/>
              <w:jc w:val="both"/>
              <w:rPr>
                <w:rFonts w:eastAsia="Times New Roman" w:cs="Calibri"/>
                <w:noProof/>
              </w:rPr>
            </w:pPr>
            <w:r>
              <w:rPr>
                <w:noProof/>
              </w:rPr>
              <w:t>Genomförandet av denna milstolpe omfattar följande: utvidgning av samråd med diabetisk fot till vårdcentraler, II) Inrättande av tandläkarkontor vid vårdcentraler. III) inrättande av integrerade diagnoscentrum (med mindre komplexa kompletterande metoder för diagnos och behandling, röntgenanalys och klinisk analys) i grupper av vårdcentraler. IV) Inrättande av kontor för rörelse- och rehabilitering i grupper av vårdcentraler. v) tillhandahålla utrustning (nödväska, defibrillator och övervakning av vitala skyltar) för kvalificerade insatser i nödsituationer (grundläggande livsuppehåll) till vårdcentraler. vi) remitteringsprotokoll inom de mest efterfrågade vårdområdena, nämligen oftalmologi, otorhinolaryngologi, ortopedi och urologi.</w:t>
            </w:r>
          </w:p>
        </w:tc>
      </w:tr>
      <w:tr w:rsidR="00E040FD" w14:paraId="38332BEC" w14:textId="77777777">
        <w:trPr>
          <w:trHeight w:val="1256"/>
        </w:trPr>
        <w:tc>
          <w:tcPr>
            <w:tcW w:w="1135" w:type="dxa"/>
            <w:shd w:val="clear" w:color="auto" w:fill="C4EFCE"/>
            <w:noWrap/>
            <w:vAlign w:val="center"/>
            <w:hideMark/>
          </w:tcPr>
          <w:p w14:paraId="3C69E3A1" w14:textId="77777777" w:rsidR="00E040FD" w:rsidRDefault="00740D64">
            <w:pPr>
              <w:pStyle w:val="P68B1DB1-Normal7"/>
              <w:spacing w:after="0" w:line="240" w:lineRule="auto"/>
              <w:jc w:val="center"/>
              <w:rPr>
                <w:rFonts w:eastAsia="Times New Roman" w:cs="Calibri"/>
                <w:noProof/>
              </w:rPr>
            </w:pPr>
            <w:r>
              <w:rPr>
                <w:noProof/>
              </w:rPr>
              <w:t>1.18</w:t>
            </w:r>
          </w:p>
        </w:tc>
        <w:tc>
          <w:tcPr>
            <w:tcW w:w="1276" w:type="dxa"/>
            <w:shd w:val="clear" w:color="auto" w:fill="C4EFCE"/>
            <w:noWrap/>
            <w:vAlign w:val="center"/>
            <w:hideMark/>
          </w:tcPr>
          <w:p w14:paraId="454E6198" w14:textId="77777777" w:rsidR="00E040FD" w:rsidRDefault="00740D6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6B02D058"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5FFAEC9" w14:textId="77777777" w:rsidR="00E040FD" w:rsidRDefault="00740D64">
            <w:pPr>
              <w:pStyle w:val="P68B1DB1-Normal8"/>
              <w:spacing w:after="0" w:line="240" w:lineRule="auto"/>
              <w:jc w:val="center"/>
              <w:rPr>
                <w:rFonts w:eastAsia="Times New Roman" w:cs="Calibri"/>
                <w:noProof/>
              </w:rPr>
            </w:pPr>
            <w:r>
              <w:rPr>
                <w:noProof/>
              </w:rPr>
              <w:t>Renovering av anläggningar och utrustning för hälso- och sjukvård för att säkerställa tillgänglighet, kvalitet och säkerhet på primärvårdscentraler.</w:t>
            </w:r>
          </w:p>
        </w:tc>
        <w:tc>
          <w:tcPr>
            <w:tcW w:w="1418" w:type="dxa"/>
            <w:shd w:val="clear" w:color="auto" w:fill="C4EFCE"/>
            <w:noWrap/>
            <w:vAlign w:val="center"/>
            <w:hideMark/>
          </w:tcPr>
          <w:p w14:paraId="1CE147BD" w14:textId="77777777" w:rsidR="00E040FD" w:rsidRDefault="00740D64">
            <w:pPr>
              <w:pStyle w:val="P68B1DB1-Normal8"/>
              <w:spacing w:after="0" w:line="240" w:lineRule="auto"/>
              <w:jc w:val="center"/>
              <w:rPr>
                <w:rFonts w:eastAsia="Times New Roman" w:cs="Calibri"/>
                <w:noProof/>
              </w:rPr>
            </w:pPr>
            <w:r>
              <w:rPr>
                <w:noProof/>
              </w:rPr>
              <w:t>Betänkande om renovering av hälso- och sjukvårdsinrättningar och hälso- och sjukvårdsutrustning</w:t>
            </w:r>
          </w:p>
        </w:tc>
        <w:tc>
          <w:tcPr>
            <w:tcW w:w="1164" w:type="dxa"/>
            <w:shd w:val="clear" w:color="auto" w:fill="C4EFCE"/>
            <w:noWrap/>
            <w:vAlign w:val="center"/>
            <w:hideMark/>
          </w:tcPr>
          <w:p w14:paraId="0989D4A9" w14:textId="77777777" w:rsidR="00E040FD" w:rsidRDefault="00740D64">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07B01750" w14:textId="77777777" w:rsidR="00E040FD" w:rsidRDefault="00740D64">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097B0938" w14:textId="77777777" w:rsidR="00E040FD" w:rsidRDefault="00740D64">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501D62D0" w14:textId="77777777" w:rsidR="00E040FD" w:rsidRDefault="00740D64">
            <w:pPr>
              <w:pStyle w:val="P68B1DB1-Normal8"/>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1264AB9E" w14:textId="77777777" w:rsidR="00E040FD" w:rsidRDefault="00740D6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3B188F03" w14:textId="514EFA7B" w:rsidR="00E040FD" w:rsidRDefault="00740D64">
            <w:pPr>
              <w:pStyle w:val="P68B1DB1-Normal8"/>
              <w:spacing w:after="0" w:line="240" w:lineRule="auto"/>
              <w:jc w:val="both"/>
              <w:rPr>
                <w:rFonts w:eastAsia="Times New Roman" w:cs="Calibri"/>
                <w:noProof/>
              </w:rPr>
            </w:pPr>
            <w:r>
              <w:rPr>
                <w:noProof/>
              </w:rPr>
              <w:t>Genomförandet av denna milstolpe omfattar följande: i) renovering eller anpassning av 347 hälso- och sjukvårdsanläggningar för att öka energieffektiviteten, uppfylla beredskapsplaner och/eller säkerställa tillgänglighet, säkerhet och komfort för användare och hälso- och sjukvårdspersonal, varav bidrag på minst 170 838 136 EUR avser energieffektivitetsrenovering, och bidragsstöd på minst 13 046 589 EUR avser energieffektivitetsrenovering för att i genomsnitt uppnå en renovering av minst medelstor omfattning enligt definitionen i kommissionens rekommendation om byggnadsrenovering (EU) 2019/786 (kraven för att förbättra byggnaders energiprestanda ska ingå i förfarandena för offentlig upphandling och ska säkerställas i anbudsspecifikationerna). och ii) modernisera utrustningen (bland annat grundläggande klinisk utrustning, informations- och kommunikationsteknikutrustning, utrustning för energieffektivitet och säkerhetsutrustning).</w:t>
            </w:r>
          </w:p>
        </w:tc>
      </w:tr>
      <w:tr w:rsidR="00E040FD" w14:paraId="454852B5" w14:textId="77777777">
        <w:trPr>
          <w:trHeight w:val="640"/>
        </w:trPr>
        <w:tc>
          <w:tcPr>
            <w:tcW w:w="1135" w:type="dxa"/>
            <w:shd w:val="clear" w:color="auto" w:fill="C4EFCE"/>
            <w:noWrap/>
            <w:vAlign w:val="center"/>
            <w:hideMark/>
          </w:tcPr>
          <w:p w14:paraId="1E28E1AA" w14:textId="77777777" w:rsidR="00E040FD" w:rsidRDefault="00740D64">
            <w:pPr>
              <w:pStyle w:val="P68B1DB1-Normal7"/>
              <w:spacing w:after="0" w:line="240" w:lineRule="auto"/>
              <w:jc w:val="center"/>
              <w:rPr>
                <w:rFonts w:eastAsia="Times New Roman" w:cs="Calibri"/>
                <w:noProof/>
              </w:rPr>
            </w:pPr>
            <w:r>
              <w:rPr>
                <w:noProof/>
              </w:rPr>
              <w:t>1.19</w:t>
            </w:r>
          </w:p>
        </w:tc>
        <w:tc>
          <w:tcPr>
            <w:tcW w:w="1276" w:type="dxa"/>
            <w:shd w:val="clear" w:color="auto" w:fill="C4EFCE"/>
            <w:noWrap/>
            <w:vAlign w:val="center"/>
            <w:hideMark/>
          </w:tcPr>
          <w:p w14:paraId="216603F0" w14:textId="77777777" w:rsidR="00E040FD" w:rsidRDefault="00740D6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61B1C51C"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BE3A27A" w14:textId="77777777" w:rsidR="00E040FD" w:rsidRDefault="00740D64">
            <w:pPr>
              <w:pStyle w:val="P68B1DB1-Normal8"/>
              <w:spacing w:after="0" w:line="240" w:lineRule="auto"/>
              <w:jc w:val="center"/>
              <w:rPr>
                <w:rFonts w:eastAsia="Times New Roman" w:cs="Calibri"/>
                <w:noProof/>
              </w:rPr>
            </w:pPr>
            <w:r>
              <w:rPr>
                <w:noProof/>
              </w:rPr>
              <w:t>Förstärkning av samhällsbaserad vård, hemvård och samhällsinsatser</w:t>
            </w:r>
          </w:p>
        </w:tc>
        <w:tc>
          <w:tcPr>
            <w:tcW w:w="1418" w:type="dxa"/>
            <w:shd w:val="clear" w:color="auto" w:fill="C4EFCE"/>
            <w:noWrap/>
            <w:vAlign w:val="center"/>
            <w:hideMark/>
          </w:tcPr>
          <w:p w14:paraId="66DD2452" w14:textId="77777777" w:rsidR="00E040FD" w:rsidRDefault="00740D64">
            <w:pPr>
              <w:pStyle w:val="P68B1DB1-Normal8"/>
              <w:spacing w:after="0" w:line="240" w:lineRule="auto"/>
              <w:jc w:val="center"/>
              <w:rPr>
                <w:rFonts w:eastAsia="Times New Roman" w:cs="Calibri"/>
                <w:noProof/>
              </w:rPr>
            </w:pPr>
            <w:r>
              <w:rPr>
                <w:noProof/>
              </w:rPr>
              <w:t>Betänkande om förstärkning av närvård, hemvård och samhällsinsatser</w:t>
            </w:r>
          </w:p>
        </w:tc>
        <w:tc>
          <w:tcPr>
            <w:tcW w:w="1164" w:type="dxa"/>
            <w:shd w:val="clear" w:color="auto" w:fill="C4EFCE"/>
            <w:noWrap/>
            <w:vAlign w:val="center"/>
            <w:hideMark/>
          </w:tcPr>
          <w:p w14:paraId="4CC73D52" w14:textId="77777777" w:rsidR="00E040FD" w:rsidRDefault="00740D64">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12886356" w14:textId="77777777" w:rsidR="00E040FD" w:rsidRDefault="00740D64">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155786FA" w14:textId="77777777" w:rsidR="00E040FD" w:rsidRDefault="00740D64">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59E1E927" w14:textId="77777777" w:rsidR="00E040FD" w:rsidRDefault="00740D64">
            <w:pPr>
              <w:pStyle w:val="P68B1DB1-Normal8"/>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4ABA702F" w14:textId="77777777" w:rsidR="00E040FD" w:rsidRDefault="00740D6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D6E8DF1" w14:textId="77777777" w:rsidR="00E040FD" w:rsidRDefault="00740D64">
            <w:pPr>
              <w:pStyle w:val="P68B1DB1-Normal8"/>
              <w:spacing w:after="0" w:line="240" w:lineRule="auto"/>
              <w:jc w:val="both"/>
              <w:rPr>
                <w:rFonts w:eastAsia="Times New Roman" w:cs="Calibri"/>
                <w:noProof/>
              </w:rPr>
            </w:pPr>
            <w:r>
              <w:rPr>
                <w:noProof/>
              </w:rPr>
              <w:t>Genomförandet av denna milstolpe omfattar följande: i) tillhandahålla minst 770 elfordon för att stödja hälso- och sjukvårdsinrättningarnas tillhandahållande av hemvård, och ii) utöka antalet nya mobila enheter med minst 34 för att omfatta regioner med låg befolkningstäthet.</w:t>
            </w:r>
          </w:p>
        </w:tc>
      </w:tr>
      <w:tr w:rsidR="00E040FD" w14:paraId="1E7E7401" w14:textId="77777777">
        <w:trPr>
          <w:trHeight w:val="430"/>
        </w:trPr>
        <w:tc>
          <w:tcPr>
            <w:tcW w:w="1135" w:type="dxa"/>
            <w:shd w:val="clear" w:color="auto" w:fill="C4EFCE"/>
            <w:noWrap/>
            <w:vAlign w:val="center"/>
            <w:hideMark/>
          </w:tcPr>
          <w:p w14:paraId="0299C2D9" w14:textId="77777777" w:rsidR="00E040FD" w:rsidRDefault="00740D64">
            <w:pPr>
              <w:pStyle w:val="P68B1DB1-Normal7"/>
              <w:spacing w:after="0" w:line="240" w:lineRule="auto"/>
              <w:jc w:val="center"/>
              <w:rPr>
                <w:rFonts w:eastAsia="Times New Roman" w:cs="Calibri"/>
                <w:noProof/>
              </w:rPr>
            </w:pPr>
            <w:r>
              <w:rPr>
                <w:noProof/>
              </w:rPr>
              <w:t>1.20</w:t>
            </w:r>
          </w:p>
        </w:tc>
        <w:tc>
          <w:tcPr>
            <w:tcW w:w="1276" w:type="dxa"/>
            <w:shd w:val="clear" w:color="auto" w:fill="C4EFCE"/>
            <w:noWrap/>
            <w:vAlign w:val="center"/>
            <w:hideMark/>
          </w:tcPr>
          <w:p w14:paraId="5FD4B12F" w14:textId="77777777" w:rsidR="00E040FD" w:rsidRDefault="00740D64">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7D9E344F"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949C28C" w14:textId="77777777" w:rsidR="00E040FD" w:rsidRDefault="00740D64">
            <w:pPr>
              <w:pStyle w:val="P68B1DB1-Normal8"/>
              <w:spacing w:after="0" w:line="240" w:lineRule="auto"/>
              <w:jc w:val="center"/>
              <w:rPr>
                <w:rFonts w:eastAsia="Times New Roman" w:cs="Calibri"/>
                <w:noProof/>
              </w:rPr>
            </w:pPr>
            <w:r>
              <w:rPr>
                <w:noProof/>
              </w:rPr>
              <w:t>Ikraftträdande av förordningen om tilldelning av ekonomiskt stöd från de regionala hälsomyndigheterna</w:t>
            </w:r>
          </w:p>
        </w:tc>
        <w:tc>
          <w:tcPr>
            <w:tcW w:w="1418" w:type="dxa"/>
            <w:shd w:val="clear" w:color="auto" w:fill="C4EFCE"/>
            <w:noWrap/>
            <w:vAlign w:val="center"/>
            <w:hideMark/>
          </w:tcPr>
          <w:p w14:paraId="5DB93479" w14:textId="77777777" w:rsidR="00E040FD" w:rsidRDefault="00740D64">
            <w:pPr>
              <w:pStyle w:val="P68B1DB1-Normal8"/>
              <w:spacing w:after="0" w:line="240" w:lineRule="auto"/>
              <w:jc w:val="center"/>
              <w:rPr>
                <w:rFonts w:eastAsia="Times New Roman" w:cs="Calibri"/>
                <w:noProof/>
              </w:rPr>
            </w:pPr>
            <w:r>
              <w:rPr>
                <w:noProof/>
              </w:rPr>
              <w:t>Ikraftträdande av förordningen om tilldelning av ekonomiskt stöd</w:t>
            </w:r>
          </w:p>
        </w:tc>
        <w:tc>
          <w:tcPr>
            <w:tcW w:w="1164" w:type="dxa"/>
            <w:shd w:val="clear" w:color="auto" w:fill="C4EFCE"/>
            <w:noWrap/>
            <w:vAlign w:val="center"/>
            <w:hideMark/>
          </w:tcPr>
          <w:p w14:paraId="251EE7F7"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DB5B8B0"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F7AF621"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B4120B0" w14:textId="77777777" w:rsidR="00E040FD" w:rsidRDefault="00740D64">
            <w:pPr>
              <w:pStyle w:val="P68B1DB1-Normal8"/>
              <w:spacing w:after="0" w:line="240" w:lineRule="auto"/>
              <w:jc w:val="center"/>
              <w:rPr>
                <w:rFonts w:eastAsia="Times New Roman" w:cs="Calibri"/>
                <w:noProof/>
              </w:rPr>
            </w:pPr>
            <w:r>
              <w:rPr>
                <w:noProof/>
              </w:rPr>
              <w:t>KVARTAL 1</w:t>
            </w:r>
          </w:p>
        </w:tc>
        <w:tc>
          <w:tcPr>
            <w:tcW w:w="901" w:type="dxa"/>
            <w:shd w:val="clear" w:color="auto" w:fill="C4EFCE"/>
            <w:noWrap/>
            <w:vAlign w:val="center"/>
            <w:hideMark/>
          </w:tcPr>
          <w:p w14:paraId="2C8FCB77" w14:textId="77777777" w:rsidR="00E040FD" w:rsidRDefault="00740D6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237D71AB" w14:textId="77777777" w:rsidR="00E040FD" w:rsidRDefault="00740D64">
            <w:pPr>
              <w:pStyle w:val="P68B1DB1-Normal8"/>
              <w:spacing w:after="0" w:line="240" w:lineRule="auto"/>
              <w:jc w:val="both"/>
              <w:rPr>
                <w:rFonts w:eastAsia="Times New Roman" w:cs="Calibri"/>
                <w:noProof/>
              </w:rPr>
            </w:pPr>
            <w:r>
              <w:rPr>
                <w:noProof/>
              </w:rPr>
              <w:t>Ikraftträdande av förordningen om tilldelning av ekonomiskt stöd från de regionala hälsomyndigheterna, som ska fastställa programmets styrningsmodell och de sökandes respektive krav.</w:t>
            </w:r>
          </w:p>
        </w:tc>
      </w:tr>
      <w:tr w:rsidR="00E040FD" w14:paraId="7F7C84BA" w14:textId="77777777">
        <w:trPr>
          <w:trHeight w:val="1690"/>
        </w:trPr>
        <w:tc>
          <w:tcPr>
            <w:tcW w:w="1135" w:type="dxa"/>
            <w:shd w:val="clear" w:color="auto" w:fill="C4EFCE"/>
            <w:noWrap/>
            <w:vAlign w:val="center"/>
            <w:hideMark/>
          </w:tcPr>
          <w:p w14:paraId="74351DC1" w14:textId="77777777" w:rsidR="00E040FD" w:rsidRDefault="00740D64">
            <w:pPr>
              <w:pStyle w:val="P68B1DB1-Normal7"/>
              <w:spacing w:after="0" w:line="240" w:lineRule="auto"/>
              <w:jc w:val="center"/>
              <w:rPr>
                <w:rFonts w:eastAsia="Times New Roman" w:cs="Calibri"/>
                <w:noProof/>
              </w:rPr>
            </w:pPr>
            <w:r>
              <w:rPr>
                <w:noProof/>
              </w:rPr>
              <w:t>1.21</w:t>
            </w:r>
          </w:p>
        </w:tc>
        <w:tc>
          <w:tcPr>
            <w:tcW w:w="1276" w:type="dxa"/>
            <w:shd w:val="clear" w:color="auto" w:fill="C4EFCE"/>
            <w:noWrap/>
            <w:vAlign w:val="center"/>
            <w:hideMark/>
          </w:tcPr>
          <w:p w14:paraId="34C37BAF" w14:textId="77777777" w:rsidR="00E040FD" w:rsidRDefault="00740D64">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4A6CCB1B"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4AB89F2D" w14:textId="77777777" w:rsidR="00E040FD" w:rsidRDefault="00740D64">
            <w:pPr>
              <w:pStyle w:val="P68B1DB1-Normal8"/>
              <w:spacing w:after="0" w:line="240" w:lineRule="auto"/>
              <w:jc w:val="center"/>
              <w:rPr>
                <w:rFonts w:eastAsia="Times New Roman" w:cs="Calibri"/>
                <w:noProof/>
              </w:rPr>
            </w:pPr>
            <w:r>
              <w:rPr>
                <w:noProof/>
              </w:rPr>
              <w:t>Stärka reaktionsförmågan hos de nationella nätverken för integrerad fortsatt vård och palliativ vård inom sluten vård och öppenvård</w:t>
            </w:r>
          </w:p>
        </w:tc>
        <w:tc>
          <w:tcPr>
            <w:tcW w:w="1418" w:type="dxa"/>
            <w:shd w:val="clear" w:color="auto" w:fill="C4EFCE"/>
            <w:noWrap/>
            <w:vAlign w:val="center"/>
            <w:hideMark/>
          </w:tcPr>
          <w:p w14:paraId="27BF6F6B"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76222F30"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1879440B" w14:textId="77777777" w:rsidR="00E040FD" w:rsidRDefault="00740D64">
            <w:pPr>
              <w:pStyle w:val="P68B1DB1-Normal8"/>
              <w:spacing w:after="0" w:line="240" w:lineRule="auto"/>
              <w:jc w:val="center"/>
              <w:rPr>
                <w:rFonts w:eastAsia="Times New Roman" w:cs="Calibri"/>
                <w:noProof/>
              </w:rPr>
            </w:pPr>
            <w:r>
              <w:rPr>
                <w:noProof/>
              </w:rPr>
              <w:t> 0</w:t>
            </w:r>
          </w:p>
        </w:tc>
        <w:tc>
          <w:tcPr>
            <w:tcW w:w="805" w:type="dxa"/>
            <w:shd w:val="clear" w:color="auto" w:fill="C4EFCE"/>
            <w:noWrap/>
            <w:vAlign w:val="center"/>
            <w:hideMark/>
          </w:tcPr>
          <w:p w14:paraId="7F341A5B" w14:textId="77777777" w:rsidR="00E040FD" w:rsidRDefault="00740D64">
            <w:pPr>
              <w:pStyle w:val="P68B1DB1-Normal8"/>
              <w:spacing w:after="0" w:line="240" w:lineRule="auto"/>
              <w:jc w:val="center"/>
              <w:rPr>
                <w:rFonts w:eastAsia="Times New Roman" w:cs="Calibri"/>
                <w:noProof/>
              </w:rPr>
            </w:pPr>
            <w:r>
              <w:rPr>
                <w:noProof/>
              </w:rPr>
              <w:t>7 400</w:t>
            </w:r>
          </w:p>
        </w:tc>
        <w:tc>
          <w:tcPr>
            <w:tcW w:w="833" w:type="dxa"/>
            <w:gridSpan w:val="2"/>
            <w:shd w:val="clear" w:color="auto" w:fill="C4EFCE"/>
            <w:noWrap/>
            <w:vAlign w:val="center"/>
            <w:hideMark/>
          </w:tcPr>
          <w:p w14:paraId="0CE41663"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253B9B39" w14:textId="77777777" w:rsidR="00E040FD" w:rsidRDefault="00740D6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7ABEA994" w14:textId="5DEC19EC" w:rsidR="00E040FD" w:rsidRDefault="00740D64">
            <w:pPr>
              <w:pStyle w:val="P68B1DB1-Normal8"/>
              <w:spacing w:after="0" w:line="240" w:lineRule="auto"/>
              <w:jc w:val="both"/>
              <w:rPr>
                <w:rFonts w:eastAsia="Times New Roman" w:cs="Calibri"/>
                <w:noProof/>
              </w:rPr>
            </w:pPr>
            <w:r>
              <w:rPr>
                <w:noProof/>
              </w:rPr>
              <w:t>Förstärkning av reaktionskapaciteten hos de nationella nätverken för integrerad fortsatt vård och palliativ vård inom sluten vård och öppenvård genom att skapa följande nya platser: nya 5 500 vårdplatser i det nationella nätverket av integrerade tjänster för kontinuerlig vård, inom det allmänna nätverket. II) Nya 500 platser i enheter för främjande av självständighet inom det nationella nätverket av integrerade kontinuerliga vårdtjänster. III) nya 1 000 platser inom integrerad psykiatrisk vård. och iv) nya 400 vårdbäddar med låg komplexitet i det nationella nätverket av palliativa vårdtjänster. Det omfattar användning av bidragsstöd på minst 226 730 193 EUR för att bygga ny hälso- och sjukvårdsinfrastruktur. Dessa nya byggnader ska ha ett primärenergibehov som är minst 20 % lägre än kraven för nära-nollenergibyggnader.</w:t>
            </w:r>
          </w:p>
        </w:tc>
      </w:tr>
      <w:tr w:rsidR="00E040FD" w14:paraId="5AE6F182" w14:textId="77777777">
        <w:trPr>
          <w:trHeight w:val="1060"/>
        </w:trPr>
        <w:tc>
          <w:tcPr>
            <w:tcW w:w="1135" w:type="dxa"/>
            <w:shd w:val="clear" w:color="auto" w:fill="C4EFCE"/>
            <w:noWrap/>
            <w:vAlign w:val="center"/>
            <w:hideMark/>
          </w:tcPr>
          <w:p w14:paraId="66FCDE69" w14:textId="77777777" w:rsidR="00E040FD" w:rsidRDefault="00740D64">
            <w:pPr>
              <w:pStyle w:val="P68B1DB1-Normal7"/>
              <w:spacing w:after="0" w:line="240" w:lineRule="auto"/>
              <w:jc w:val="center"/>
              <w:rPr>
                <w:rFonts w:eastAsia="Times New Roman" w:cs="Calibri"/>
                <w:noProof/>
              </w:rPr>
            </w:pPr>
            <w:r>
              <w:rPr>
                <w:noProof/>
              </w:rPr>
              <w:t>1.22</w:t>
            </w:r>
          </w:p>
        </w:tc>
        <w:tc>
          <w:tcPr>
            <w:tcW w:w="1276" w:type="dxa"/>
            <w:shd w:val="clear" w:color="auto" w:fill="C4EFCE"/>
            <w:noWrap/>
            <w:vAlign w:val="center"/>
            <w:hideMark/>
          </w:tcPr>
          <w:p w14:paraId="0DED5251" w14:textId="77777777" w:rsidR="00E040FD" w:rsidRDefault="00740D64">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647B9DAD"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55CF526" w14:textId="77777777" w:rsidR="00E040FD" w:rsidRDefault="00740D64">
            <w:pPr>
              <w:pStyle w:val="P68B1DB1-Normal8"/>
              <w:spacing w:after="0" w:line="240" w:lineRule="auto"/>
              <w:jc w:val="center"/>
              <w:rPr>
                <w:rFonts w:eastAsia="Times New Roman" w:cs="Calibri"/>
                <w:noProof/>
              </w:rPr>
            </w:pPr>
            <w:r>
              <w:rPr>
                <w:noProof/>
              </w:rPr>
              <w:t>Stärka insatskapaciteten hos de nationella nätverken för integrerad fortsatt vård och palliativ vård i hemmet</w:t>
            </w:r>
          </w:p>
        </w:tc>
        <w:tc>
          <w:tcPr>
            <w:tcW w:w="1418" w:type="dxa"/>
            <w:shd w:val="clear" w:color="auto" w:fill="C4EFCE"/>
            <w:noWrap/>
            <w:vAlign w:val="center"/>
            <w:hideMark/>
          </w:tcPr>
          <w:p w14:paraId="0A35A3F3"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6DF5F8B"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02612F2B"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55B25AA" w14:textId="77777777" w:rsidR="00E040FD" w:rsidRDefault="00740D64">
            <w:pPr>
              <w:pStyle w:val="P68B1DB1-Normal8"/>
              <w:spacing w:after="0" w:line="240" w:lineRule="auto"/>
              <w:jc w:val="center"/>
              <w:rPr>
                <w:rFonts w:eastAsia="Times New Roman" w:cs="Calibri"/>
                <w:noProof/>
              </w:rPr>
            </w:pPr>
            <w:r>
              <w:rPr>
                <w:noProof/>
              </w:rPr>
              <w:t>1 200</w:t>
            </w:r>
          </w:p>
        </w:tc>
        <w:tc>
          <w:tcPr>
            <w:tcW w:w="833" w:type="dxa"/>
            <w:gridSpan w:val="2"/>
            <w:shd w:val="clear" w:color="auto" w:fill="C4EFCE"/>
            <w:noWrap/>
            <w:vAlign w:val="center"/>
            <w:hideMark/>
          </w:tcPr>
          <w:p w14:paraId="74C0C891" w14:textId="45AB5963" w:rsidR="00E040FD" w:rsidRDefault="00740D64">
            <w:pPr>
              <w:pStyle w:val="P68B1DB1-Normal10"/>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22DB6368" w14:textId="5990FEF5" w:rsidR="00E040FD" w:rsidRDefault="00740D64">
            <w:pPr>
              <w:pStyle w:val="P68B1DB1-Normal10"/>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558142A7" w14:textId="77777777" w:rsidR="00E040FD" w:rsidRDefault="00740D64">
            <w:pPr>
              <w:pStyle w:val="P68B1DB1-Normal8"/>
              <w:spacing w:after="0" w:line="240" w:lineRule="auto"/>
              <w:jc w:val="both"/>
              <w:rPr>
                <w:rFonts w:eastAsia="Times New Roman" w:cs="Calibri"/>
                <w:noProof/>
              </w:rPr>
            </w:pPr>
            <w:r>
              <w:rPr>
                <w:noProof/>
              </w:rPr>
              <w:t>Förstärkning av insatskapaciteten hos de nationella nätverken för integrerad fortsatt vård och palliativ vård i hemmet genom att skapa följande nya platser: i) 1 000 nya platser i integrerade team för fortsatt vård i hemmet, II) 100 nya platser i stödgrupper för psykisk hälsa inom det nationella nätverket av integrerade kontinuerliga vårdtjänster. och iii) 100 nya platser i lokala stödgrupper för palliativ vård.</w:t>
            </w:r>
          </w:p>
        </w:tc>
      </w:tr>
      <w:tr w:rsidR="00E040FD" w14:paraId="59032C88" w14:textId="77777777">
        <w:trPr>
          <w:trHeight w:val="1060"/>
        </w:trPr>
        <w:tc>
          <w:tcPr>
            <w:tcW w:w="1135" w:type="dxa"/>
            <w:shd w:val="clear" w:color="auto" w:fill="C4EFCE"/>
            <w:noWrap/>
            <w:vAlign w:val="center"/>
            <w:hideMark/>
          </w:tcPr>
          <w:p w14:paraId="68CBF731" w14:textId="77777777" w:rsidR="00E040FD" w:rsidRDefault="00740D64">
            <w:pPr>
              <w:pStyle w:val="P68B1DB1-Normal7"/>
              <w:spacing w:after="0" w:line="240" w:lineRule="auto"/>
              <w:jc w:val="center"/>
              <w:rPr>
                <w:rFonts w:eastAsia="Times New Roman" w:cs="Calibri"/>
                <w:noProof/>
              </w:rPr>
            </w:pPr>
            <w:r>
              <w:rPr>
                <w:noProof/>
              </w:rPr>
              <w:t>1.23</w:t>
            </w:r>
          </w:p>
        </w:tc>
        <w:tc>
          <w:tcPr>
            <w:tcW w:w="1276" w:type="dxa"/>
            <w:shd w:val="clear" w:color="auto" w:fill="C4EFCE"/>
            <w:noWrap/>
            <w:vAlign w:val="center"/>
            <w:hideMark/>
          </w:tcPr>
          <w:p w14:paraId="73D71360" w14:textId="77777777" w:rsidR="00E040FD" w:rsidRDefault="00740D64">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1D0F3E64"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6CD9472F" w14:textId="77777777" w:rsidR="00E040FD" w:rsidRDefault="00740D64">
            <w:pPr>
              <w:pStyle w:val="P68B1DB1-Normal8"/>
              <w:spacing w:after="0" w:line="240" w:lineRule="auto"/>
              <w:jc w:val="center"/>
              <w:rPr>
                <w:rFonts w:eastAsia="Times New Roman" w:cs="Calibri"/>
                <w:noProof/>
              </w:rPr>
            </w:pPr>
            <w:r>
              <w:rPr>
                <w:noProof/>
              </w:rPr>
              <w:t>Renovering av kriminaltekniska psykiatriska enheter och utrustning</w:t>
            </w:r>
          </w:p>
        </w:tc>
        <w:tc>
          <w:tcPr>
            <w:tcW w:w="1418" w:type="dxa"/>
            <w:shd w:val="clear" w:color="auto" w:fill="C4EFCE"/>
            <w:noWrap/>
            <w:vAlign w:val="center"/>
            <w:hideMark/>
          </w:tcPr>
          <w:p w14:paraId="668CD381"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39AD866"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266CA769"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315F1F44" w14:textId="77777777" w:rsidR="00E040FD" w:rsidRDefault="00740D64">
            <w:pPr>
              <w:pStyle w:val="P68B1DB1-Normal8"/>
              <w:spacing w:after="0" w:line="240" w:lineRule="auto"/>
              <w:jc w:val="center"/>
              <w:rPr>
                <w:rFonts w:eastAsia="Times New Roman" w:cs="Calibri"/>
                <w:noProof/>
              </w:rPr>
            </w:pPr>
            <w:r>
              <w:rPr>
                <w:noProof/>
              </w:rPr>
              <w:t>3</w:t>
            </w:r>
          </w:p>
        </w:tc>
        <w:tc>
          <w:tcPr>
            <w:tcW w:w="833" w:type="dxa"/>
            <w:gridSpan w:val="2"/>
            <w:shd w:val="clear" w:color="auto" w:fill="C4EFCE"/>
            <w:noWrap/>
            <w:vAlign w:val="center"/>
            <w:hideMark/>
          </w:tcPr>
          <w:p w14:paraId="293F4F6B"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7CD67BEE" w14:textId="77777777" w:rsidR="00E040FD" w:rsidRDefault="00740D6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4B5D6547" w14:textId="77777777" w:rsidR="00E040FD" w:rsidRDefault="00740D64">
            <w:pPr>
              <w:pStyle w:val="P68B1DB1-Normal8"/>
              <w:spacing w:after="0" w:line="240" w:lineRule="auto"/>
              <w:jc w:val="both"/>
              <w:rPr>
                <w:rFonts w:eastAsia="Times New Roman" w:cs="Calibri"/>
                <w:noProof/>
              </w:rPr>
            </w:pPr>
            <w:r>
              <w:rPr>
                <w:noProof/>
              </w:rPr>
              <w:t xml:space="preserve">Byggande av en ny rättspsykiatrisk enhet (Sobral Cid) och renovering av två andra enheter (psykiatriska sjukhuset i Lissabon och sjukhuset de Magalhães Lemos) för att säkerställa villkor som är förenliga med respekten för de mänskliga rättigheterna, särskilt personlig integritet, bekvämlighet och humanisering av utrymmen, utan att försumma de säkerhetsvillkor som är förbundna med verkställandet av domstolsbeslut och förhindra att internationella organisationer (Europeiska kommittén till förhindrande av tortyr) avkunnar ytterligare fällande domar mot Portugal. </w:t>
            </w:r>
          </w:p>
        </w:tc>
      </w:tr>
      <w:tr w:rsidR="00E040FD" w14:paraId="79BD555A" w14:textId="77777777">
        <w:trPr>
          <w:trHeight w:val="640"/>
        </w:trPr>
        <w:tc>
          <w:tcPr>
            <w:tcW w:w="1135" w:type="dxa"/>
            <w:shd w:val="clear" w:color="auto" w:fill="C4EFCE"/>
            <w:noWrap/>
            <w:vAlign w:val="center"/>
            <w:hideMark/>
          </w:tcPr>
          <w:p w14:paraId="69D05224" w14:textId="77777777" w:rsidR="00E040FD" w:rsidRDefault="00740D64">
            <w:pPr>
              <w:pStyle w:val="P68B1DB1-Normal7"/>
              <w:spacing w:after="0" w:line="240" w:lineRule="auto"/>
              <w:jc w:val="center"/>
              <w:rPr>
                <w:rFonts w:eastAsia="Times New Roman" w:cs="Calibri"/>
                <w:noProof/>
              </w:rPr>
            </w:pPr>
            <w:r>
              <w:rPr>
                <w:noProof/>
              </w:rPr>
              <w:t>1.24</w:t>
            </w:r>
          </w:p>
        </w:tc>
        <w:tc>
          <w:tcPr>
            <w:tcW w:w="1276" w:type="dxa"/>
            <w:shd w:val="clear" w:color="auto" w:fill="C4EFCE"/>
            <w:noWrap/>
            <w:vAlign w:val="center"/>
            <w:hideMark/>
          </w:tcPr>
          <w:p w14:paraId="77EC2F21" w14:textId="77777777" w:rsidR="00E040FD" w:rsidRDefault="00740D64">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3AD8EF16"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2F5900A0" w14:textId="77777777" w:rsidR="00E040FD" w:rsidRDefault="00740D64">
            <w:pPr>
              <w:pStyle w:val="P68B1DB1-Normal8"/>
              <w:spacing w:after="0" w:line="240" w:lineRule="auto"/>
              <w:jc w:val="center"/>
              <w:rPr>
                <w:rFonts w:eastAsia="Times New Roman" w:cs="Calibri"/>
                <w:noProof/>
              </w:rPr>
            </w:pPr>
            <w:r>
              <w:rPr>
                <w:noProof/>
              </w:rPr>
              <w:t>Utveckling av medvetandehöjande åtgärder och utbildningsåtgärder för att ”bygga upp patientvägar” i samband med demenssjukdomar.</w:t>
            </w:r>
          </w:p>
        </w:tc>
        <w:tc>
          <w:tcPr>
            <w:tcW w:w="1418" w:type="dxa"/>
            <w:shd w:val="clear" w:color="auto" w:fill="C4EFCE"/>
            <w:noWrap/>
            <w:vAlign w:val="center"/>
            <w:hideMark/>
          </w:tcPr>
          <w:p w14:paraId="0479C79B" w14:textId="77777777" w:rsidR="00E040FD" w:rsidRDefault="00740D64">
            <w:pPr>
              <w:pStyle w:val="P68B1DB1-Normal8"/>
              <w:spacing w:after="0" w:line="240" w:lineRule="auto"/>
              <w:jc w:val="center"/>
              <w:rPr>
                <w:rFonts w:eastAsia="Times New Roman" w:cs="Calibri"/>
                <w:noProof/>
              </w:rPr>
            </w:pPr>
            <w:r>
              <w:rPr>
                <w:noProof/>
              </w:rPr>
              <w:t>Rapport om genomförandet av nya medvetandehöjande åtgärder och utbildningsåtgärder och deras utveckling</w:t>
            </w:r>
          </w:p>
        </w:tc>
        <w:tc>
          <w:tcPr>
            <w:tcW w:w="1164" w:type="dxa"/>
            <w:shd w:val="clear" w:color="auto" w:fill="C4EFCE"/>
            <w:noWrap/>
            <w:vAlign w:val="center"/>
            <w:hideMark/>
          </w:tcPr>
          <w:p w14:paraId="4EEB31BE"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FE014D9"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428CA5F8"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8C7EC78"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18C7751D" w14:textId="77777777" w:rsidR="00E040FD" w:rsidRDefault="00740D6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6E491E2" w14:textId="77777777" w:rsidR="00E040FD" w:rsidRDefault="00740D64">
            <w:pPr>
              <w:pStyle w:val="P68B1DB1-Normal8"/>
              <w:spacing w:after="0" w:line="240" w:lineRule="auto"/>
              <w:jc w:val="both"/>
              <w:rPr>
                <w:rFonts w:eastAsia="Times New Roman" w:cs="Calibri"/>
                <w:noProof/>
              </w:rPr>
            </w:pPr>
            <w:r>
              <w:rPr>
                <w:noProof/>
              </w:rPr>
              <w:t>Medvetandehöjande åtgärder och utbildningsåtgärder om demenssjukdomar, i syfte att stödja reformer inom social- och hälsovårdstjänster som riktar sig till personal inom social- och hälsovårdstjänster eller andra enheter som arbetar med allmänheten inom social- och hälsovårdspolitiken, samt till användare av sociala tjänster och hälso- och sjukvårdstjänster.</w:t>
            </w:r>
          </w:p>
        </w:tc>
      </w:tr>
      <w:tr w:rsidR="00E040FD" w14:paraId="31A97B40" w14:textId="77777777">
        <w:trPr>
          <w:trHeight w:val="684"/>
        </w:trPr>
        <w:tc>
          <w:tcPr>
            <w:tcW w:w="1135" w:type="dxa"/>
            <w:shd w:val="clear" w:color="auto" w:fill="C4EFCE"/>
            <w:noWrap/>
            <w:vAlign w:val="center"/>
            <w:hideMark/>
          </w:tcPr>
          <w:p w14:paraId="6F805E1F" w14:textId="77777777" w:rsidR="00E040FD" w:rsidRDefault="00740D64">
            <w:pPr>
              <w:pStyle w:val="P68B1DB1-Normal7"/>
              <w:spacing w:after="0" w:line="240" w:lineRule="auto"/>
              <w:jc w:val="center"/>
              <w:rPr>
                <w:rFonts w:eastAsia="Times New Roman" w:cs="Calibri"/>
                <w:noProof/>
              </w:rPr>
            </w:pPr>
            <w:r>
              <w:rPr>
                <w:noProof/>
              </w:rPr>
              <w:t>1.25</w:t>
            </w:r>
          </w:p>
        </w:tc>
        <w:tc>
          <w:tcPr>
            <w:tcW w:w="1276" w:type="dxa"/>
            <w:shd w:val="clear" w:color="auto" w:fill="C4EFCE"/>
            <w:noWrap/>
            <w:vAlign w:val="center"/>
            <w:hideMark/>
          </w:tcPr>
          <w:p w14:paraId="2AA7B1FD" w14:textId="77777777" w:rsidR="00E040FD" w:rsidRDefault="00740D64">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7E6411F2"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011655A" w14:textId="77777777" w:rsidR="00E040FD" w:rsidRDefault="00740D64">
            <w:pPr>
              <w:pStyle w:val="P68B1DB1-Normal8"/>
              <w:spacing w:after="0" w:line="240" w:lineRule="auto"/>
              <w:jc w:val="center"/>
              <w:rPr>
                <w:rFonts w:eastAsia="Times New Roman" w:cs="Calibri"/>
                <w:noProof/>
              </w:rPr>
            </w:pPr>
            <w:r>
              <w:rPr>
                <w:noProof/>
              </w:rPr>
              <w:t>Slutförande av förstärkningen av nätverket för psykisk hälsa</w:t>
            </w:r>
          </w:p>
        </w:tc>
        <w:tc>
          <w:tcPr>
            <w:tcW w:w="1418" w:type="dxa"/>
            <w:shd w:val="clear" w:color="auto" w:fill="C4EFCE"/>
            <w:noWrap/>
            <w:vAlign w:val="center"/>
            <w:hideMark/>
          </w:tcPr>
          <w:p w14:paraId="166A1207" w14:textId="77777777" w:rsidR="00E040FD" w:rsidRDefault="00740D64">
            <w:pPr>
              <w:pStyle w:val="P68B1DB1-Normal8"/>
              <w:spacing w:after="0" w:line="240" w:lineRule="auto"/>
              <w:jc w:val="center"/>
              <w:rPr>
                <w:rFonts w:eastAsia="Times New Roman" w:cs="Calibri"/>
                <w:noProof/>
              </w:rPr>
            </w:pPr>
            <w:r>
              <w:rPr>
                <w:noProof/>
              </w:rPr>
              <w:t>Rapport om slutförandet av alla beskrivna initiativ för att stärka nätverket för psykisk hälsa</w:t>
            </w:r>
          </w:p>
        </w:tc>
        <w:tc>
          <w:tcPr>
            <w:tcW w:w="1164" w:type="dxa"/>
            <w:shd w:val="clear" w:color="auto" w:fill="C4EFCE"/>
            <w:noWrap/>
            <w:vAlign w:val="center"/>
            <w:hideMark/>
          </w:tcPr>
          <w:p w14:paraId="7E425255"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515D8522"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0BC945BE"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43853C13"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695E8BA0" w14:textId="77777777" w:rsidR="00E040FD" w:rsidRDefault="00740D6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6B1F7A73" w14:textId="77777777" w:rsidR="00E040FD" w:rsidRDefault="00740D64">
            <w:pPr>
              <w:pStyle w:val="P68B1DB1-Normal8"/>
              <w:spacing w:after="0" w:line="240" w:lineRule="auto"/>
              <w:jc w:val="both"/>
              <w:rPr>
                <w:rFonts w:eastAsia="Times New Roman" w:cs="Calibri"/>
                <w:noProof/>
              </w:rPr>
            </w:pPr>
            <w:r>
              <w:rPr>
                <w:noProof/>
              </w:rPr>
              <w:t>Slutförande av alla insatser som fastställts för att stärka nätverket för psykisk hälsa, bland annat följande: i) Inrättande av fyra nya enheter för sjukhusvård på allmänna sjukhus. II) inrättande av 15 integrerade ansvarscentrum för psykiatrisk vård. III) renovering av 20 av de befintliga lokala tjänsterna för psykisk hälsa. IV) skapande av 500 svar på behoven hos institutionaliserade personer med kroniska psykiska sjukdomar. V) uppgradering av tre kriminaltekniska psykiatriska anläggningar och utrustning. vi) bygga tre kriminaltekniska omställningsenheter. och vii) utveckling av utbildningsåtgärder för att ”bygga upp patientvägar” i samband med demenssjukdomar. Det inbegriper användning av bidragsstöd på 58 507 675 EUR i energieffektivitetsrenovering för att i genomsnitt uppnå en renovering av minst medelstor omfattning enligt definitionen i kommissionens rekommendation om byggnadsrenovering (EU) 2019/786. Kraven för att förbättra byggnaders energiprestanda ska ingå i förfarandena för offentlig upphandling och ska säkerställas i kravspecifikationerna.</w:t>
            </w:r>
          </w:p>
        </w:tc>
      </w:tr>
      <w:tr w:rsidR="00E040FD" w14:paraId="7D601BE3" w14:textId="77777777">
        <w:trPr>
          <w:trHeight w:val="850"/>
        </w:trPr>
        <w:tc>
          <w:tcPr>
            <w:tcW w:w="1135" w:type="dxa"/>
            <w:shd w:val="clear" w:color="auto" w:fill="C4EFCE"/>
            <w:noWrap/>
            <w:vAlign w:val="center"/>
          </w:tcPr>
          <w:p w14:paraId="38167FC7" w14:textId="782B9BD8" w:rsidR="00E040FD" w:rsidRDefault="00740D64">
            <w:pPr>
              <w:pStyle w:val="P68B1DB1-Normal7"/>
              <w:spacing w:after="0" w:line="240" w:lineRule="auto"/>
              <w:jc w:val="center"/>
              <w:rPr>
                <w:rFonts w:eastAsia="Times New Roman" w:cs="Calibri"/>
                <w:noProof/>
              </w:rPr>
            </w:pPr>
            <w:r>
              <w:rPr>
                <w:noProof/>
              </w:rPr>
              <w:t>1.40</w:t>
            </w:r>
          </w:p>
        </w:tc>
        <w:tc>
          <w:tcPr>
            <w:tcW w:w="1276" w:type="dxa"/>
            <w:shd w:val="clear" w:color="auto" w:fill="C4EFCE"/>
            <w:noWrap/>
            <w:vAlign w:val="center"/>
          </w:tcPr>
          <w:p w14:paraId="5230C444" w14:textId="3C06B8C3" w:rsidR="00E040FD" w:rsidRDefault="00740D64">
            <w:pPr>
              <w:pStyle w:val="P68B1DB1-Normal8"/>
              <w:spacing w:after="0" w:line="240" w:lineRule="auto"/>
              <w:jc w:val="center"/>
              <w:rPr>
                <w:rFonts w:eastAsia="Times New Roman" w:cs="Calibri"/>
                <w:noProof/>
              </w:rPr>
            </w:pPr>
            <w:r>
              <w:rPr>
                <w:noProof/>
              </w:rPr>
              <w:t>RE-C01-i04</w:t>
            </w:r>
          </w:p>
        </w:tc>
        <w:tc>
          <w:tcPr>
            <w:tcW w:w="992" w:type="dxa"/>
            <w:shd w:val="clear" w:color="auto" w:fill="C4EFCE"/>
            <w:noWrap/>
            <w:vAlign w:val="center"/>
          </w:tcPr>
          <w:p w14:paraId="33E64FC7" w14:textId="68EADE1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tcPr>
          <w:p w14:paraId="258F4E6D" w14:textId="3B7B2525" w:rsidR="00E040FD" w:rsidRDefault="00740D64">
            <w:pPr>
              <w:pStyle w:val="P68B1DB1-Normal8"/>
              <w:spacing w:after="0" w:line="240" w:lineRule="auto"/>
              <w:jc w:val="center"/>
              <w:rPr>
                <w:rFonts w:eastAsia="Times New Roman" w:cs="Calibri"/>
                <w:noProof/>
              </w:rPr>
            </w:pPr>
            <w:r>
              <w:rPr>
                <w:noProof/>
              </w:rPr>
              <w:t xml:space="preserve">Undertecknande av förvaltningskontraktet för byggandet av sjukhuset i östra Lissabon </w:t>
            </w:r>
          </w:p>
        </w:tc>
        <w:tc>
          <w:tcPr>
            <w:tcW w:w="1418" w:type="dxa"/>
            <w:shd w:val="clear" w:color="auto" w:fill="C4EFCE"/>
            <w:noWrap/>
            <w:vAlign w:val="center"/>
          </w:tcPr>
          <w:p w14:paraId="05C069DE" w14:textId="7E4CD3CE" w:rsidR="00E040FD" w:rsidRDefault="00740D64">
            <w:pPr>
              <w:pStyle w:val="P68B1DB1-Normal8"/>
              <w:spacing w:after="0" w:line="240" w:lineRule="auto"/>
              <w:jc w:val="center"/>
              <w:rPr>
                <w:rFonts w:eastAsia="Times New Roman" w:cs="Calibri"/>
                <w:noProof/>
              </w:rPr>
            </w:pPr>
            <w:r>
              <w:rPr>
                <w:noProof/>
              </w:rPr>
              <w:t>Undertecknande av förvaltningskontraktet för byggandet av sjukhuset i östra Lissabon undertecknat av de offentliga myndigheterna och specialföretaget</w:t>
            </w:r>
          </w:p>
        </w:tc>
        <w:tc>
          <w:tcPr>
            <w:tcW w:w="1164" w:type="dxa"/>
            <w:shd w:val="clear" w:color="auto" w:fill="C4EFCE"/>
            <w:noWrap/>
            <w:vAlign w:val="center"/>
          </w:tcPr>
          <w:p w14:paraId="41AA1AF4" w14:textId="77777777" w:rsidR="00E040FD" w:rsidRDefault="00E040FD">
            <w:pPr>
              <w:spacing w:after="0" w:line="240" w:lineRule="auto"/>
              <w:jc w:val="center"/>
              <w:rPr>
                <w:rFonts w:ascii="Calibri" w:eastAsia="Times New Roman" w:hAnsi="Calibri" w:cs="Calibri"/>
                <w:noProof/>
                <w:sz w:val="16"/>
              </w:rPr>
            </w:pPr>
          </w:p>
        </w:tc>
        <w:tc>
          <w:tcPr>
            <w:tcW w:w="962" w:type="dxa"/>
            <w:shd w:val="clear" w:color="auto" w:fill="C4EFCE"/>
            <w:noWrap/>
            <w:vAlign w:val="center"/>
          </w:tcPr>
          <w:p w14:paraId="35D8CA0C" w14:textId="77777777" w:rsidR="00E040FD" w:rsidRDefault="00E040FD">
            <w:pPr>
              <w:spacing w:after="0" w:line="240" w:lineRule="auto"/>
              <w:jc w:val="center"/>
              <w:rPr>
                <w:rFonts w:ascii="Calibri" w:eastAsia="Times New Roman" w:hAnsi="Calibri" w:cs="Calibri"/>
                <w:noProof/>
                <w:sz w:val="16"/>
              </w:rPr>
            </w:pPr>
          </w:p>
        </w:tc>
        <w:tc>
          <w:tcPr>
            <w:tcW w:w="805" w:type="dxa"/>
            <w:shd w:val="clear" w:color="auto" w:fill="C4EFCE"/>
            <w:noWrap/>
            <w:vAlign w:val="center"/>
          </w:tcPr>
          <w:p w14:paraId="58CC0C2B" w14:textId="77777777" w:rsidR="00E040FD" w:rsidRDefault="00E040FD">
            <w:pPr>
              <w:spacing w:after="0" w:line="240" w:lineRule="auto"/>
              <w:jc w:val="center"/>
              <w:rPr>
                <w:rFonts w:ascii="Calibri" w:eastAsia="Times New Roman" w:hAnsi="Calibri" w:cs="Calibri"/>
                <w:noProof/>
                <w:sz w:val="16"/>
              </w:rPr>
            </w:pPr>
          </w:p>
        </w:tc>
        <w:tc>
          <w:tcPr>
            <w:tcW w:w="833" w:type="dxa"/>
            <w:gridSpan w:val="2"/>
            <w:shd w:val="clear" w:color="auto" w:fill="C4EFCE"/>
            <w:noWrap/>
            <w:vAlign w:val="center"/>
          </w:tcPr>
          <w:p w14:paraId="26FBB759" w14:textId="55711EEF" w:rsidR="00E040FD" w:rsidRDefault="00740D64">
            <w:pPr>
              <w:pStyle w:val="P68B1DB1-Normal8"/>
              <w:spacing w:after="0" w:line="240" w:lineRule="auto"/>
              <w:jc w:val="center"/>
              <w:rPr>
                <w:rFonts w:eastAsia="Times New Roman" w:cs="Calibri"/>
                <w:noProof/>
              </w:rPr>
            </w:pPr>
            <w:r>
              <w:rPr>
                <w:noProof/>
              </w:rPr>
              <w:t>KVARTAL 3</w:t>
            </w:r>
          </w:p>
        </w:tc>
        <w:tc>
          <w:tcPr>
            <w:tcW w:w="901" w:type="dxa"/>
            <w:shd w:val="clear" w:color="auto" w:fill="C4EFCE"/>
            <w:noWrap/>
            <w:vAlign w:val="center"/>
          </w:tcPr>
          <w:p w14:paraId="21B59020" w14:textId="6FBC92C2" w:rsidR="00E040FD" w:rsidRDefault="00740D6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tcPr>
          <w:p w14:paraId="18393971" w14:textId="67D0DE31" w:rsidR="00E040FD" w:rsidRDefault="00740D64">
            <w:pPr>
              <w:pStyle w:val="P68B1DB1-Normal8"/>
              <w:spacing w:after="0" w:line="240" w:lineRule="auto"/>
              <w:jc w:val="both"/>
              <w:rPr>
                <w:rFonts w:eastAsia="Times New Roman" w:cs="Calibri"/>
                <w:noProof/>
              </w:rPr>
            </w:pPr>
            <w:r>
              <w:rPr>
                <w:noProof/>
              </w:rPr>
              <w:t xml:space="preserve">Undertecknande av förvaltningskontraktet av ACSS och specialföretaget (SPV) för byggandet av sjukhuset i östra Lissabon. Kontraktet ska återspegla villkoren för tjänsternas omfattning (utformning, byggande, finansiering, underhåll av infrastruktur, leverans och underhåll av allmän utrustning för byggnader) och varaktighet. </w:t>
            </w:r>
          </w:p>
          <w:p w14:paraId="4D66D758" w14:textId="665D6456" w:rsidR="00E040FD" w:rsidRDefault="00740D64">
            <w:pPr>
              <w:pStyle w:val="P68B1DB1-Normal8"/>
              <w:spacing w:after="0" w:line="240" w:lineRule="auto"/>
              <w:jc w:val="both"/>
              <w:rPr>
                <w:rFonts w:eastAsia="Times New Roman" w:cs="Calibri"/>
                <w:noProof/>
              </w:rPr>
            </w:pPr>
            <w:r>
              <w:rPr>
                <w:noProof/>
              </w:rPr>
              <w:t>Avtalet ska också innehålla en klausul om att nya byggnader ska ha ett primärenergibehov som är minst 20 % lägre än kraven för nära-nollenergibyggnader.</w:t>
            </w:r>
          </w:p>
        </w:tc>
      </w:tr>
      <w:tr w:rsidR="00E040FD" w14:paraId="0DBBA2AD" w14:textId="77777777">
        <w:trPr>
          <w:trHeight w:val="850"/>
        </w:trPr>
        <w:tc>
          <w:tcPr>
            <w:tcW w:w="1135" w:type="dxa"/>
            <w:shd w:val="clear" w:color="auto" w:fill="C4EFCE"/>
            <w:noWrap/>
            <w:vAlign w:val="center"/>
            <w:hideMark/>
          </w:tcPr>
          <w:p w14:paraId="4DEA0843" w14:textId="77777777" w:rsidR="00E040FD" w:rsidRDefault="00740D64">
            <w:pPr>
              <w:pStyle w:val="P68B1DB1-Normal7"/>
              <w:spacing w:after="0" w:line="240" w:lineRule="auto"/>
              <w:jc w:val="center"/>
              <w:rPr>
                <w:rFonts w:eastAsia="Times New Roman" w:cs="Calibri"/>
                <w:noProof/>
              </w:rPr>
            </w:pPr>
            <w:r>
              <w:rPr>
                <w:noProof/>
              </w:rPr>
              <w:t>1.26</w:t>
            </w:r>
          </w:p>
        </w:tc>
        <w:tc>
          <w:tcPr>
            <w:tcW w:w="1276" w:type="dxa"/>
            <w:shd w:val="clear" w:color="auto" w:fill="C4EFCE"/>
            <w:noWrap/>
            <w:vAlign w:val="center"/>
            <w:hideMark/>
          </w:tcPr>
          <w:p w14:paraId="264BCD28" w14:textId="77777777" w:rsidR="00E040FD" w:rsidRDefault="00740D64">
            <w:pPr>
              <w:pStyle w:val="P68B1DB1-Normal8"/>
              <w:spacing w:after="0" w:line="240" w:lineRule="auto"/>
              <w:jc w:val="center"/>
              <w:rPr>
                <w:rFonts w:eastAsia="Times New Roman" w:cs="Calibri"/>
                <w:noProof/>
              </w:rPr>
            </w:pPr>
            <w:r>
              <w:rPr>
                <w:noProof/>
              </w:rPr>
              <w:t>RE-C01-i04</w:t>
            </w:r>
          </w:p>
        </w:tc>
        <w:tc>
          <w:tcPr>
            <w:tcW w:w="992" w:type="dxa"/>
            <w:shd w:val="clear" w:color="auto" w:fill="C4EFCE"/>
            <w:noWrap/>
            <w:vAlign w:val="center"/>
            <w:hideMark/>
          </w:tcPr>
          <w:p w14:paraId="450A30B4"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2FB3392" w14:textId="3F4D6888" w:rsidR="00E040FD" w:rsidRDefault="00740D64">
            <w:pPr>
              <w:pStyle w:val="P68B1DB1-Normal8"/>
              <w:spacing w:after="0" w:line="240" w:lineRule="auto"/>
              <w:jc w:val="center"/>
              <w:rPr>
                <w:rFonts w:eastAsia="Times New Roman" w:cs="Calibri"/>
                <w:noProof/>
              </w:rPr>
            </w:pPr>
            <w:r>
              <w:rPr>
                <w:noProof/>
              </w:rPr>
              <w:t>Uppförande av sjukhuset i östra Lissabon och inköp av utrustning till sjukhus i Lissabon och Vale do Tejo</w:t>
            </w:r>
          </w:p>
        </w:tc>
        <w:tc>
          <w:tcPr>
            <w:tcW w:w="1418" w:type="dxa"/>
            <w:shd w:val="clear" w:color="auto" w:fill="C4EFCE"/>
            <w:noWrap/>
            <w:vAlign w:val="center"/>
            <w:hideMark/>
          </w:tcPr>
          <w:p w14:paraId="69F63B22" w14:textId="17B00712" w:rsidR="00E040FD" w:rsidRDefault="00740D64">
            <w:pPr>
              <w:pStyle w:val="P68B1DB1-Normal8"/>
              <w:spacing w:after="0" w:line="240" w:lineRule="auto"/>
              <w:jc w:val="center"/>
              <w:rPr>
                <w:rFonts w:eastAsia="Times New Roman" w:cs="Calibri"/>
                <w:noProof/>
              </w:rPr>
            </w:pPr>
            <w:r>
              <w:rPr>
                <w:noProof/>
              </w:rPr>
              <w:t>Uppförande av sjukhuset i östra Lissabon och inköp av utrustning till sjukhus i Lissabon och Vale do Tejo</w:t>
            </w:r>
          </w:p>
        </w:tc>
        <w:tc>
          <w:tcPr>
            <w:tcW w:w="1164" w:type="dxa"/>
            <w:shd w:val="clear" w:color="auto" w:fill="C4EFCE"/>
            <w:noWrap/>
            <w:vAlign w:val="center"/>
            <w:hideMark/>
          </w:tcPr>
          <w:p w14:paraId="2647720D" w14:textId="77777777" w:rsidR="00E040FD" w:rsidRDefault="00740D64">
            <w:pPr>
              <w:pStyle w:val="P68B1DB1-Normal10"/>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1DEF2960" w14:textId="77777777" w:rsidR="00E040FD" w:rsidRDefault="00740D64">
            <w:pPr>
              <w:pStyle w:val="P68B1DB1-Normal10"/>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7B131ABE" w14:textId="77777777" w:rsidR="00E040FD" w:rsidRDefault="00740D64">
            <w:pPr>
              <w:pStyle w:val="P68B1DB1-Normal10"/>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6F5E72E" w14:textId="77777777" w:rsidR="00E040FD" w:rsidRDefault="00740D64">
            <w:pPr>
              <w:pStyle w:val="P68B1DB1-Normal8"/>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42B2A8CD" w14:textId="77777777" w:rsidR="00E040FD" w:rsidRDefault="00740D6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5B029930" w14:textId="792EA1C2" w:rsidR="00E040FD" w:rsidRDefault="00740D64">
            <w:pPr>
              <w:spacing w:after="0" w:line="240" w:lineRule="auto"/>
              <w:jc w:val="both"/>
              <w:rPr>
                <w:noProof/>
              </w:rPr>
            </w:pPr>
            <w:r>
              <w:rPr>
                <w:rFonts w:ascii="Calibri" w:hAnsi="Calibri"/>
                <w:noProof/>
                <w:sz w:val="16"/>
              </w:rPr>
              <w:t>Inköp av utrustning som ska installeras på sjukhusen i Lissabon och Vale do Tejo för sammanlagt 78 740 000 EUR i bidrag, nämligen klinisk/medicinsk och högteknologisk utrustning. allmän utrustning som omfattar möbler som är anpassade till de uppgifter som ska utföras i olika utrymmen och som är lätta att rengöra och ergonomiskt utformade. och datorutrustning.</w:t>
            </w:r>
            <w:r>
              <w:rPr>
                <w:rFonts w:ascii="Calibri" w:hAnsi="Calibri"/>
                <w:noProof/>
                <w:sz w:val="16"/>
                <w:shd w:val="clear" w:color="auto" w:fill="E6E6E6"/>
              </w:rPr>
              <w:t xml:space="preserve"> </w:t>
            </w:r>
            <w:r>
              <w:rPr>
                <w:rFonts w:ascii="Calibri" w:hAnsi="Calibri"/>
                <w:noProof/>
                <w:sz w:val="16"/>
              </w:rPr>
              <w:t>Uppförande av sjukhuset i östra Lissabon, nämligen i) Poente-tornet, ii) byggnaden i tomt B och iii) byggnaden i tomt C, med ett bidragsstöd på totalt 100 000 000 EUR. Dessa nya byggnader ska ha ett primärenergibehov som är minst 20 % lägre än kraven för nära-nollenergibyggnader</w:t>
            </w:r>
            <w:r>
              <w:rPr>
                <w:noProof/>
              </w:rPr>
              <w:t>.</w:t>
            </w:r>
          </w:p>
        </w:tc>
      </w:tr>
      <w:tr w:rsidR="00E040FD" w14:paraId="38A34B61" w14:textId="77777777">
        <w:trPr>
          <w:trHeight w:val="850"/>
        </w:trPr>
        <w:tc>
          <w:tcPr>
            <w:tcW w:w="1135" w:type="dxa"/>
            <w:shd w:val="clear" w:color="auto" w:fill="C4EFCE"/>
            <w:noWrap/>
            <w:vAlign w:val="center"/>
            <w:hideMark/>
          </w:tcPr>
          <w:p w14:paraId="725C9153" w14:textId="77777777" w:rsidR="00E040FD" w:rsidRDefault="00740D64">
            <w:pPr>
              <w:pStyle w:val="P68B1DB1-Normal7"/>
              <w:spacing w:after="0" w:line="240" w:lineRule="auto"/>
              <w:jc w:val="center"/>
              <w:rPr>
                <w:rFonts w:eastAsia="Times New Roman" w:cs="Calibri"/>
                <w:noProof/>
              </w:rPr>
            </w:pPr>
            <w:r>
              <w:rPr>
                <w:noProof/>
              </w:rPr>
              <w:t>1.27</w:t>
            </w:r>
          </w:p>
        </w:tc>
        <w:tc>
          <w:tcPr>
            <w:tcW w:w="1276" w:type="dxa"/>
            <w:shd w:val="clear" w:color="auto" w:fill="C4EFCE"/>
            <w:noWrap/>
            <w:vAlign w:val="center"/>
            <w:hideMark/>
          </w:tcPr>
          <w:p w14:paraId="64400C1F" w14:textId="77777777" w:rsidR="00E040FD" w:rsidRDefault="00740D6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081DDB8E"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C7C8556" w14:textId="77777777" w:rsidR="00E040FD" w:rsidRDefault="00740D64">
            <w:pPr>
              <w:pStyle w:val="P68B1DB1-Normal8"/>
              <w:spacing w:after="0" w:line="240" w:lineRule="auto"/>
              <w:jc w:val="center"/>
              <w:rPr>
                <w:rFonts w:eastAsia="Times New Roman" w:cs="Calibri"/>
                <w:noProof/>
              </w:rPr>
            </w:pPr>
            <w:r>
              <w:rPr>
                <w:noProof/>
              </w:rPr>
              <w:t>Ökning av antalet tillgängliga platser i systemet för sjukhusvistelse i Madeiras regionala hälso- och sjukvårdssystem</w:t>
            </w:r>
          </w:p>
        </w:tc>
        <w:tc>
          <w:tcPr>
            <w:tcW w:w="1418" w:type="dxa"/>
            <w:shd w:val="clear" w:color="auto" w:fill="C4EFCE"/>
            <w:noWrap/>
            <w:vAlign w:val="center"/>
            <w:hideMark/>
          </w:tcPr>
          <w:p w14:paraId="501441A2"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426B467"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4BE39102"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743EDF67" w14:textId="77777777" w:rsidR="00E040FD" w:rsidRDefault="00740D64">
            <w:pPr>
              <w:pStyle w:val="P68B1DB1-Normal8"/>
              <w:spacing w:after="0" w:line="240" w:lineRule="auto"/>
              <w:jc w:val="center"/>
              <w:rPr>
                <w:rFonts w:eastAsia="Times New Roman" w:cs="Calibri"/>
                <w:noProof/>
              </w:rPr>
            </w:pPr>
            <w:r>
              <w:rPr>
                <w:noProof/>
              </w:rPr>
              <w:t>1 500</w:t>
            </w:r>
          </w:p>
        </w:tc>
        <w:tc>
          <w:tcPr>
            <w:tcW w:w="833" w:type="dxa"/>
            <w:gridSpan w:val="2"/>
            <w:shd w:val="clear" w:color="auto" w:fill="C4EFCE"/>
            <w:noWrap/>
            <w:vAlign w:val="center"/>
            <w:hideMark/>
          </w:tcPr>
          <w:p w14:paraId="2B0D5EEA" w14:textId="77777777" w:rsidR="00E040FD" w:rsidRDefault="00740D64">
            <w:pPr>
              <w:pStyle w:val="P68B1DB1-Normal8"/>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3AFF1172" w14:textId="77777777" w:rsidR="00E040FD" w:rsidRDefault="00740D6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64D2578" w14:textId="0D007B14" w:rsidR="00E040FD" w:rsidRDefault="00740D64">
            <w:pPr>
              <w:pStyle w:val="P68B1DB1-Normal8"/>
              <w:spacing w:after="0" w:line="240" w:lineRule="auto"/>
              <w:jc w:val="both"/>
              <w:rPr>
                <w:rFonts w:eastAsia="Times New Roman" w:cs="Calibri"/>
                <w:noProof/>
              </w:rPr>
            </w:pPr>
            <w:r>
              <w:rPr>
                <w:noProof/>
              </w:rPr>
              <w:t>Stärka insatskapaciteten inom Madeiras regionala hälso- och sjukvårdssystem genom att öka antalet tillgängliga platser i systemet för sjukhusvistelse, så att det blir möjligt att i hemmet tillhandahålla hälso- och sjukvårdstjänster med differentiering, komplexitet och intensitet på sjukhusen, i nära samverkan med primärvården och andra tjänster.</w:t>
            </w:r>
          </w:p>
        </w:tc>
      </w:tr>
      <w:tr w:rsidR="00E040FD" w14:paraId="68BBE707" w14:textId="77777777">
        <w:trPr>
          <w:trHeight w:val="430"/>
        </w:trPr>
        <w:tc>
          <w:tcPr>
            <w:tcW w:w="1135" w:type="dxa"/>
            <w:shd w:val="clear" w:color="auto" w:fill="C4EFCE"/>
            <w:noWrap/>
            <w:vAlign w:val="center"/>
            <w:hideMark/>
          </w:tcPr>
          <w:p w14:paraId="6B8F9975" w14:textId="77777777" w:rsidR="00E040FD" w:rsidRDefault="00740D64">
            <w:pPr>
              <w:pStyle w:val="P68B1DB1-Normal7"/>
              <w:spacing w:after="0" w:line="240" w:lineRule="auto"/>
              <w:jc w:val="center"/>
              <w:rPr>
                <w:rFonts w:eastAsia="Times New Roman" w:cs="Calibri"/>
                <w:noProof/>
              </w:rPr>
            </w:pPr>
            <w:r>
              <w:rPr>
                <w:noProof/>
              </w:rPr>
              <w:t>1.28</w:t>
            </w:r>
          </w:p>
        </w:tc>
        <w:tc>
          <w:tcPr>
            <w:tcW w:w="1276" w:type="dxa"/>
            <w:shd w:val="clear" w:color="auto" w:fill="C4EFCE"/>
            <w:noWrap/>
            <w:vAlign w:val="center"/>
            <w:hideMark/>
          </w:tcPr>
          <w:p w14:paraId="7EFF19CE" w14:textId="77777777" w:rsidR="00E040FD" w:rsidRDefault="00740D6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1B8E013A"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1D1DE9F" w14:textId="77777777" w:rsidR="00E040FD" w:rsidRDefault="00740D64">
            <w:pPr>
              <w:pStyle w:val="P68B1DB1-Normal8"/>
              <w:spacing w:after="0" w:line="240" w:lineRule="auto"/>
              <w:jc w:val="center"/>
              <w:rPr>
                <w:rFonts w:eastAsia="Times New Roman" w:cs="Calibri"/>
                <w:noProof/>
              </w:rPr>
            </w:pPr>
            <w:r>
              <w:rPr>
                <w:noProof/>
              </w:rPr>
              <w:t>Inrättande av lokala grupper för psykisk hälsa i Madeiras regionala hälso- och sjukvård</w:t>
            </w:r>
          </w:p>
        </w:tc>
        <w:tc>
          <w:tcPr>
            <w:tcW w:w="1418" w:type="dxa"/>
            <w:shd w:val="clear" w:color="auto" w:fill="C4EFCE"/>
            <w:noWrap/>
            <w:vAlign w:val="center"/>
            <w:hideMark/>
          </w:tcPr>
          <w:p w14:paraId="5B56375A"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5965D60"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4488F202"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54B9112A" w14:textId="77777777" w:rsidR="00E040FD" w:rsidRDefault="00740D64">
            <w:pPr>
              <w:pStyle w:val="P68B1DB1-Normal8"/>
              <w:spacing w:after="0" w:line="240" w:lineRule="auto"/>
              <w:jc w:val="center"/>
              <w:rPr>
                <w:rFonts w:eastAsia="Times New Roman" w:cs="Calibri"/>
                <w:noProof/>
              </w:rPr>
            </w:pPr>
            <w:r>
              <w:rPr>
                <w:noProof/>
              </w:rPr>
              <w:t>11</w:t>
            </w:r>
          </w:p>
        </w:tc>
        <w:tc>
          <w:tcPr>
            <w:tcW w:w="833" w:type="dxa"/>
            <w:gridSpan w:val="2"/>
            <w:shd w:val="clear" w:color="auto" w:fill="C4EFCE"/>
            <w:noWrap/>
            <w:vAlign w:val="center"/>
            <w:hideMark/>
          </w:tcPr>
          <w:p w14:paraId="5AD45B50" w14:textId="77777777" w:rsidR="00E040FD" w:rsidRDefault="00740D64">
            <w:pPr>
              <w:pStyle w:val="P68B1DB1-Normal8"/>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1FBFEAD9" w14:textId="77777777" w:rsidR="00E040FD" w:rsidRDefault="00740D6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20A1580E" w14:textId="77777777" w:rsidR="00E040FD" w:rsidRDefault="00740D64">
            <w:pPr>
              <w:pStyle w:val="P68B1DB1-Normal8"/>
              <w:spacing w:after="0" w:line="240" w:lineRule="auto"/>
              <w:jc w:val="both"/>
              <w:rPr>
                <w:rFonts w:eastAsia="Times New Roman" w:cs="Calibri"/>
                <w:noProof/>
              </w:rPr>
            </w:pPr>
            <w:r>
              <w:rPr>
                <w:noProof/>
              </w:rPr>
              <w:t>Förstärkning av insatskapaciteten inom Madeiras regionala hälso- och sjukvård på området psykisk hälsa och demenssjukdomar i samband med åldrande genom inrättande av lokala grupper för psykisk hälsa.</w:t>
            </w:r>
          </w:p>
        </w:tc>
      </w:tr>
      <w:tr w:rsidR="00E040FD" w14:paraId="601A2D9F" w14:textId="77777777">
        <w:trPr>
          <w:trHeight w:val="640"/>
        </w:trPr>
        <w:tc>
          <w:tcPr>
            <w:tcW w:w="1135" w:type="dxa"/>
            <w:shd w:val="clear" w:color="auto" w:fill="C4EFCE"/>
            <w:noWrap/>
            <w:vAlign w:val="center"/>
            <w:hideMark/>
          </w:tcPr>
          <w:p w14:paraId="0B9ADE7F" w14:textId="77777777" w:rsidR="00E040FD" w:rsidRDefault="00740D64">
            <w:pPr>
              <w:pStyle w:val="P68B1DB1-Normal7"/>
              <w:spacing w:after="0" w:line="240" w:lineRule="auto"/>
              <w:jc w:val="center"/>
              <w:rPr>
                <w:rFonts w:eastAsia="Times New Roman" w:cs="Calibri"/>
                <w:noProof/>
              </w:rPr>
            </w:pPr>
            <w:r>
              <w:rPr>
                <w:noProof/>
              </w:rPr>
              <w:t>1.29</w:t>
            </w:r>
          </w:p>
        </w:tc>
        <w:tc>
          <w:tcPr>
            <w:tcW w:w="1276" w:type="dxa"/>
            <w:shd w:val="clear" w:color="auto" w:fill="C4EFCE"/>
            <w:noWrap/>
            <w:vAlign w:val="center"/>
            <w:hideMark/>
          </w:tcPr>
          <w:p w14:paraId="4F5677A4" w14:textId="77777777" w:rsidR="00E040FD" w:rsidRDefault="00740D6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4338AFAF"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0B8B5FF" w14:textId="77777777" w:rsidR="00E040FD" w:rsidRDefault="00740D64">
            <w:pPr>
              <w:pStyle w:val="P68B1DB1-Normal8"/>
              <w:spacing w:after="0" w:line="240" w:lineRule="auto"/>
              <w:jc w:val="center"/>
              <w:rPr>
                <w:rFonts w:eastAsia="Times New Roman" w:cs="Calibri"/>
                <w:noProof/>
              </w:rPr>
            </w:pPr>
            <w:r>
              <w:rPr>
                <w:noProof/>
              </w:rPr>
              <w:t>Införande av klassificeringssystemet, den funktionella profilen och systemet för remittering av användare för Madeiras regionala modell för integrerade kontinuerliga vårdtjänster</w:t>
            </w:r>
          </w:p>
        </w:tc>
        <w:tc>
          <w:tcPr>
            <w:tcW w:w="1418" w:type="dxa"/>
            <w:shd w:val="clear" w:color="auto" w:fill="C4EFCE"/>
            <w:noWrap/>
            <w:vAlign w:val="center"/>
            <w:hideMark/>
          </w:tcPr>
          <w:p w14:paraId="792AE747" w14:textId="77777777" w:rsidR="00E040FD" w:rsidRDefault="00740D64">
            <w:pPr>
              <w:pStyle w:val="P68B1DB1-Normal8"/>
              <w:spacing w:after="0" w:line="240" w:lineRule="auto"/>
              <w:jc w:val="center"/>
              <w:rPr>
                <w:rFonts w:eastAsia="Times New Roman" w:cs="Calibri"/>
                <w:noProof/>
              </w:rPr>
            </w:pPr>
            <w:r>
              <w:rPr>
                <w:noProof/>
              </w:rPr>
              <w:t>Rapport om införandet av klassificeringssystemet, den funktionella profilen och systemet för vidareslussning av användare</w:t>
            </w:r>
          </w:p>
        </w:tc>
        <w:tc>
          <w:tcPr>
            <w:tcW w:w="1164" w:type="dxa"/>
            <w:shd w:val="clear" w:color="auto" w:fill="C4EFCE"/>
            <w:noWrap/>
            <w:vAlign w:val="center"/>
            <w:hideMark/>
          </w:tcPr>
          <w:p w14:paraId="7DF78181"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1B3035AA"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38781B8"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08823D9"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21D3F18F" w14:textId="77777777" w:rsidR="00E040FD" w:rsidRDefault="00740D64">
            <w:pPr>
              <w:pStyle w:val="P68B1DB1-Normal8"/>
              <w:spacing w:after="0" w:line="240" w:lineRule="auto"/>
              <w:jc w:val="center"/>
              <w:rPr>
                <w:rFonts w:eastAsia="Times New Roman" w:cs="Calibri"/>
                <w:noProof/>
              </w:rPr>
            </w:pPr>
            <w:r>
              <w:rPr>
                <w:noProof/>
              </w:rPr>
              <w:t>2021</w:t>
            </w:r>
          </w:p>
        </w:tc>
        <w:tc>
          <w:tcPr>
            <w:tcW w:w="3981" w:type="dxa"/>
            <w:shd w:val="clear" w:color="auto" w:fill="C4EFCE"/>
            <w:noWrap/>
            <w:vAlign w:val="center"/>
            <w:hideMark/>
          </w:tcPr>
          <w:p w14:paraId="5AE6B77D" w14:textId="77777777" w:rsidR="00E040FD" w:rsidRDefault="00740D64">
            <w:pPr>
              <w:pStyle w:val="P68B1DB1-Normal8"/>
              <w:spacing w:after="0" w:line="240" w:lineRule="auto"/>
              <w:jc w:val="both"/>
              <w:rPr>
                <w:rFonts w:eastAsia="Times New Roman" w:cs="Calibri"/>
                <w:noProof/>
              </w:rPr>
            </w:pPr>
            <w:r>
              <w:rPr>
                <w:noProof/>
              </w:rPr>
              <w:t>Införande av klassificeringssystemet, den funktionella profilen och systemet för vidareslussning av användare, i syfte att stärka Madeiras regionala modell för integrerade kontinuerliga omsorgstjänster samt dess samordning och tekniska förvaltning.</w:t>
            </w:r>
          </w:p>
        </w:tc>
      </w:tr>
      <w:tr w:rsidR="00E040FD" w14:paraId="1098BF06" w14:textId="77777777">
        <w:trPr>
          <w:trHeight w:val="1060"/>
        </w:trPr>
        <w:tc>
          <w:tcPr>
            <w:tcW w:w="1135" w:type="dxa"/>
            <w:shd w:val="clear" w:color="auto" w:fill="C4EFCE"/>
            <w:noWrap/>
            <w:vAlign w:val="center"/>
            <w:hideMark/>
          </w:tcPr>
          <w:p w14:paraId="67550639" w14:textId="77777777" w:rsidR="00E040FD" w:rsidRDefault="00740D64">
            <w:pPr>
              <w:pStyle w:val="P68B1DB1-Normal7"/>
              <w:spacing w:after="0" w:line="240" w:lineRule="auto"/>
              <w:jc w:val="center"/>
              <w:rPr>
                <w:rFonts w:eastAsia="Times New Roman" w:cs="Calibri"/>
                <w:noProof/>
              </w:rPr>
            </w:pPr>
            <w:r>
              <w:rPr>
                <w:noProof/>
              </w:rPr>
              <w:t>1.30</w:t>
            </w:r>
          </w:p>
        </w:tc>
        <w:tc>
          <w:tcPr>
            <w:tcW w:w="1276" w:type="dxa"/>
            <w:shd w:val="clear" w:color="auto" w:fill="C4EFCE"/>
            <w:noWrap/>
            <w:vAlign w:val="center"/>
            <w:hideMark/>
          </w:tcPr>
          <w:p w14:paraId="43DCB444" w14:textId="77777777" w:rsidR="00E040FD" w:rsidRDefault="00740D6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04FC5C57"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606F1B98" w14:textId="77777777" w:rsidR="00E040FD" w:rsidRDefault="00740D64">
            <w:pPr>
              <w:pStyle w:val="P68B1DB1-Normal8"/>
              <w:spacing w:after="0" w:line="240" w:lineRule="auto"/>
              <w:jc w:val="center"/>
              <w:rPr>
                <w:rFonts w:eastAsia="Times New Roman" w:cs="Calibri"/>
                <w:noProof/>
              </w:rPr>
            </w:pPr>
            <w:r>
              <w:rPr>
                <w:noProof/>
              </w:rPr>
              <w:t>Ökning av antalet platser för integrerad fortsatt vård i Madeiras regionala hälso- och sjukvård</w:t>
            </w:r>
          </w:p>
        </w:tc>
        <w:tc>
          <w:tcPr>
            <w:tcW w:w="1418" w:type="dxa"/>
            <w:shd w:val="clear" w:color="auto" w:fill="C4EFCE"/>
            <w:noWrap/>
            <w:vAlign w:val="center"/>
            <w:hideMark/>
          </w:tcPr>
          <w:p w14:paraId="21827395" w14:textId="77777777" w:rsidR="00E040FD" w:rsidRDefault="00740D64">
            <w:pPr>
              <w:pStyle w:val="P68B1DB1-Normal8"/>
              <w:spacing w:after="0" w:line="240" w:lineRule="auto"/>
              <w:jc w:val="center"/>
              <w:rPr>
                <w:rFonts w:eastAsia="Times New Roman" w:cs="Calibri"/>
                <w:noProof/>
              </w:rPr>
            </w:pPr>
            <w:r>
              <w:rPr>
                <w:noProof/>
              </w:rPr>
              <w:t xml:space="preserve"> </w:t>
            </w:r>
          </w:p>
        </w:tc>
        <w:tc>
          <w:tcPr>
            <w:tcW w:w="1164" w:type="dxa"/>
            <w:shd w:val="clear" w:color="auto" w:fill="C4EFCE"/>
            <w:noWrap/>
            <w:vAlign w:val="center"/>
            <w:hideMark/>
          </w:tcPr>
          <w:p w14:paraId="2498DB0B"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17180C84"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10A4DD6D" w14:textId="77777777" w:rsidR="00E040FD" w:rsidRDefault="00740D64">
            <w:pPr>
              <w:pStyle w:val="P68B1DB1-Normal8"/>
              <w:spacing w:after="0" w:line="240" w:lineRule="auto"/>
              <w:jc w:val="center"/>
              <w:rPr>
                <w:rFonts w:eastAsia="Times New Roman" w:cs="Calibri"/>
                <w:noProof/>
              </w:rPr>
            </w:pPr>
            <w:r>
              <w:rPr>
                <w:noProof/>
              </w:rPr>
              <w:t>1 080</w:t>
            </w:r>
          </w:p>
        </w:tc>
        <w:tc>
          <w:tcPr>
            <w:tcW w:w="833" w:type="dxa"/>
            <w:gridSpan w:val="2"/>
            <w:shd w:val="clear" w:color="auto" w:fill="C4EFCE"/>
            <w:noWrap/>
            <w:vAlign w:val="center"/>
            <w:hideMark/>
          </w:tcPr>
          <w:p w14:paraId="1FCF5E4A"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7160FF7E" w14:textId="77777777" w:rsidR="00E040FD" w:rsidRDefault="00740D6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13670F9" w14:textId="2575518F" w:rsidR="00E040FD" w:rsidRDefault="00740D64">
            <w:pPr>
              <w:pStyle w:val="P68B1DB1-Normal8"/>
              <w:spacing w:after="0" w:line="240" w:lineRule="auto"/>
              <w:jc w:val="both"/>
              <w:rPr>
                <w:rFonts w:eastAsia="Times New Roman" w:cs="Calibri"/>
                <w:noProof/>
              </w:rPr>
            </w:pPr>
            <w:r>
              <w:rPr>
                <w:noProof/>
              </w:rPr>
              <w:t>Antal nya och renoverade platser som skapats inom integrerade kontinuerliga vårdtjänster i Madeiras regionala hälso- och sjukvård, mätt i nya och renoverade sängar, i allmänhet (inbegripet konvalescens, medel- och rehabiliteringsenheter samt långtids- och underhållsenheter), psykisk hälsa och pediatriska tjänster. Det inbegriper användning av bidragsstöd i) för att bygga ny hälso- och sjukvårdsinfrastruktur, som ska ha ett primärenergibehov som är minst 20 % lägre än kraven för nära-nollenergibyggnader, och ii) genomföra energieffektivitetsrenoveringar.</w:t>
            </w:r>
          </w:p>
        </w:tc>
      </w:tr>
      <w:tr w:rsidR="00E040FD" w14:paraId="228353BC" w14:textId="77777777">
        <w:trPr>
          <w:trHeight w:val="300"/>
        </w:trPr>
        <w:tc>
          <w:tcPr>
            <w:tcW w:w="1135" w:type="dxa"/>
            <w:shd w:val="clear" w:color="auto" w:fill="C4EFCE"/>
            <w:noWrap/>
            <w:vAlign w:val="center"/>
            <w:hideMark/>
          </w:tcPr>
          <w:p w14:paraId="4EE5165B" w14:textId="77777777" w:rsidR="00E040FD" w:rsidRDefault="00740D64">
            <w:pPr>
              <w:pStyle w:val="P68B1DB1-Normal7"/>
              <w:spacing w:after="0" w:line="240" w:lineRule="auto"/>
              <w:jc w:val="center"/>
              <w:rPr>
                <w:rFonts w:eastAsia="Times New Roman" w:cs="Calibri"/>
                <w:noProof/>
              </w:rPr>
            </w:pPr>
            <w:r>
              <w:rPr>
                <w:noProof/>
              </w:rPr>
              <w:t>1.31</w:t>
            </w:r>
          </w:p>
        </w:tc>
        <w:tc>
          <w:tcPr>
            <w:tcW w:w="1276" w:type="dxa"/>
            <w:shd w:val="clear" w:color="auto" w:fill="C4EFCE"/>
            <w:noWrap/>
            <w:vAlign w:val="center"/>
            <w:hideMark/>
          </w:tcPr>
          <w:p w14:paraId="45977E58" w14:textId="77777777" w:rsidR="00E040FD" w:rsidRDefault="00740D6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5FD6D547"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4FC0E06E" w14:textId="77777777" w:rsidR="00E040FD" w:rsidRDefault="00740D64">
            <w:pPr>
              <w:pStyle w:val="P68B1DB1-Normal8"/>
              <w:spacing w:after="0" w:line="240" w:lineRule="auto"/>
              <w:jc w:val="center"/>
              <w:rPr>
                <w:rFonts w:eastAsia="Times New Roman" w:cs="Calibri"/>
                <w:noProof/>
              </w:rPr>
            </w:pPr>
            <w:r>
              <w:rPr>
                <w:noProof/>
              </w:rPr>
              <w:t>Renovering av primärvården i Madeiras regionala hälso- och sjukvård</w:t>
            </w:r>
          </w:p>
        </w:tc>
        <w:tc>
          <w:tcPr>
            <w:tcW w:w="1418" w:type="dxa"/>
            <w:shd w:val="clear" w:color="auto" w:fill="C4EFCE"/>
            <w:noWrap/>
            <w:vAlign w:val="center"/>
            <w:hideMark/>
          </w:tcPr>
          <w:p w14:paraId="356EBB6C" w14:textId="77777777" w:rsidR="00E040FD" w:rsidRDefault="00740D64">
            <w:pPr>
              <w:pStyle w:val="P68B1DB1-Normal8"/>
              <w:spacing w:after="0" w:line="240" w:lineRule="auto"/>
              <w:jc w:val="center"/>
              <w:rPr>
                <w:rFonts w:eastAsia="Times New Roman" w:cs="Calibri"/>
                <w:noProof/>
              </w:rPr>
            </w:pPr>
            <w:r>
              <w:rPr>
                <w:noProof/>
              </w:rPr>
              <w:t xml:space="preserve"> </w:t>
            </w:r>
          </w:p>
        </w:tc>
        <w:tc>
          <w:tcPr>
            <w:tcW w:w="1164" w:type="dxa"/>
            <w:shd w:val="clear" w:color="auto" w:fill="C4EFCE"/>
            <w:noWrap/>
            <w:vAlign w:val="center"/>
            <w:hideMark/>
          </w:tcPr>
          <w:p w14:paraId="7418E171"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798DA9A1"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4AB16FD0" w14:textId="77777777" w:rsidR="00E040FD" w:rsidRDefault="00740D64">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141B4ED0" w14:textId="77777777" w:rsidR="00E040FD" w:rsidRDefault="00740D64">
            <w:pPr>
              <w:pStyle w:val="P68B1DB1-Normal8"/>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76AB49A4" w14:textId="77777777" w:rsidR="00E040FD" w:rsidRDefault="00740D6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24350EBE" w14:textId="77777777" w:rsidR="00E040FD" w:rsidRDefault="00740D64">
            <w:pPr>
              <w:pStyle w:val="P68B1DB1-Normal8"/>
              <w:spacing w:after="0" w:line="240" w:lineRule="auto"/>
              <w:jc w:val="both"/>
              <w:rPr>
                <w:rFonts w:eastAsia="Times New Roman" w:cs="Calibri"/>
                <w:noProof/>
              </w:rPr>
            </w:pPr>
            <w:r>
              <w:rPr>
                <w:noProof/>
              </w:rPr>
              <w:t>Antal renoverade primärvårdsinrättningar i Madeiras regionala hälso- och sjukvård.</w:t>
            </w:r>
          </w:p>
        </w:tc>
      </w:tr>
      <w:tr w:rsidR="00E040FD" w14:paraId="5DB36F90" w14:textId="77777777">
        <w:trPr>
          <w:trHeight w:val="640"/>
        </w:trPr>
        <w:tc>
          <w:tcPr>
            <w:tcW w:w="1135" w:type="dxa"/>
            <w:shd w:val="clear" w:color="auto" w:fill="C4EFCE"/>
            <w:noWrap/>
            <w:vAlign w:val="center"/>
            <w:hideMark/>
          </w:tcPr>
          <w:p w14:paraId="23301C6E" w14:textId="77777777" w:rsidR="00E040FD" w:rsidRDefault="00740D64">
            <w:pPr>
              <w:pStyle w:val="P68B1DB1-Normal7"/>
              <w:spacing w:after="0" w:line="240" w:lineRule="auto"/>
              <w:jc w:val="center"/>
              <w:rPr>
                <w:rFonts w:eastAsia="Times New Roman" w:cs="Calibri"/>
                <w:noProof/>
              </w:rPr>
            </w:pPr>
            <w:r>
              <w:rPr>
                <w:noProof/>
              </w:rPr>
              <w:t>1.32</w:t>
            </w:r>
          </w:p>
        </w:tc>
        <w:tc>
          <w:tcPr>
            <w:tcW w:w="1276" w:type="dxa"/>
            <w:shd w:val="clear" w:color="auto" w:fill="C4EFCE"/>
            <w:noWrap/>
            <w:vAlign w:val="center"/>
            <w:hideMark/>
          </w:tcPr>
          <w:p w14:paraId="07BF663B" w14:textId="77777777" w:rsidR="00E040FD" w:rsidRDefault="00740D64">
            <w:pPr>
              <w:pStyle w:val="P68B1DB1-Normal8"/>
              <w:spacing w:after="0" w:line="240" w:lineRule="auto"/>
              <w:jc w:val="center"/>
              <w:rPr>
                <w:rFonts w:eastAsia="Times New Roman" w:cs="Calibri"/>
                <w:noProof/>
              </w:rPr>
            </w:pPr>
            <w:r>
              <w:rPr>
                <w:noProof/>
              </w:rPr>
              <w:t>RE-C01-i06</w:t>
            </w:r>
          </w:p>
        </w:tc>
        <w:tc>
          <w:tcPr>
            <w:tcW w:w="992" w:type="dxa"/>
            <w:shd w:val="clear" w:color="auto" w:fill="C4EFCE"/>
            <w:noWrap/>
            <w:vAlign w:val="center"/>
            <w:hideMark/>
          </w:tcPr>
          <w:p w14:paraId="54C196BC"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1C09812" w14:textId="77777777" w:rsidR="00E040FD" w:rsidRDefault="00740D64">
            <w:pPr>
              <w:pStyle w:val="P68B1DB1-Normal8"/>
              <w:spacing w:after="0" w:line="240" w:lineRule="auto"/>
              <w:jc w:val="center"/>
              <w:rPr>
                <w:rFonts w:eastAsia="Times New Roman" w:cs="Calibri"/>
                <w:noProof/>
              </w:rPr>
            </w:pPr>
            <w:r>
              <w:rPr>
                <w:noProof/>
              </w:rPr>
              <w:t>Uppgradering av lokala informationstekniska nätverk</w:t>
            </w:r>
          </w:p>
        </w:tc>
        <w:tc>
          <w:tcPr>
            <w:tcW w:w="1418" w:type="dxa"/>
            <w:shd w:val="clear" w:color="auto" w:fill="C4EFCE"/>
            <w:noWrap/>
            <w:vAlign w:val="center"/>
            <w:hideMark/>
          </w:tcPr>
          <w:p w14:paraId="7496A1FC"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1D12A45" w14:textId="77777777" w:rsidR="00E040FD" w:rsidRDefault="00740D64">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604F7E4B"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4ACEC4B" w14:textId="77777777" w:rsidR="00E040FD" w:rsidRDefault="00740D64">
            <w:pPr>
              <w:pStyle w:val="P68B1DB1-Normal8"/>
              <w:spacing w:after="0" w:line="240" w:lineRule="auto"/>
              <w:jc w:val="center"/>
              <w:rPr>
                <w:rFonts w:eastAsia="Times New Roman" w:cs="Calibri"/>
                <w:noProof/>
              </w:rPr>
            </w:pPr>
            <w:r>
              <w:rPr>
                <w:noProof/>
              </w:rPr>
              <w:t>90</w:t>
            </w:r>
          </w:p>
        </w:tc>
        <w:tc>
          <w:tcPr>
            <w:tcW w:w="833" w:type="dxa"/>
            <w:gridSpan w:val="2"/>
            <w:shd w:val="clear" w:color="auto" w:fill="C4EFCE"/>
            <w:noWrap/>
            <w:vAlign w:val="center"/>
            <w:hideMark/>
          </w:tcPr>
          <w:p w14:paraId="58F1EC69"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540758F3" w14:textId="77777777" w:rsidR="00E040FD" w:rsidRDefault="00740D6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8EC5631" w14:textId="77777777" w:rsidR="00E040FD" w:rsidRDefault="00740D64">
            <w:pPr>
              <w:pStyle w:val="P68B1DB1-Normal8"/>
              <w:spacing w:after="0" w:line="240" w:lineRule="auto"/>
              <w:jc w:val="both"/>
              <w:rPr>
                <w:rFonts w:eastAsia="Times New Roman" w:cs="Calibri"/>
                <w:noProof/>
              </w:rPr>
            </w:pPr>
            <w:r>
              <w:rPr>
                <w:noProof/>
              </w:rPr>
              <w:t>Procentandel uppgraderade lokala informationstekniknätverk inom den nationella hälso- och sjukvården som organiseras och genomförs av hälsoministeriets enhet för delade tjänster, som därmed ska kunna fungera enligt den nya modellen för enhetlig kommunikation (Voice over Internet Protocol).</w:t>
            </w:r>
          </w:p>
        </w:tc>
      </w:tr>
      <w:tr w:rsidR="00E040FD" w14:paraId="1D239173" w14:textId="77777777">
        <w:trPr>
          <w:trHeight w:val="640"/>
        </w:trPr>
        <w:tc>
          <w:tcPr>
            <w:tcW w:w="1135" w:type="dxa"/>
            <w:shd w:val="clear" w:color="auto" w:fill="C4EFCE"/>
            <w:noWrap/>
            <w:vAlign w:val="center"/>
            <w:hideMark/>
          </w:tcPr>
          <w:p w14:paraId="47CBD861" w14:textId="77777777" w:rsidR="00E040FD" w:rsidRDefault="00740D64">
            <w:pPr>
              <w:pStyle w:val="P68B1DB1-Normal7"/>
              <w:spacing w:after="0" w:line="240" w:lineRule="auto"/>
              <w:jc w:val="center"/>
              <w:rPr>
                <w:rFonts w:eastAsia="Times New Roman" w:cs="Calibri"/>
                <w:noProof/>
              </w:rPr>
            </w:pPr>
            <w:r>
              <w:rPr>
                <w:noProof/>
              </w:rPr>
              <w:t>1.33</w:t>
            </w:r>
          </w:p>
        </w:tc>
        <w:tc>
          <w:tcPr>
            <w:tcW w:w="1276" w:type="dxa"/>
            <w:shd w:val="clear" w:color="auto" w:fill="C4EFCE"/>
            <w:noWrap/>
            <w:vAlign w:val="center"/>
            <w:hideMark/>
          </w:tcPr>
          <w:p w14:paraId="7238DEBF" w14:textId="77777777" w:rsidR="00E040FD" w:rsidRDefault="00740D64">
            <w:pPr>
              <w:pStyle w:val="P68B1DB1-Normal8"/>
              <w:spacing w:after="0" w:line="240" w:lineRule="auto"/>
              <w:jc w:val="center"/>
              <w:rPr>
                <w:rFonts w:eastAsia="Times New Roman" w:cs="Calibri"/>
                <w:noProof/>
              </w:rPr>
            </w:pPr>
            <w:r>
              <w:rPr>
                <w:noProof/>
              </w:rPr>
              <w:t>RE-C01-i06</w:t>
            </w:r>
          </w:p>
        </w:tc>
        <w:tc>
          <w:tcPr>
            <w:tcW w:w="992" w:type="dxa"/>
            <w:shd w:val="clear" w:color="auto" w:fill="C4EFCE"/>
            <w:noWrap/>
            <w:vAlign w:val="center"/>
            <w:hideMark/>
          </w:tcPr>
          <w:p w14:paraId="0AC6399B"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19C984B" w14:textId="77777777" w:rsidR="00E040FD" w:rsidRDefault="00740D64">
            <w:pPr>
              <w:pStyle w:val="P68B1DB1-Normal8"/>
              <w:spacing w:after="0" w:line="240" w:lineRule="auto"/>
              <w:jc w:val="center"/>
              <w:rPr>
                <w:rFonts w:eastAsia="Times New Roman" w:cs="Calibri"/>
                <w:noProof/>
              </w:rPr>
            </w:pPr>
            <w:r>
              <w:rPr>
                <w:noProof/>
              </w:rPr>
              <w:t>Införande av funktioner för telehälsa och fjärrövervakning</w:t>
            </w:r>
          </w:p>
        </w:tc>
        <w:tc>
          <w:tcPr>
            <w:tcW w:w="1418" w:type="dxa"/>
            <w:shd w:val="clear" w:color="auto" w:fill="C4EFCE"/>
            <w:noWrap/>
            <w:vAlign w:val="center"/>
            <w:hideMark/>
          </w:tcPr>
          <w:p w14:paraId="1F8B5CCD"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073D926" w14:textId="77777777" w:rsidR="00E040FD" w:rsidRDefault="00740D64">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375E54E1"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38EB1FEB" w14:textId="77777777" w:rsidR="00E040FD" w:rsidRDefault="00740D64">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2F344E98"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04B7D6FE" w14:textId="77777777" w:rsidR="00E040FD" w:rsidRDefault="00740D6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1BBF837A" w14:textId="77777777" w:rsidR="00E040FD" w:rsidRDefault="00740D64">
            <w:pPr>
              <w:pStyle w:val="P68B1DB1-Normal8"/>
              <w:spacing w:after="0" w:line="240" w:lineRule="auto"/>
              <w:jc w:val="both"/>
              <w:rPr>
                <w:rFonts w:eastAsia="Times New Roman" w:cs="Calibri"/>
                <w:noProof/>
              </w:rPr>
            </w:pPr>
            <w:r>
              <w:rPr>
                <w:noProof/>
              </w:rPr>
              <w:t>Procentandel användare med tillgång till nya funktioner för telehälsa och telemonitoring som möjliggör tillhandahållande av hälso- och sjukvårdstjänster på distans, vilket ökar tillgången till hälso- och sjukvård och medborgarnas deltagande i processen för insamling och behandling av information på distans.</w:t>
            </w:r>
          </w:p>
        </w:tc>
      </w:tr>
      <w:tr w:rsidR="00E040FD" w14:paraId="6B7A654B" w14:textId="77777777">
        <w:trPr>
          <w:trHeight w:val="414"/>
        </w:trPr>
        <w:tc>
          <w:tcPr>
            <w:tcW w:w="1135" w:type="dxa"/>
            <w:shd w:val="clear" w:color="auto" w:fill="C4EFCE"/>
            <w:noWrap/>
            <w:vAlign w:val="center"/>
            <w:hideMark/>
          </w:tcPr>
          <w:p w14:paraId="788FB01B" w14:textId="77777777" w:rsidR="00E040FD" w:rsidRDefault="00740D64">
            <w:pPr>
              <w:pStyle w:val="P68B1DB1-Normal7"/>
              <w:spacing w:after="0" w:line="240" w:lineRule="auto"/>
              <w:jc w:val="center"/>
              <w:rPr>
                <w:rFonts w:eastAsia="Times New Roman" w:cs="Calibri"/>
                <w:noProof/>
              </w:rPr>
            </w:pPr>
            <w:r>
              <w:rPr>
                <w:noProof/>
              </w:rPr>
              <w:t>1.34</w:t>
            </w:r>
          </w:p>
        </w:tc>
        <w:tc>
          <w:tcPr>
            <w:tcW w:w="1276" w:type="dxa"/>
            <w:shd w:val="clear" w:color="auto" w:fill="C4EFCE"/>
            <w:noWrap/>
            <w:vAlign w:val="center"/>
            <w:hideMark/>
          </w:tcPr>
          <w:p w14:paraId="3B63F904" w14:textId="77777777" w:rsidR="00E040FD" w:rsidRDefault="00740D64">
            <w:pPr>
              <w:pStyle w:val="P68B1DB1-Normal8"/>
              <w:spacing w:after="0" w:line="240" w:lineRule="auto"/>
              <w:jc w:val="center"/>
              <w:rPr>
                <w:rFonts w:eastAsia="Times New Roman" w:cs="Calibri"/>
                <w:noProof/>
              </w:rPr>
            </w:pPr>
            <w:r>
              <w:rPr>
                <w:noProof/>
              </w:rPr>
              <w:t>RE-C01-i06</w:t>
            </w:r>
          </w:p>
        </w:tc>
        <w:tc>
          <w:tcPr>
            <w:tcW w:w="992" w:type="dxa"/>
            <w:shd w:val="clear" w:color="auto" w:fill="C4EFCE"/>
            <w:noWrap/>
            <w:vAlign w:val="center"/>
            <w:hideMark/>
          </w:tcPr>
          <w:p w14:paraId="0554D603"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2A2F67A" w14:textId="77777777" w:rsidR="00E040FD" w:rsidRDefault="00740D64">
            <w:pPr>
              <w:pStyle w:val="P68B1DB1-Normal8"/>
              <w:spacing w:after="0" w:line="240" w:lineRule="auto"/>
              <w:jc w:val="center"/>
              <w:rPr>
                <w:rFonts w:eastAsia="Times New Roman" w:cs="Calibri"/>
                <w:noProof/>
              </w:rPr>
            </w:pPr>
            <w:r>
              <w:rPr>
                <w:noProof/>
              </w:rPr>
              <w:t>Genomförande av administrativa moduler för informationsteknik, grundläggande kliniska moduler och kliniska moduler för nödsituationer</w:t>
            </w:r>
          </w:p>
        </w:tc>
        <w:tc>
          <w:tcPr>
            <w:tcW w:w="1418" w:type="dxa"/>
            <w:shd w:val="clear" w:color="auto" w:fill="C4EFCE"/>
            <w:noWrap/>
            <w:vAlign w:val="center"/>
            <w:hideMark/>
          </w:tcPr>
          <w:p w14:paraId="60D66170"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B64EB98" w14:textId="77777777" w:rsidR="00E040FD" w:rsidRDefault="00740D64">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09AEDAE6"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14105145" w14:textId="77777777" w:rsidR="00E040FD" w:rsidRDefault="00740D64">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510A81E2" w14:textId="20C69EC3" w:rsidR="00E040FD" w:rsidRDefault="00740D64">
            <w:pPr>
              <w:pStyle w:val="P68B1DB1-Normal8"/>
              <w:spacing w:after="0" w:line="240" w:lineRule="auto"/>
              <w:jc w:val="center"/>
              <w:rPr>
                <w:rFonts w:eastAsia="Times New Roman" w:cs="Calibri"/>
                <w:noProof/>
              </w:rPr>
            </w:pPr>
            <w:r>
              <w:rPr>
                <w:noProof/>
              </w:rPr>
              <w:t>KVARTAL 2</w:t>
            </w:r>
          </w:p>
        </w:tc>
        <w:tc>
          <w:tcPr>
            <w:tcW w:w="901" w:type="dxa"/>
            <w:shd w:val="clear" w:color="auto" w:fill="C4EFCE"/>
            <w:noWrap/>
            <w:vAlign w:val="center"/>
            <w:hideMark/>
          </w:tcPr>
          <w:p w14:paraId="1B258F53" w14:textId="7EC56113" w:rsidR="00E040FD" w:rsidRDefault="00740D6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0AF81CED" w14:textId="77777777" w:rsidR="00E040FD" w:rsidRDefault="00740D64">
            <w:pPr>
              <w:pStyle w:val="P68B1DB1-Normal8"/>
              <w:spacing w:after="0" w:line="240" w:lineRule="auto"/>
              <w:jc w:val="both"/>
              <w:rPr>
                <w:rFonts w:eastAsia="Times New Roman" w:cs="Calibri"/>
                <w:noProof/>
              </w:rPr>
            </w:pPr>
            <w:r>
              <w:rPr>
                <w:noProof/>
              </w:rPr>
              <w:t>Procentandel hälso- och sjukvårdspersonal med tillgång till integrerade it-moduler, grundläggande kliniska moduler och kliniska moduler i nödsituationer för registrering och konsultation av klinisk information inom primärvården, sjukhusvården och den fortsatta hälso- och sjukvården för att säkerställa tillgång till och integrering av hälsoinformation samt för att öka säkerheten för användare och hälso- och sjukvårdspersonal. och ii) akutsjukvård, sjuksköterskor och telemonitering av hälso- och sjukvårdstjänster.</w:t>
            </w:r>
          </w:p>
        </w:tc>
      </w:tr>
      <w:tr w:rsidR="00E040FD" w14:paraId="2D39C445" w14:textId="77777777">
        <w:trPr>
          <w:trHeight w:val="640"/>
        </w:trPr>
        <w:tc>
          <w:tcPr>
            <w:tcW w:w="1135" w:type="dxa"/>
            <w:shd w:val="clear" w:color="auto" w:fill="C4EFCE"/>
            <w:noWrap/>
            <w:vAlign w:val="center"/>
            <w:hideMark/>
          </w:tcPr>
          <w:p w14:paraId="518CED19" w14:textId="77777777" w:rsidR="00E040FD" w:rsidRDefault="00740D64">
            <w:pPr>
              <w:pStyle w:val="P68B1DB1-Normal7"/>
              <w:spacing w:after="0" w:line="240" w:lineRule="auto"/>
              <w:jc w:val="center"/>
              <w:rPr>
                <w:rFonts w:eastAsia="Times New Roman" w:cs="Calibri"/>
                <w:noProof/>
              </w:rPr>
            </w:pPr>
            <w:r>
              <w:rPr>
                <w:noProof/>
              </w:rPr>
              <w:t>1.35</w:t>
            </w:r>
          </w:p>
        </w:tc>
        <w:tc>
          <w:tcPr>
            <w:tcW w:w="1276" w:type="dxa"/>
            <w:shd w:val="clear" w:color="auto" w:fill="C4EFCE"/>
            <w:noWrap/>
            <w:vAlign w:val="center"/>
            <w:hideMark/>
          </w:tcPr>
          <w:p w14:paraId="2670C5DB" w14:textId="77777777" w:rsidR="00E040FD" w:rsidRDefault="00740D64">
            <w:pPr>
              <w:pStyle w:val="P68B1DB1-Normal8"/>
              <w:spacing w:after="0" w:line="240" w:lineRule="auto"/>
              <w:jc w:val="center"/>
              <w:rPr>
                <w:rFonts w:eastAsia="Times New Roman" w:cs="Calibri"/>
                <w:noProof/>
              </w:rPr>
            </w:pPr>
            <w:r>
              <w:rPr>
                <w:noProof/>
              </w:rPr>
              <w:t>RE-C01-i07-RAM</w:t>
            </w:r>
          </w:p>
        </w:tc>
        <w:tc>
          <w:tcPr>
            <w:tcW w:w="992" w:type="dxa"/>
            <w:shd w:val="clear" w:color="auto" w:fill="C4EFCE"/>
            <w:noWrap/>
            <w:vAlign w:val="center"/>
            <w:hideMark/>
          </w:tcPr>
          <w:p w14:paraId="4F631A01"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7E98217" w14:textId="77777777" w:rsidR="00E040FD" w:rsidRDefault="00740D64">
            <w:pPr>
              <w:pStyle w:val="P68B1DB1-Normal8"/>
              <w:spacing w:after="0" w:line="240" w:lineRule="auto"/>
              <w:jc w:val="center"/>
              <w:rPr>
                <w:rFonts w:eastAsia="Times New Roman" w:cs="Calibri"/>
                <w:noProof/>
              </w:rPr>
            </w:pPr>
            <w:r>
              <w:rPr>
                <w:noProof/>
              </w:rPr>
              <w:t>Ny datorutrustning för Madeiras regionala hälso- och sjukvård</w:t>
            </w:r>
          </w:p>
        </w:tc>
        <w:tc>
          <w:tcPr>
            <w:tcW w:w="1418" w:type="dxa"/>
            <w:shd w:val="clear" w:color="auto" w:fill="C4EFCE"/>
            <w:noWrap/>
            <w:vAlign w:val="center"/>
            <w:hideMark/>
          </w:tcPr>
          <w:p w14:paraId="44306B25"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08B4C87"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4B03819A"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08FD160" w14:textId="77777777" w:rsidR="00E040FD" w:rsidRDefault="00740D64">
            <w:pPr>
              <w:pStyle w:val="P68B1DB1-Normal8"/>
              <w:spacing w:after="0" w:line="240" w:lineRule="auto"/>
              <w:jc w:val="center"/>
              <w:rPr>
                <w:rFonts w:eastAsia="Times New Roman" w:cs="Calibri"/>
                <w:noProof/>
              </w:rPr>
            </w:pPr>
            <w:r>
              <w:rPr>
                <w:noProof/>
              </w:rPr>
              <w:t>3 600</w:t>
            </w:r>
          </w:p>
        </w:tc>
        <w:tc>
          <w:tcPr>
            <w:tcW w:w="833" w:type="dxa"/>
            <w:gridSpan w:val="2"/>
            <w:shd w:val="clear" w:color="auto" w:fill="C4EFCE"/>
            <w:noWrap/>
            <w:vAlign w:val="center"/>
            <w:hideMark/>
          </w:tcPr>
          <w:p w14:paraId="08604750" w14:textId="77777777" w:rsidR="00E040FD" w:rsidRDefault="00740D64">
            <w:pPr>
              <w:pStyle w:val="P68B1DB1-Normal8"/>
              <w:spacing w:after="0" w:line="240" w:lineRule="auto"/>
              <w:jc w:val="center"/>
              <w:rPr>
                <w:rFonts w:eastAsia="Times New Roman" w:cs="Calibri"/>
                <w:noProof/>
              </w:rPr>
            </w:pPr>
            <w:r>
              <w:rPr>
                <w:noProof/>
              </w:rPr>
              <w:t>KVARTAL 4</w:t>
            </w:r>
          </w:p>
        </w:tc>
        <w:tc>
          <w:tcPr>
            <w:tcW w:w="901" w:type="dxa"/>
            <w:shd w:val="clear" w:color="auto" w:fill="C4EFCE"/>
            <w:noWrap/>
            <w:vAlign w:val="center"/>
            <w:hideMark/>
          </w:tcPr>
          <w:p w14:paraId="709C9011" w14:textId="77777777" w:rsidR="00E040FD" w:rsidRDefault="00740D6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414FCB5F" w14:textId="77777777" w:rsidR="00E040FD" w:rsidRDefault="00740D64">
            <w:pPr>
              <w:pStyle w:val="P68B1DB1-Normal8"/>
              <w:spacing w:after="0" w:line="240" w:lineRule="auto"/>
              <w:jc w:val="both"/>
              <w:rPr>
                <w:rFonts w:eastAsia="Times New Roman" w:cs="Calibri"/>
                <w:noProof/>
              </w:rPr>
            </w:pPr>
            <w:r>
              <w:rPr>
                <w:noProof/>
              </w:rPr>
              <w:t>Antalet ny datorutrustning för Madeiras regionala hälso- och sjukvårdssystem för att övervaka och säkerställa större närhet till användarna av Madeiras regionala hälso- och sjukvårdssystem, minska risken för fel samt främja effektivitet och snabb tillgång till användaruppgifter.</w:t>
            </w:r>
          </w:p>
        </w:tc>
      </w:tr>
      <w:tr w:rsidR="00E040FD" w14:paraId="3B6BEA0A" w14:textId="77777777">
        <w:trPr>
          <w:trHeight w:val="430"/>
        </w:trPr>
        <w:tc>
          <w:tcPr>
            <w:tcW w:w="1135" w:type="dxa"/>
            <w:shd w:val="clear" w:color="auto" w:fill="C4EFCE"/>
            <w:noWrap/>
            <w:vAlign w:val="center"/>
            <w:hideMark/>
          </w:tcPr>
          <w:p w14:paraId="1C2B4CDB" w14:textId="77777777" w:rsidR="00E040FD" w:rsidRDefault="00740D64">
            <w:pPr>
              <w:pStyle w:val="P68B1DB1-Normal7"/>
              <w:spacing w:after="0" w:line="240" w:lineRule="auto"/>
              <w:jc w:val="center"/>
              <w:rPr>
                <w:rFonts w:eastAsia="Times New Roman" w:cs="Calibri"/>
                <w:noProof/>
              </w:rPr>
            </w:pPr>
            <w:r>
              <w:rPr>
                <w:noProof/>
              </w:rPr>
              <w:t>1.36</w:t>
            </w:r>
          </w:p>
        </w:tc>
        <w:tc>
          <w:tcPr>
            <w:tcW w:w="1276" w:type="dxa"/>
            <w:shd w:val="clear" w:color="auto" w:fill="C4EFCE"/>
            <w:noWrap/>
            <w:vAlign w:val="center"/>
            <w:hideMark/>
          </w:tcPr>
          <w:p w14:paraId="44303377" w14:textId="77777777" w:rsidR="00E040FD" w:rsidRDefault="00740D64">
            <w:pPr>
              <w:pStyle w:val="P68B1DB1-Normal8"/>
              <w:spacing w:after="0" w:line="240" w:lineRule="auto"/>
              <w:jc w:val="center"/>
              <w:rPr>
                <w:rFonts w:eastAsia="Times New Roman" w:cs="Calibri"/>
                <w:noProof/>
              </w:rPr>
            </w:pPr>
            <w:r>
              <w:rPr>
                <w:noProof/>
              </w:rPr>
              <w:t>RE-C01-i08-RAA</w:t>
            </w:r>
          </w:p>
        </w:tc>
        <w:tc>
          <w:tcPr>
            <w:tcW w:w="992" w:type="dxa"/>
            <w:shd w:val="clear" w:color="auto" w:fill="C4EFCE"/>
            <w:noWrap/>
            <w:vAlign w:val="center"/>
            <w:hideMark/>
          </w:tcPr>
          <w:p w14:paraId="08334822"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262E30B" w14:textId="77777777" w:rsidR="00E040FD" w:rsidRDefault="00740D64">
            <w:pPr>
              <w:pStyle w:val="P68B1DB1-Normal8"/>
              <w:spacing w:after="0" w:line="240" w:lineRule="auto"/>
              <w:jc w:val="center"/>
              <w:rPr>
                <w:rFonts w:eastAsia="Times New Roman" w:cs="Calibri"/>
                <w:noProof/>
              </w:rPr>
            </w:pPr>
            <w:r>
              <w:rPr>
                <w:noProof/>
              </w:rPr>
              <w:t>Ökad tillgång till användarportalen för Azorernas regionala hälso- och sjukvård</w:t>
            </w:r>
          </w:p>
        </w:tc>
        <w:tc>
          <w:tcPr>
            <w:tcW w:w="1418" w:type="dxa"/>
            <w:shd w:val="clear" w:color="auto" w:fill="C4EFCE"/>
            <w:noWrap/>
            <w:vAlign w:val="center"/>
            <w:hideMark/>
          </w:tcPr>
          <w:p w14:paraId="16ACFAA9"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0518DAD3"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258F7153"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AFB3820" w14:textId="77777777" w:rsidR="00E040FD" w:rsidRDefault="00740D64">
            <w:pPr>
              <w:pStyle w:val="P68B1DB1-Normal8"/>
              <w:spacing w:after="0" w:line="240" w:lineRule="auto"/>
              <w:jc w:val="center"/>
              <w:rPr>
                <w:rFonts w:eastAsia="Times New Roman" w:cs="Calibri"/>
                <w:noProof/>
              </w:rPr>
            </w:pPr>
            <w:r>
              <w:rPr>
                <w:noProof/>
              </w:rPr>
              <w:t>25 000</w:t>
            </w:r>
          </w:p>
        </w:tc>
        <w:tc>
          <w:tcPr>
            <w:tcW w:w="833" w:type="dxa"/>
            <w:gridSpan w:val="2"/>
            <w:shd w:val="clear" w:color="auto" w:fill="C4EFCE"/>
            <w:noWrap/>
            <w:vAlign w:val="center"/>
            <w:hideMark/>
          </w:tcPr>
          <w:p w14:paraId="62A4D53A" w14:textId="77777777" w:rsidR="00E040FD" w:rsidRDefault="00740D64">
            <w:pPr>
              <w:pStyle w:val="P68B1DB1-Normal8"/>
              <w:spacing w:after="0" w:line="240" w:lineRule="auto"/>
              <w:jc w:val="center"/>
              <w:rPr>
                <w:rFonts w:eastAsia="Times New Roman" w:cs="Calibri"/>
                <w:noProof/>
              </w:rPr>
            </w:pPr>
            <w:r>
              <w:rPr>
                <w:noProof/>
              </w:rPr>
              <w:t>KVARTAL 3</w:t>
            </w:r>
          </w:p>
        </w:tc>
        <w:tc>
          <w:tcPr>
            <w:tcW w:w="901" w:type="dxa"/>
            <w:shd w:val="clear" w:color="auto" w:fill="C4EFCE"/>
            <w:noWrap/>
            <w:vAlign w:val="center"/>
            <w:hideMark/>
          </w:tcPr>
          <w:p w14:paraId="6894F559" w14:textId="77777777" w:rsidR="00E040FD" w:rsidRDefault="00740D6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5954B06" w14:textId="77777777" w:rsidR="00E040FD" w:rsidRDefault="00740D64">
            <w:pPr>
              <w:pStyle w:val="P68B1DB1-Normal8"/>
              <w:spacing w:after="0" w:line="240" w:lineRule="auto"/>
              <w:jc w:val="both"/>
              <w:rPr>
                <w:rFonts w:eastAsia="Times New Roman" w:cs="Calibri"/>
                <w:noProof/>
              </w:rPr>
            </w:pPr>
            <w:r>
              <w:rPr>
                <w:noProof/>
              </w:rPr>
              <w:t>Antalet ytterligare enskilda användare som varje år har tillgång till användarportalen för Azorernas regionala hälso- och sjukvård tack vare breddningen av de digitala hälso- och sjukvårdstjänster och den medicinska information som finns tillgänglig där.</w:t>
            </w:r>
          </w:p>
        </w:tc>
      </w:tr>
      <w:tr w:rsidR="00E040FD" w14:paraId="2C6F55F9" w14:textId="77777777">
        <w:trPr>
          <w:trHeight w:val="430"/>
        </w:trPr>
        <w:tc>
          <w:tcPr>
            <w:tcW w:w="1135" w:type="dxa"/>
            <w:shd w:val="clear" w:color="auto" w:fill="C4EFCE"/>
            <w:noWrap/>
            <w:vAlign w:val="center"/>
            <w:hideMark/>
          </w:tcPr>
          <w:p w14:paraId="35FE58B3" w14:textId="77777777" w:rsidR="00E040FD" w:rsidRDefault="00740D64">
            <w:pPr>
              <w:pStyle w:val="P68B1DB1-Normal7"/>
              <w:spacing w:after="0" w:line="240" w:lineRule="auto"/>
              <w:jc w:val="center"/>
              <w:rPr>
                <w:rFonts w:eastAsia="Times New Roman" w:cs="Calibri"/>
                <w:noProof/>
              </w:rPr>
            </w:pPr>
            <w:r>
              <w:rPr>
                <w:noProof/>
              </w:rPr>
              <w:t>1.37</w:t>
            </w:r>
          </w:p>
        </w:tc>
        <w:tc>
          <w:tcPr>
            <w:tcW w:w="1276" w:type="dxa"/>
            <w:shd w:val="clear" w:color="auto" w:fill="C4EFCE"/>
            <w:noWrap/>
            <w:vAlign w:val="center"/>
            <w:hideMark/>
          </w:tcPr>
          <w:p w14:paraId="799DA769" w14:textId="77777777" w:rsidR="00E040FD" w:rsidRDefault="00740D64">
            <w:pPr>
              <w:pStyle w:val="P68B1DB1-Normal8"/>
              <w:spacing w:after="0" w:line="240" w:lineRule="auto"/>
              <w:jc w:val="center"/>
              <w:rPr>
                <w:rFonts w:eastAsia="Times New Roman" w:cs="Calibri"/>
                <w:noProof/>
              </w:rPr>
            </w:pPr>
            <w:r>
              <w:rPr>
                <w:noProof/>
              </w:rPr>
              <w:t>RE-C01-i08-RAA</w:t>
            </w:r>
          </w:p>
        </w:tc>
        <w:tc>
          <w:tcPr>
            <w:tcW w:w="992" w:type="dxa"/>
            <w:shd w:val="clear" w:color="auto" w:fill="C4EFCE"/>
            <w:noWrap/>
            <w:vAlign w:val="center"/>
            <w:hideMark/>
          </w:tcPr>
          <w:p w14:paraId="302C65ED" w14:textId="77777777"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24EF576" w14:textId="77777777" w:rsidR="00E040FD" w:rsidRDefault="00740D64">
            <w:pPr>
              <w:pStyle w:val="P68B1DB1-Normal8"/>
              <w:spacing w:after="0" w:line="240" w:lineRule="auto"/>
              <w:jc w:val="center"/>
              <w:rPr>
                <w:rFonts w:eastAsia="Times New Roman" w:cs="Calibri"/>
                <w:noProof/>
              </w:rPr>
            </w:pPr>
            <w:r>
              <w:rPr>
                <w:noProof/>
              </w:rPr>
              <w:t>Införande av utnämningar inom telemedicin i Azorernas regionala hälso- och sjukvård</w:t>
            </w:r>
          </w:p>
        </w:tc>
        <w:tc>
          <w:tcPr>
            <w:tcW w:w="1418" w:type="dxa"/>
            <w:shd w:val="clear" w:color="auto" w:fill="C4EFCE"/>
            <w:noWrap/>
            <w:vAlign w:val="center"/>
            <w:hideMark/>
          </w:tcPr>
          <w:p w14:paraId="1A2B8AD5" w14:textId="77777777" w:rsidR="00E040FD" w:rsidRDefault="00740D6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379D47D" w14:textId="77777777"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hideMark/>
          </w:tcPr>
          <w:p w14:paraId="43D98159" w14:textId="77777777"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A44072E" w14:textId="77777777" w:rsidR="00E040FD" w:rsidRDefault="00740D64">
            <w:pPr>
              <w:pStyle w:val="P68B1DB1-Normal8"/>
              <w:spacing w:after="0" w:line="240" w:lineRule="auto"/>
              <w:jc w:val="center"/>
              <w:rPr>
                <w:rFonts w:eastAsia="Times New Roman" w:cs="Calibri"/>
                <w:noProof/>
              </w:rPr>
            </w:pPr>
            <w:r>
              <w:rPr>
                <w:noProof/>
              </w:rPr>
              <w:t>1 000</w:t>
            </w:r>
          </w:p>
        </w:tc>
        <w:tc>
          <w:tcPr>
            <w:tcW w:w="833" w:type="dxa"/>
            <w:gridSpan w:val="2"/>
            <w:shd w:val="clear" w:color="auto" w:fill="C4EFCE"/>
            <w:noWrap/>
            <w:vAlign w:val="center"/>
            <w:hideMark/>
          </w:tcPr>
          <w:p w14:paraId="6ED42D00" w14:textId="77777777" w:rsidR="00E040FD" w:rsidRDefault="00740D64">
            <w:pPr>
              <w:pStyle w:val="P68B1DB1-Normal8"/>
              <w:spacing w:after="0" w:line="240" w:lineRule="auto"/>
              <w:jc w:val="center"/>
              <w:rPr>
                <w:rFonts w:eastAsia="Times New Roman" w:cs="Calibri"/>
                <w:noProof/>
              </w:rPr>
            </w:pPr>
            <w:r>
              <w:rPr>
                <w:noProof/>
              </w:rPr>
              <w:t>KVARTAL 3</w:t>
            </w:r>
          </w:p>
        </w:tc>
        <w:tc>
          <w:tcPr>
            <w:tcW w:w="901" w:type="dxa"/>
            <w:shd w:val="clear" w:color="auto" w:fill="C4EFCE"/>
            <w:noWrap/>
            <w:vAlign w:val="center"/>
            <w:hideMark/>
          </w:tcPr>
          <w:p w14:paraId="5CCF492B" w14:textId="77777777" w:rsidR="00E040FD" w:rsidRDefault="00740D6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1736CD51" w14:textId="77777777" w:rsidR="00E040FD" w:rsidRDefault="00740D64">
            <w:pPr>
              <w:pStyle w:val="P68B1DB1-Normal8"/>
              <w:spacing w:after="0" w:line="240" w:lineRule="auto"/>
              <w:jc w:val="both"/>
              <w:rPr>
                <w:rFonts w:eastAsia="Times New Roman" w:cs="Calibri"/>
                <w:noProof/>
              </w:rPr>
            </w:pPr>
            <w:r>
              <w:rPr>
                <w:noProof/>
              </w:rPr>
              <w:t>Antal årliga utnämningar av telemedicin inom primärvården och med specialistläkare vid Azorernas regionala hälso- och sjukvård.</w:t>
            </w:r>
          </w:p>
        </w:tc>
      </w:tr>
      <w:tr w:rsidR="00E040FD" w14:paraId="0EE038BE" w14:textId="77777777">
        <w:trPr>
          <w:trHeight w:val="640"/>
        </w:trPr>
        <w:tc>
          <w:tcPr>
            <w:tcW w:w="1135" w:type="dxa"/>
            <w:shd w:val="clear" w:color="auto" w:fill="C4EFCE"/>
            <w:noWrap/>
            <w:vAlign w:val="center"/>
          </w:tcPr>
          <w:p w14:paraId="31A01111" w14:textId="4FBAFE14" w:rsidR="00E040FD" w:rsidRDefault="00740D64">
            <w:pPr>
              <w:pStyle w:val="P68B1DB1-Normal7"/>
              <w:spacing w:after="0" w:line="240" w:lineRule="auto"/>
              <w:jc w:val="center"/>
              <w:rPr>
                <w:rFonts w:eastAsia="Times New Roman" w:cs="Calibri"/>
                <w:noProof/>
              </w:rPr>
            </w:pPr>
            <w:r>
              <w:rPr>
                <w:noProof/>
              </w:rPr>
              <w:t>1.38</w:t>
            </w:r>
          </w:p>
        </w:tc>
        <w:tc>
          <w:tcPr>
            <w:tcW w:w="1276" w:type="dxa"/>
            <w:shd w:val="clear" w:color="auto" w:fill="C4EFCE"/>
            <w:noWrap/>
            <w:vAlign w:val="center"/>
          </w:tcPr>
          <w:p w14:paraId="64BB902A" w14:textId="53831F49" w:rsidR="00E040FD" w:rsidRDefault="00740D64">
            <w:pPr>
              <w:pStyle w:val="P68B1DB1-Normal8"/>
              <w:spacing w:after="0" w:line="240" w:lineRule="auto"/>
              <w:jc w:val="center"/>
              <w:rPr>
                <w:rFonts w:eastAsia="Times New Roman" w:cs="Calibri"/>
                <w:noProof/>
              </w:rPr>
            </w:pPr>
            <w:r>
              <w:rPr>
                <w:noProof/>
              </w:rPr>
              <w:t>RE-C01-i09</w:t>
            </w:r>
          </w:p>
        </w:tc>
        <w:tc>
          <w:tcPr>
            <w:tcW w:w="992" w:type="dxa"/>
            <w:shd w:val="clear" w:color="auto" w:fill="C4EFCE"/>
            <w:noWrap/>
            <w:vAlign w:val="center"/>
          </w:tcPr>
          <w:p w14:paraId="0A96970B" w14:textId="156C1E6E" w:rsidR="00E040FD" w:rsidRDefault="00740D6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tcPr>
          <w:p w14:paraId="4E2D372B" w14:textId="0E63E0C8" w:rsidR="00E040FD" w:rsidRDefault="00740D64">
            <w:pPr>
              <w:pStyle w:val="P68B1DB1-Normal8"/>
              <w:spacing w:after="0" w:line="240" w:lineRule="auto"/>
              <w:jc w:val="center"/>
              <w:rPr>
                <w:rFonts w:eastAsia="Times New Roman" w:cs="Calibri"/>
                <w:noProof/>
              </w:rPr>
            </w:pPr>
            <w:r>
              <w:rPr>
                <w:noProof/>
              </w:rPr>
              <w:t>Slutförande av genomförandet i skolorna av programmen ”School Sports Community” och ”Sports on Wheels”</w:t>
            </w:r>
          </w:p>
        </w:tc>
        <w:tc>
          <w:tcPr>
            <w:tcW w:w="1418" w:type="dxa"/>
            <w:shd w:val="clear" w:color="auto" w:fill="C4EFCE"/>
            <w:noWrap/>
            <w:vAlign w:val="center"/>
          </w:tcPr>
          <w:p w14:paraId="37AA52F9" w14:textId="77777777" w:rsidR="00E040FD" w:rsidRDefault="00E040FD">
            <w:pPr>
              <w:spacing w:after="0" w:line="240" w:lineRule="auto"/>
              <w:jc w:val="center"/>
              <w:rPr>
                <w:rFonts w:ascii="Calibri" w:eastAsia="Times New Roman" w:hAnsi="Calibri" w:cs="Calibri"/>
                <w:noProof/>
                <w:sz w:val="16"/>
              </w:rPr>
            </w:pPr>
          </w:p>
        </w:tc>
        <w:tc>
          <w:tcPr>
            <w:tcW w:w="1164" w:type="dxa"/>
            <w:shd w:val="clear" w:color="auto" w:fill="C4EFCE"/>
            <w:noWrap/>
            <w:vAlign w:val="center"/>
          </w:tcPr>
          <w:p w14:paraId="1C3DF8F2" w14:textId="15771FE2" w:rsidR="00E040FD" w:rsidRDefault="00740D64">
            <w:pPr>
              <w:pStyle w:val="P68B1DB1-Normal8"/>
              <w:spacing w:after="0" w:line="240" w:lineRule="auto"/>
              <w:jc w:val="center"/>
              <w:rPr>
                <w:rFonts w:eastAsia="Times New Roman" w:cs="Calibri"/>
                <w:noProof/>
              </w:rPr>
            </w:pPr>
            <w:r>
              <w:rPr>
                <w:noProof/>
              </w:rPr>
              <w:t>Antal</w:t>
            </w:r>
          </w:p>
        </w:tc>
        <w:tc>
          <w:tcPr>
            <w:tcW w:w="962" w:type="dxa"/>
            <w:shd w:val="clear" w:color="auto" w:fill="C4EFCE"/>
            <w:noWrap/>
            <w:vAlign w:val="center"/>
          </w:tcPr>
          <w:p w14:paraId="10841144" w14:textId="7A4A9BBC" w:rsidR="00E040FD" w:rsidRDefault="00740D6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tcPr>
          <w:p w14:paraId="35971DC5" w14:textId="6ECAC858" w:rsidR="00E040FD" w:rsidRDefault="00740D64">
            <w:pPr>
              <w:pStyle w:val="P68B1DB1-Normal8"/>
              <w:spacing w:after="0" w:line="240" w:lineRule="auto"/>
              <w:jc w:val="center"/>
              <w:rPr>
                <w:rFonts w:eastAsia="Times New Roman" w:cs="Calibri"/>
                <w:noProof/>
              </w:rPr>
            </w:pPr>
            <w:r>
              <w:rPr>
                <w:noProof/>
              </w:rPr>
              <w:t>1980</w:t>
            </w:r>
          </w:p>
        </w:tc>
        <w:tc>
          <w:tcPr>
            <w:tcW w:w="833" w:type="dxa"/>
            <w:gridSpan w:val="2"/>
            <w:shd w:val="clear" w:color="auto" w:fill="C4EFCE"/>
            <w:noWrap/>
            <w:vAlign w:val="center"/>
          </w:tcPr>
          <w:p w14:paraId="015DCDA9" w14:textId="1FBC0FB9" w:rsidR="00E040FD" w:rsidRDefault="00740D64">
            <w:pPr>
              <w:pStyle w:val="P68B1DB1-Normal8"/>
              <w:spacing w:after="0" w:line="240" w:lineRule="auto"/>
              <w:jc w:val="center"/>
              <w:rPr>
                <w:rFonts w:eastAsia="Times New Roman" w:cs="Calibri"/>
                <w:noProof/>
              </w:rPr>
            </w:pPr>
            <w:r>
              <w:rPr>
                <w:noProof/>
              </w:rPr>
              <w:t>KVARTAL 3</w:t>
            </w:r>
          </w:p>
        </w:tc>
        <w:tc>
          <w:tcPr>
            <w:tcW w:w="901" w:type="dxa"/>
            <w:shd w:val="clear" w:color="auto" w:fill="C4EFCE"/>
            <w:noWrap/>
            <w:vAlign w:val="center"/>
          </w:tcPr>
          <w:p w14:paraId="06A77DA0" w14:textId="20CE1881" w:rsidR="00E040FD" w:rsidRDefault="00740D6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tcPr>
          <w:p w14:paraId="628B2390" w14:textId="163A1F48" w:rsidR="00E040FD" w:rsidRDefault="00740D64">
            <w:pPr>
              <w:pStyle w:val="P68B1DB1-Normal8"/>
              <w:spacing w:after="0" w:line="240" w:lineRule="auto"/>
              <w:jc w:val="both"/>
              <w:rPr>
                <w:rFonts w:eastAsia="Times New Roman" w:cs="Calibri"/>
                <w:noProof/>
              </w:rPr>
            </w:pPr>
            <w:r>
              <w:rPr>
                <w:noProof/>
              </w:rPr>
              <w:t>Antal cykelsatser bestående av cyklar av olika storlek som levereras i sekundärcykelskolor i syfte att undervisa i cykling till elever, samt cykelsatser för vuxna som levereras till offentliga skolor inom ramen för programmet ”Schools Sports”.</w:t>
            </w:r>
          </w:p>
        </w:tc>
      </w:tr>
      <w:tr w:rsidR="00E040FD" w14:paraId="150B873E" w14:textId="77777777">
        <w:trPr>
          <w:trHeight w:val="640"/>
        </w:trPr>
        <w:tc>
          <w:tcPr>
            <w:tcW w:w="1135" w:type="dxa"/>
            <w:shd w:val="clear" w:color="auto" w:fill="C4EFCE"/>
            <w:noWrap/>
            <w:vAlign w:val="center"/>
            <w:hideMark/>
          </w:tcPr>
          <w:p w14:paraId="0C72F16B" w14:textId="77777777" w:rsidR="00E040FD" w:rsidRDefault="00740D64">
            <w:pPr>
              <w:pStyle w:val="P68B1DB1-Normal7"/>
              <w:spacing w:after="0" w:line="240" w:lineRule="auto"/>
              <w:jc w:val="center"/>
              <w:rPr>
                <w:rFonts w:eastAsia="Times New Roman" w:cs="Calibri"/>
                <w:noProof/>
              </w:rPr>
            </w:pPr>
            <w:r>
              <w:rPr>
                <w:noProof/>
              </w:rPr>
              <w:t>1.39</w:t>
            </w:r>
          </w:p>
        </w:tc>
        <w:tc>
          <w:tcPr>
            <w:tcW w:w="1276" w:type="dxa"/>
            <w:shd w:val="clear" w:color="auto" w:fill="C4EFCE"/>
            <w:noWrap/>
            <w:vAlign w:val="center"/>
            <w:hideMark/>
          </w:tcPr>
          <w:p w14:paraId="30A44D52" w14:textId="77777777" w:rsidR="00E040FD" w:rsidRDefault="00740D64">
            <w:pPr>
              <w:pStyle w:val="P68B1DB1-Normal8"/>
              <w:spacing w:after="0" w:line="240" w:lineRule="auto"/>
              <w:jc w:val="center"/>
              <w:rPr>
                <w:rFonts w:eastAsia="Times New Roman" w:cs="Calibri"/>
                <w:noProof/>
              </w:rPr>
            </w:pPr>
            <w:r>
              <w:rPr>
                <w:noProof/>
              </w:rPr>
              <w:t>RE-C01-i09</w:t>
            </w:r>
          </w:p>
        </w:tc>
        <w:tc>
          <w:tcPr>
            <w:tcW w:w="992" w:type="dxa"/>
            <w:shd w:val="clear" w:color="auto" w:fill="C4EFCE"/>
            <w:noWrap/>
            <w:vAlign w:val="center"/>
            <w:hideMark/>
          </w:tcPr>
          <w:p w14:paraId="2A370627" w14:textId="77777777" w:rsidR="00E040FD" w:rsidRDefault="00740D6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BF3C4F6" w14:textId="77777777" w:rsidR="00E040FD" w:rsidRDefault="00740D64">
            <w:pPr>
              <w:pStyle w:val="P68B1DB1-Normal8"/>
              <w:spacing w:after="0" w:line="240" w:lineRule="auto"/>
              <w:jc w:val="center"/>
              <w:rPr>
                <w:rFonts w:eastAsia="Times New Roman" w:cs="Calibri"/>
                <w:noProof/>
              </w:rPr>
            </w:pPr>
            <w:r>
              <w:rPr>
                <w:noProof/>
              </w:rPr>
              <w:t>Lansering av den nationella kampanjen för Universal Active Life Support System och den tillhörande tekniska plattformen</w:t>
            </w:r>
          </w:p>
        </w:tc>
        <w:tc>
          <w:tcPr>
            <w:tcW w:w="1418" w:type="dxa"/>
            <w:shd w:val="clear" w:color="auto" w:fill="C4EFCE"/>
            <w:noWrap/>
            <w:vAlign w:val="center"/>
            <w:hideMark/>
          </w:tcPr>
          <w:p w14:paraId="71D7CD15" w14:textId="77777777" w:rsidR="00E040FD" w:rsidRDefault="00740D64">
            <w:pPr>
              <w:pStyle w:val="P68B1DB1-Normal8"/>
              <w:spacing w:after="0" w:line="240" w:lineRule="auto"/>
              <w:jc w:val="center"/>
              <w:rPr>
                <w:rFonts w:eastAsia="Times New Roman" w:cs="Calibri"/>
                <w:noProof/>
              </w:rPr>
            </w:pPr>
            <w:r>
              <w:rPr>
                <w:noProof/>
              </w:rPr>
              <w:t>Nya kommunikationskanaler och kommunikationsplattformar för den nationella kampanjen för Universal Active Life Support System</w:t>
            </w:r>
          </w:p>
        </w:tc>
        <w:tc>
          <w:tcPr>
            <w:tcW w:w="1164" w:type="dxa"/>
            <w:shd w:val="clear" w:color="auto" w:fill="C4EFCE"/>
            <w:noWrap/>
            <w:vAlign w:val="center"/>
            <w:hideMark/>
          </w:tcPr>
          <w:p w14:paraId="7EE395E9" w14:textId="77777777" w:rsidR="00E040FD" w:rsidRDefault="00740D6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7BFB1270" w14:textId="77777777" w:rsidR="00E040FD" w:rsidRDefault="00740D6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69FF4A32" w14:textId="77777777" w:rsidR="00E040FD" w:rsidRDefault="00740D6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1CE5595" w14:textId="33DE1500" w:rsidR="00E040FD" w:rsidRDefault="00740D64">
            <w:pPr>
              <w:pStyle w:val="P68B1DB1-Normal8"/>
              <w:spacing w:after="0" w:line="240" w:lineRule="auto"/>
              <w:jc w:val="center"/>
              <w:rPr>
                <w:rFonts w:eastAsia="Times New Roman" w:cs="Calibri"/>
                <w:noProof/>
              </w:rPr>
            </w:pPr>
            <w:r>
              <w:rPr>
                <w:noProof/>
              </w:rPr>
              <w:t>KVARTAL 3</w:t>
            </w:r>
          </w:p>
        </w:tc>
        <w:tc>
          <w:tcPr>
            <w:tcW w:w="901" w:type="dxa"/>
            <w:shd w:val="clear" w:color="auto" w:fill="C4EFCE"/>
            <w:noWrap/>
            <w:vAlign w:val="center"/>
            <w:hideMark/>
          </w:tcPr>
          <w:p w14:paraId="63B5DA71" w14:textId="77777777" w:rsidR="00E040FD" w:rsidRDefault="00740D6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528A0C6D" w14:textId="77777777" w:rsidR="00E040FD" w:rsidRDefault="00740D64">
            <w:pPr>
              <w:pStyle w:val="P68B1DB1-Normal8"/>
              <w:spacing w:after="0" w:line="240" w:lineRule="auto"/>
              <w:jc w:val="both"/>
              <w:rPr>
                <w:rFonts w:eastAsia="Times New Roman" w:cs="Calibri"/>
                <w:noProof/>
              </w:rPr>
            </w:pPr>
            <w:r>
              <w:rPr>
                <w:noProof/>
              </w:rPr>
              <w:t>Lansering av en nationell kampanj för det universella systemet för aktivt liv och tillhörande teknisk plattform, i syfte att öka medborgarnas kunskaper om fördelarna med regelbunden fysisk aktivitet, i alla åldrar och i enlighet med deras förmåga, i syfte att uppmuntra till hälsosammare livsstilar.</w:t>
            </w:r>
          </w:p>
        </w:tc>
      </w:tr>
      <w:tr w:rsidR="00E040FD" w14:paraId="32DDB6EB" w14:textId="77777777">
        <w:trPr>
          <w:trHeight w:val="640"/>
        </w:trPr>
        <w:tc>
          <w:tcPr>
            <w:tcW w:w="1135" w:type="dxa"/>
            <w:shd w:val="clear" w:color="auto" w:fill="C4EFCE"/>
            <w:noWrap/>
            <w:vAlign w:val="center"/>
          </w:tcPr>
          <w:p w14:paraId="5EA543BD" w14:textId="73E365A0" w:rsidR="00E040FD" w:rsidRDefault="00740D64">
            <w:pPr>
              <w:pStyle w:val="P68B1DB1-Normal11"/>
              <w:spacing w:after="0" w:line="240" w:lineRule="auto"/>
              <w:jc w:val="center"/>
              <w:rPr>
                <w:rFonts w:eastAsia="Times New Roman" w:cstheme="minorHAnsi"/>
                <w:noProof/>
              </w:rPr>
            </w:pPr>
            <w:r>
              <w:rPr>
                <w:noProof/>
              </w:rPr>
              <w:t>1.41</w:t>
            </w:r>
          </w:p>
        </w:tc>
        <w:tc>
          <w:tcPr>
            <w:tcW w:w="1276" w:type="dxa"/>
            <w:shd w:val="clear" w:color="auto" w:fill="C4EFCE"/>
            <w:noWrap/>
            <w:vAlign w:val="center"/>
          </w:tcPr>
          <w:p w14:paraId="052499FB" w14:textId="346E2DBB" w:rsidR="00E040FD" w:rsidRDefault="00740D64">
            <w:pPr>
              <w:pStyle w:val="P68B1DB1-Normal12"/>
              <w:spacing w:after="0" w:line="240" w:lineRule="auto"/>
              <w:jc w:val="center"/>
              <w:rPr>
                <w:rFonts w:eastAsia="Times New Roman" w:cstheme="minorHAnsi"/>
                <w:noProof/>
                <w:highlight w:val="cyan"/>
              </w:rPr>
            </w:pPr>
            <w:r>
              <w:rPr>
                <w:noProof/>
              </w:rPr>
              <w:t>RE-C01-i10</w:t>
            </w:r>
          </w:p>
        </w:tc>
        <w:tc>
          <w:tcPr>
            <w:tcW w:w="992" w:type="dxa"/>
            <w:shd w:val="clear" w:color="auto" w:fill="C4EFCE"/>
            <w:noWrap/>
            <w:vAlign w:val="center"/>
          </w:tcPr>
          <w:p w14:paraId="6833F05F" w14:textId="01DD35B4" w:rsidR="00E040FD" w:rsidRDefault="00740D64">
            <w:pPr>
              <w:pStyle w:val="P68B1DB1-Normal12"/>
              <w:spacing w:after="0" w:line="240" w:lineRule="auto"/>
              <w:jc w:val="center"/>
              <w:rPr>
                <w:rFonts w:eastAsia="Times New Roman" w:cstheme="minorHAnsi"/>
                <w:noProof/>
                <w:highlight w:val="cyan"/>
              </w:rPr>
            </w:pPr>
            <w:r>
              <w:rPr>
                <w:noProof/>
              </w:rPr>
              <w:t>M</w:t>
            </w:r>
          </w:p>
        </w:tc>
        <w:tc>
          <w:tcPr>
            <w:tcW w:w="1843" w:type="dxa"/>
            <w:shd w:val="clear" w:color="auto" w:fill="C4EFCE"/>
            <w:noWrap/>
            <w:vAlign w:val="center"/>
          </w:tcPr>
          <w:p w14:paraId="2B996393" w14:textId="1E61FAE8" w:rsidR="00E040FD" w:rsidRDefault="00740D64">
            <w:pPr>
              <w:pStyle w:val="P68B1DB1-Normal12"/>
              <w:spacing w:after="0" w:line="240" w:lineRule="auto"/>
              <w:jc w:val="center"/>
              <w:rPr>
                <w:rFonts w:eastAsia="Times New Roman" w:cstheme="minorHAnsi"/>
                <w:noProof/>
                <w:highlight w:val="cyan"/>
              </w:rPr>
            </w:pPr>
            <w:r>
              <w:rPr>
                <w:noProof/>
              </w:rPr>
              <w:t>Godkännande av rapporten om NHS behov av tung medicinsk utrustning</w:t>
            </w:r>
          </w:p>
        </w:tc>
        <w:tc>
          <w:tcPr>
            <w:tcW w:w="1418" w:type="dxa"/>
            <w:shd w:val="clear" w:color="auto" w:fill="C4EFCE"/>
            <w:noWrap/>
            <w:vAlign w:val="center"/>
          </w:tcPr>
          <w:p w14:paraId="368DC9EE" w14:textId="2FE358D2" w:rsidR="00E040FD" w:rsidRDefault="00740D64">
            <w:pPr>
              <w:pStyle w:val="P68B1DB1-Normal12"/>
              <w:spacing w:after="0" w:line="240" w:lineRule="auto"/>
              <w:jc w:val="center"/>
              <w:rPr>
                <w:rFonts w:eastAsia="Times New Roman" w:cstheme="minorHAnsi"/>
                <w:noProof/>
                <w:highlight w:val="cyan"/>
              </w:rPr>
            </w:pPr>
            <w:r>
              <w:rPr>
                <w:noProof/>
              </w:rPr>
              <w:t>Godkännande av rapporten</w:t>
            </w:r>
          </w:p>
        </w:tc>
        <w:tc>
          <w:tcPr>
            <w:tcW w:w="1164" w:type="dxa"/>
            <w:shd w:val="clear" w:color="auto" w:fill="C4EFCE"/>
            <w:noWrap/>
            <w:vAlign w:val="center"/>
          </w:tcPr>
          <w:p w14:paraId="78888CE5" w14:textId="77777777" w:rsidR="00E040FD" w:rsidRDefault="00E040FD">
            <w:pPr>
              <w:spacing w:after="0" w:line="240" w:lineRule="auto"/>
              <w:jc w:val="center"/>
              <w:rPr>
                <w:rFonts w:eastAsia="Times New Roman" w:cstheme="minorHAnsi"/>
                <w:noProof/>
                <w:sz w:val="16"/>
              </w:rPr>
            </w:pPr>
          </w:p>
        </w:tc>
        <w:tc>
          <w:tcPr>
            <w:tcW w:w="962" w:type="dxa"/>
            <w:shd w:val="clear" w:color="auto" w:fill="C4EFCE"/>
            <w:noWrap/>
            <w:vAlign w:val="center"/>
          </w:tcPr>
          <w:p w14:paraId="29921A70" w14:textId="77777777" w:rsidR="00E040FD" w:rsidRDefault="00E040FD">
            <w:pPr>
              <w:spacing w:after="0" w:line="240" w:lineRule="auto"/>
              <w:jc w:val="center"/>
              <w:rPr>
                <w:rFonts w:eastAsia="Times New Roman" w:cstheme="minorHAnsi"/>
                <w:noProof/>
                <w:sz w:val="16"/>
              </w:rPr>
            </w:pPr>
          </w:p>
        </w:tc>
        <w:tc>
          <w:tcPr>
            <w:tcW w:w="805" w:type="dxa"/>
            <w:shd w:val="clear" w:color="auto" w:fill="C4EFCE"/>
            <w:noWrap/>
            <w:vAlign w:val="center"/>
          </w:tcPr>
          <w:p w14:paraId="650D0E3B" w14:textId="77777777" w:rsidR="00E040FD" w:rsidRDefault="00E040FD">
            <w:pPr>
              <w:spacing w:after="0" w:line="240" w:lineRule="auto"/>
              <w:jc w:val="center"/>
              <w:rPr>
                <w:rFonts w:eastAsia="Times New Roman" w:cstheme="minorHAnsi"/>
                <w:noProof/>
                <w:sz w:val="16"/>
              </w:rPr>
            </w:pPr>
          </w:p>
        </w:tc>
        <w:tc>
          <w:tcPr>
            <w:tcW w:w="833" w:type="dxa"/>
            <w:gridSpan w:val="2"/>
            <w:shd w:val="clear" w:color="auto" w:fill="C4EFCE"/>
            <w:noWrap/>
            <w:vAlign w:val="center"/>
          </w:tcPr>
          <w:p w14:paraId="40E7DB94" w14:textId="3FD34628" w:rsidR="00E040FD" w:rsidRDefault="00740D64">
            <w:pPr>
              <w:pStyle w:val="P68B1DB1-Normal12"/>
              <w:spacing w:after="0" w:line="240" w:lineRule="auto"/>
              <w:jc w:val="center"/>
              <w:rPr>
                <w:rFonts w:eastAsia="Times New Roman" w:cstheme="minorHAnsi"/>
                <w:noProof/>
                <w:highlight w:val="cyan"/>
              </w:rPr>
            </w:pPr>
            <w:r>
              <w:rPr>
                <w:noProof/>
              </w:rPr>
              <w:t>KVARTAL 3</w:t>
            </w:r>
          </w:p>
        </w:tc>
        <w:tc>
          <w:tcPr>
            <w:tcW w:w="901" w:type="dxa"/>
            <w:shd w:val="clear" w:color="auto" w:fill="C4EFCE"/>
            <w:noWrap/>
            <w:vAlign w:val="center"/>
          </w:tcPr>
          <w:p w14:paraId="19DF970F" w14:textId="27374C84" w:rsidR="00E040FD" w:rsidRDefault="00740D64">
            <w:pPr>
              <w:pStyle w:val="P68B1DB1-Normal12"/>
              <w:spacing w:after="0" w:line="240" w:lineRule="auto"/>
              <w:jc w:val="center"/>
              <w:rPr>
                <w:rFonts w:eastAsia="Times New Roman" w:cstheme="minorHAnsi"/>
                <w:noProof/>
                <w:highlight w:val="cyan"/>
              </w:rPr>
            </w:pPr>
            <w:r>
              <w:rPr>
                <w:noProof/>
              </w:rPr>
              <w:t>2023</w:t>
            </w:r>
          </w:p>
        </w:tc>
        <w:tc>
          <w:tcPr>
            <w:tcW w:w="3981" w:type="dxa"/>
            <w:shd w:val="clear" w:color="auto" w:fill="C4EFCE"/>
            <w:noWrap/>
            <w:vAlign w:val="center"/>
          </w:tcPr>
          <w:p w14:paraId="31B2C935" w14:textId="47B64D40" w:rsidR="00E040FD" w:rsidRDefault="00740D64">
            <w:pPr>
              <w:pStyle w:val="P68B1DB1-Normal12"/>
              <w:spacing w:after="0" w:line="240" w:lineRule="auto"/>
              <w:jc w:val="both"/>
              <w:rPr>
                <w:rFonts w:eastAsia="Times New Roman" w:cstheme="minorHAnsi"/>
                <w:noProof/>
                <w:highlight w:val="cyan"/>
              </w:rPr>
            </w:pPr>
            <w:r>
              <w:rPr>
                <w:noProof/>
              </w:rPr>
              <w:t xml:space="preserve">Godkännande av rapporten från hälsoministeriet som fastställer hälso- och sjukvårdssjukhusens behov av tung medicinsk utrustning. Denna rapport ska identifiera både behovet av att köpa denna typ av utrustning för första gången och behovet av att ersätta befintlig tung medicinsk utrustning. </w:t>
            </w:r>
          </w:p>
        </w:tc>
      </w:tr>
      <w:tr w:rsidR="00E040FD" w14:paraId="7BB31006" w14:textId="77777777">
        <w:trPr>
          <w:trHeight w:val="1265"/>
        </w:trPr>
        <w:tc>
          <w:tcPr>
            <w:tcW w:w="1135" w:type="dxa"/>
            <w:shd w:val="clear" w:color="auto" w:fill="C4EFCE"/>
            <w:noWrap/>
            <w:vAlign w:val="center"/>
          </w:tcPr>
          <w:p w14:paraId="2BC5216A" w14:textId="01C240B8" w:rsidR="00E040FD" w:rsidRDefault="00740D64">
            <w:pPr>
              <w:pStyle w:val="P68B1DB1-Normal11"/>
              <w:spacing w:after="0" w:line="240" w:lineRule="auto"/>
              <w:jc w:val="center"/>
              <w:rPr>
                <w:rFonts w:eastAsia="Times New Roman" w:cstheme="minorHAnsi"/>
                <w:noProof/>
              </w:rPr>
            </w:pPr>
            <w:r>
              <w:rPr>
                <w:noProof/>
              </w:rPr>
              <w:t>1.42</w:t>
            </w:r>
          </w:p>
        </w:tc>
        <w:tc>
          <w:tcPr>
            <w:tcW w:w="1276" w:type="dxa"/>
            <w:shd w:val="clear" w:color="auto" w:fill="C4EFCE"/>
            <w:noWrap/>
            <w:vAlign w:val="center"/>
          </w:tcPr>
          <w:p w14:paraId="449FB587" w14:textId="4BFA8415" w:rsidR="00E040FD" w:rsidRDefault="00740D64">
            <w:pPr>
              <w:pStyle w:val="P68B1DB1-Normal12"/>
              <w:spacing w:after="0" w:line="240" w:lineRule="auto"/>
              <w:jc w:val="center"/>
              <w:rPr>
                <w:rFonts w:eastAsia="Times New Roman" w:cstheme="minorHAnsi"/>
                <w:noProof/>
                <w:highlight w:val="cyan"/>
              </w:rPr>
            </w:pPr>
            <w:r>
              <w:rPr>
                <w:noProof/>
              </w:rPr>
              <w:t>RE-C01-i10</w:t>
            </w:r>
          </w:p>
        </w:tc>
        <w:tc>
          <w:tcPr>
            <w:tcW w:w="992" w:type="dxa"/>
            <w:shd w:val="clear" w:color="auto" w:fill="C4EFCE"/>
            <w:noWrap/>
            <w:vAlign w:val="center"/>
          </w:tcPr>
          <w:p w14:paraId="3E03C39A" w14:textId="64A9F783" w:rsidR="00E040FD" w:rsidRDefault="00740D64">
            <w:pPr>
              <w:pStyle w:val="P68B1DB1-Normal12"/>
              <w:spacing w:after="0" w:line="240" w:lineRule="auto"/>
              <w:jc w:val="center"/>
              <w:rPr>
                <w:rFonts w:eastAsia="Times New Roman" w:cstheme="minorHAnsi"/>
                <w:noProof/>
                <w:highlight w:val="cyan"/>
              </w:rPr>
            </w:pPr>
            <w:r>
              <w:rPr>
                <w:noProof/>
              </w:rPr>
              <w:t>T</w:t>
            </w:r>
          </w:p>
        </w:tc>
        <w:tc>
          <w:tcPr>
            <w:tcW w:w="1843" w:type="dxa"/>
            <w:shd w:val="clear" w:color="auto" w:fill="C4EFCE"/>
            <w:noWrap/>
            <w:vAlign w:val="center"/>
          </w:tcPr>
          <w:p w14:paraId="3173B055" w14:textId="67894D48" w:rsidR="00E040FD" w:rsidRDefault="00740D64">
            <w:pPr>
              <w:pStyle w:val="P68B1DB1-Normal12"/>
              <w:spacing w:after="0" w:line="240" w:lineRule="auto"/>
              <w:jc w:val="center"/>
              <w:rPr>
                <w:rFonts w:eastAsia="Times New Roman" w:cstheme="minorHAnsi"/>
                <w:noProof/>
                <w:highlight w:val="cyan"/>
              </w:rPr>
            </w:pPr>
            <w:r>
              <w:rPr>
                <w:noProof/>
              </w:rPr>
              <w:t>Inköp av tung medicinsk utrustning</w:t>
            </w:r>
          </w:p>
        </w:tc>
        <w:tc>
          <w:tcPr>
            <w:tcW w:w="1418" w:type="dxa"/>
            <w:shd w:val="clear" w:color="auto" w:fill="C4EFCE"/>
            <w:noWrap/>
            <w:vAlign w:val="center"/>
          </w:tcPr>
          <w:p w14:paraId="3E4067FF" w14:textId="77777777" w:rsidR="00E040FD" w:rsidRDefault="00E040FD">
            <w:pPr>
              <w:spacing w:after="0" w:line="240" w:lineRule="auto"/>
              <w:jc w:val="center"/>
              <w:rPr>
                <w:rFonts w:eastAsia="Times New Roman" w:cstheme="minorHAnsi"/>
                <w:noProof/>
                <w:sz w:val="16"/>
                <w:highlight w:val="cyan"/>
              </w:rPr>
            </w:pPr>
          </w:p>
        </w:tc>
        <w:tc>
          <w:tcPr>
            <w:tcW w:w="1164" w:type="dxa"/>
            <w:shd w:val="clear" w:color="auto" w:fill="C4EFCE"/>
            <w:noWrap/>
            <w:vAlign w:val="center"/>
          </w:tcPr>
          <w:p w14:paraId="47E2878A" w14:textId="1966A431" w:rsidR="00E040FD" w:rsidRDefault="00740D64">
            <w:pPr>
              <w:pStyle w:val="P68B1DB1-Normal12"/>
              <w:spacing w:after="0" w:line="240" w:lineRule="auto"/>
              <w:jc w:val="center"/>
              <w:rPr>
                <w:rFonts w:eastAsia="Times New Roman" w:cstheme="minorHAnsi"/>
                <w:noProof/>
              </w:rPr>
            </w:pPr>
            <w:r>
              <w:rPr>
                <w:noProof/>
              </w:rPr>
              <w:t xml:space="preserve">Antal </w:t>
            </w:r>
          </w:p>
        </w:tc>
        <w:tc>
          <w:tcPr>
            <w:tcW w:w="962" w:type="dxa"/>
            <w:shd w:val="clear" w:color="auto" w:fill="C4EFCE"/>
            <w:noWrap/>
            <w:vAlign w:val="center"/>
          </w:tcPr>
          <w:p w14:paraId="5876942B" w14:textId="11B5A7E5" w:rsidR="00E040FD" w:rsidRDefault="00740D64">
            <w:pPr>
              <w:pStyle w:val="P68B1DB1-Normal12"/>
              <w:spacing w:after="0" w:line="240" w:lineRule="auto"/>
              <w:jc w:val="center"/>
              <w:rPr>
                <w:rFonts w:eastAsia="Times New Roman" w:cstheme="minorHAnsi"/>
                <w:noProof/>
              </w:rPr>
            </w:pPr>
            <w:r>
              <w:rPr>
                <w:noProof/>
              </w:rPr>
              <w:t>0</w:t>
            </w:r>
          </w:p>
        </w:tc>
        <w:tc>
          <w:tcPr>
            <w:tcW w:w="805" w:type="dxa"/>
            <w:shd w:val="clear" w:color="auto" w:fill="C4EFCE"/>
            <w:noWrap/>
            <w:vAlign w:val="center"/>
          </w:tcPr>
          <w:p w14:paraId="581F2A0F" w14:textId="00F6C999" w:rsidR="00E040FD" w:rsidRDefault="00740D64">
            <w:pPr>
              <w:pStyle w:val="P68B1DB1-Normal12"/>
              <w:spacing w:after="0" w:line="240" w:lineRule="auto"/>
              <w:jc w:val="center"/>
              <w:rPr>
                <w:rFonts w:eastAsia="Times New Roman" w:cstheme="minorHAnsi"/>
                <w:noProof/>
              </w:rPr>
            </w:pPr>
            <w:r>
              <w:rPr>
                <w:noProof/>
              </w:rPr>
              <w:t>19</w:t>
            </w:r>
          </w:p>
        </w:tc>
        <w:tc>
          <w:tcPr>
            <w:tcW w:w="833" w:type="dxa"/>
            <w:gridSpan w:val="2"/>
            <w:shd w:val="clear" w:color="auto" w:fill="C4EFCE"/>
            <w:noWrap/>
            <w:vAlign w:val="center"/>
          </w:tcPr>
          <w:p w14:paraId="3E9D65A1" w14:textId="16A0980D" w:rsidR="00E040FD" w:rsidRDefault="00740D64">
            <w:pPr>
              <w:pStyle w:val="P68B1DB1-Normal12"/>
              <w:spacing w:after="0" w:line="240" w:lineRule="auto"/>
              <w:jc w:val="center"/>
              <w:rPr>
                <w:rFonts w:eastAsia="Times New Roman" w:cstheme="minorHAnsi"/>
                <w:noProof/>
                <w:highlight w:val="cyan"/>
              </w:rPr>
            </w:pPr>
            <w:r>
              <w:rPr>
                <w:noProof/>
              </w:rPr>
              <w:t>KVARTAL 4</w:t>
            </w:r>
          </w:p>
        </w:tc>
        <w:tc>
          <w:tcPr>
            <w:tcW w:w="901" w:type="dxa"/>
            <w:shd w:val="clear" w:color="auto" w:fill="C4EFCE"/>
            <w:noWrap/>
            <w:vAlign w:val="center"/>
          </w:tcPr>
          <w:p w14:paraId="3750A5B5" w14:textId="29F5D74F" w:rsidR="00E040FD" w:rsidRDefault="00740D64">
            <w:pPr>
              <w:pStyle w:val="P68B1DB1-Normal12"/>
              <w:spacing w:after="0" w:line="240" w:lineRule="auto"/>
              <w:jc w:val="center"/>
              <w:rPr>
                <w:rFonts w:eastAsia="Times New Roman" w:cstheme="minorHAnsi"/>
                <w:noProof/>
                <w:highlight w:val="cyan"/>
              </w:rPr>
            </w:pPr>
            <w:r>
              <w:rPr>
                <w:noProof/>
              </w:rPr>
              <w:t>2024</w:t>
            </w:r>
          </w:p>
        </w:tc>
        <w:tc>
          <w:tcPr>
            <w:tcW w:w="3981" w:type="dxa"/>
            <w:shd w:val="clear" w:color="auto" w:fill="C4EFCE"/>
            <w:noWrap/>
            <w:vAlign w:val="center"/>
          </w:tcPr>
          <w:p w14:paraId="2BF1F0E3" w14:textId="204916E6" w:rsidR="00E040FD" w:rsidRDefault="00740D64">
            <w:pPr>
              <w:pStyle w:val="P68B1DB1-Bodytext1013"/>
              <w:spacing w:after="0" w:line="240" w:lineRule="auto"/>
              <w:rPr>
                <w:rFonts w:cstheme="minorBidi"/>
                <w:noProof/>
              </w:rPr>
            </w:pPr>
            <w:r>
              <w:rPr>
                <w:noProof/>
              </w:rPr>
              <w:t xml:space="preserve">Antal tung medicinsk utrustning som köpts in till NHS sjukhus i enlighet med de behov som identifierats i rapporten, såsom anges i milstolpe 1.41. </w:t>
            </w:r>
          </w:p>
        </w:tc>
      </w:tr>
      <w:tr w:rsidR="00E040FD" w14:paraId="53D663E6" w14:textId="77777777">
        <w:trPr>
          <w:trHeight w:val="640"/>
        </w:trPr>
        <w:tc>
          <w:tcPr>
            <w:tcW w:w="1135" w:type="dxa"/>
            <w:shd w:val="clear" w:color="auto" w:fill="C4EFCE"/>
            <w:noWrap/>
            <w:vAlign w:val="center"/>
          </w:tcPr>
          <w:p w14:paraId="3A65D11A" w14:textId="50F5E0C2" w:rsidR="00E040FD" w:rsidRDefault="00740D64">
            <w:pPr>
              <w:pStyle w:val="P68B1DB1-Normal11"/>
              <w:spacing w:after="0" w:line="240" w:lineRule="auto"/>
              <w:jc w:val="center"/>
              <w:rPr>
                <w:rFonts w:eastAsia="Times New Roman" w:cstheme="minorHAnsi"/>
                <w:noProof/>
              </w:rPr>
            </w:pPr>
            <w:r>
              <w:rPr>
                <w:noProof/>
              </w:rPr>
              <w:t>1.43</w:t>
            </w:r>
          </w:p>
        </w:tc>
        <w:tc>
          <w:tcPr>
            <w:tcW w:w="1276" w:type="dxa"/>
            <w:shd w:val="clear" w:color="auto" w:fill="C4EFCE"/>
            <w:noWrap/>
            <w:vAlign w:val="center"/>
          </w:tcPr>
          <w:p w14:paraId="6F139DBF" w14:textId="6AAC2AA7" w:rsidR="00E040FD" w:rsidRDefault="00740D64">
            <w:pPr>
              <w:pStyle w:val="P68B1DB1-Normal12"/>
              <w:spacing w:after="0" w:line="240" w:lineRule="auto"/>
              <w:jc w:val="center"/>
              <w:rPr>
                <w:rFonts w:eastAsia="Times New Roman" w:cstheme="minorHAnsi"/>
                <w:noProof/>
                <w:highlight w:val="cyan"/>
              </w:rPr>
            </w:pPr>
            <w:r>
              <w:rPr>
                <w:noProof/>
              </w:rPr>
              <w:t>RE-C01-i10</w:t>
            </w:r>
          </w:p>
        </w:tc>
        <w:tc>
          <w:tcPr>
            <w:tcW w:w="992" w:type="dxa"/>
            <w:shd w:val="clear" w:color="auto" w:fill="C4EFCE"/>
            <w:noWrap/>
            <w:vAlign w:val="center"/>
          </w:tcPr>
          <w:p w14:paraId="5E979747" w14:textId="69ED3709" w:rsidR="00E040FD" w:rsidRDefault="00740D64">
            <w:pPr>
              <w:pStyle w:val="P68B1DB1-Normal12"/>
              <w:spacing w:after="0" w:line="240" w:lineRule="auto"/>
              <w:jc w:val="center"/>
              <w:rPr>
                <w:rFonts w:eastAsia="Times New Roman" w:cstheme="minorHAnsi"/>
                <w:noProof/>
                <w:highlight w:val="cyan"/>
              </w:rPr>
            </w:pPr>
            <w:r>
              <w:rPr>
                <w:noProof/>
              </w:rPr>
              <w:t>T</w:t>
            </w:r>
          </w:p>
        </w:tc>
        <w:tc>
          <w:tcPr>
            <w:tcW w:w="1843" w:type="dxa"/>
            <w:shd w:val="clear" w:color="auto" w:fill="C4EFCE"/>
            <w:noWrap/>
            <w:vAlign w:val="center"/>
          </w:tcPr>
          <w:p w14:paraId="78937866" w14:textId="4C654376" w:rsidR="00E040FD" w:rsidRDefault="00740D64">
            <w:pPr>
              <w:pStyle w:val="P68B1DB1-Normal12"/>
              <w:spacing w:after="0" w:line="240" w:lineRule="auto"/>
              <w:jc w:val="center"/>
              <w:rPr>
                <w:rFonts w:eastAsia="Times New Roman" w:cstheme="minorHAnsi"/>
                <w:noProof/>
                <w:highlight w:val="cyan"/>
              </w:rPr>
            </w:pPr>
            <w:r>
              <w:rPr>
                <w:noProof/>
              </w:rPr>
              <w:t>Inköp av tung medicinsk utrustning</w:t>
            </w:r>
          </w:p>
        </w:tc>
        <w:tc>
          <w:tcPr>
            <w:tcW w:w="1418" w:type="dxa"/>
            <w:shd w:val="clear" w:color="auto" w:fill="C4EFCE"/>
            <w:noWrap/>
            <w:vAlign w:val="center"/>
          </w:tcPr>
          <w:p w14:paraId="4C7ED9B0" w14:textId="77777777" w:rsidR="00E040FD" w:rsidRDefault="00E040FD">
            <w:pPr>
              <w:spacing w:after="0" w:line="240" w:lineRule="auto"/>
              <w:jc w:val="center"/>
              <w:rPr>
                <w:rFonts w:eastAsia="Times New Roman" w:cstheme="minorHAnsi"/>
                <w:noProof/>
                <w:sz w:val="16"/>
                <w:highlight w:val="cyan"/>
              </w:rPr>
            </w:pPr>
          </w:p>
        </w:tc>
        <w:tc>
          <w:tcPr>
            <w:tcW w:w="1164" w:type="dxa"/>
            <w:shd w:val="clear" w:color="auto" w:fill="C4EFCE"/>
            <w:noWrap/>
            <w:vAlign w:val="center"/>
          </w:tcPr>
          <w:p w14:paraId="39721FDC" w14:textId="63D9F4FC" w:rsidR="00E040FD" w:rsidRDefault="00740D64">
            <w:pPr>
              <w:pStyle w:val="P68B1DB1-Normal12"/>
              <w:spacing w:after="0" w:line="240" w:lineRule="auto"/>
              <w:jc w:val="center"/>
              <w:rPr>
                <w:rFonts w:eastAsia="Times New Roman" w:cstheme="minorHAnsi"/>
                <w:noProof/>
              </w:rPr>
            </w:pPr>
            <w:r>
              <w:rPr>
                <w:noProof/>
              </w:rPr>
              <w:t xml:space="preserve">Antal </w:t>
            </w:r>
          </w:p>
        </w:tc>
        <w:tc>
          <w:tcPr>
            <w:tcW w:w="962" w:type="dxa"/>
            <w:shd w:val="clear" w:color="auto" w:fill="C4EFCE"/>
            <w:noWrap/>
            <w:vAlign w:val="center"/>
          </w:tcPr>
          <w:p w14:paraId="6A3D1C7A" w14:textId="3B984FB3" w:rsidR="00E040FD" w:rsidRDefault="00740D64">
            <w:pPr>
              <w:pStyle w:val="P68B1DB1-Normal12"/>
              <w:spacing w:after="0" w:line="240" w:lineRule="auto"/>
              <w:jc w:val="center"/>
              <w:rPr>
                <w:rFonts w:eastAsia="Times New Roman" w:cstheme="minorHAnsi"/>
                <w:noProof/>
              </w:rPr>
            </w:pPr>
            <w:r>
              <w:rPr>
                <w:noProof/>
              </w:rPr>
              <w:t>19</w:t>
            </w:r>
          </w:p>
        </w:tc>
        <w:tc>
          <w:tcPr>
            <w:tcW w:w="805" w:type="dxa"/>
            <w:shd w:val="clear" w:color="auto" w:fill="C4EFCE"/>
            <w:noWrap/>
            <w:vAlign w:val="center"/>
          </w:tcPr>
          <w:p w14:paraId="457A6131" w14:textId="5D364BEF" w:rsidR="00E040FD" w:rsidRDefault="00740D64">
            <w:pPr>
              <w:pStyle w:val="P68B1DB1-Normal12"/>
              <w:spacing w:after="0" w:line="240" w:lineRule="auto"/>
              <w:jc w:val="center"/>
              <w:rPr>
                <w:rFonts w:eastAsia="Times New Roman" w:cstheme="minorHAnsi"/>
                <w:noProof/>
              </w:rPr>
            </w:pPr>
            <w:r>
              <w:rPr>
                <w:noProof/>
              </w:rPr>
              <w:t>68</w:t>
            </w:r>
          </w:p>
        </w:tc>
        <w:tc>
          <w:tcPr>
            <w:tcW w:w="833" w:type="dxa"/>
            <w:gridSpan w:val="2"/>
            <w:shd w:val="clear" w:color="auto" w:fill="C4EFCE"/>
            <w:noWrap/>
            <w:vAlign w:val="center"/>
          </w:tcPr>
          <w:p w14:paraId="02EF6BB9" w14:textId="070BFBBA" w:rsidR="00E040FD" w:rsidRDefault="00740D64">
            <w:pPr>
              <w:pStyle w:val="P68B1DB1-Normal12"/>
              <w:spacing w:after="0" w:line="240" w:lineRule="auto"/>
              <w:jc w:val="center"/>
              <w:rPr>
                <w:rFonts w:eastAsia="Times New Roman" w:cstheme="minorHAnsi"/>
                <w:noProof/>
                <w:highlight w:val="cyan"/>
              </w:rPr>
            </w:pPr>
            <w:r>
              <w:rPr>
                <w:noProof/>
              </w:rPr>
              <w:t>KVARTAL 2</w:t>
            </w:r>
          </w:p>
        </w:tc>
        <w:tc>
          <w:tcPr>
            <w:tcW w:w="901" w:type="dxa"/>
            <w:shd w:val="clear" w:color="auto" w:fill="C4EFCE"/>
            <w:noWrap/>
            <w:vAlign w:val="center"/>
          </w:tcPr>
          <w:p w14:paraId="3604404B" w14:textId="71C4B142" w:rsidR="00E040FD" w:rsidRDefault="00740D64">
            <w:pPr>
              <w:pStyle w:val="P68B1DB1-Normal12"/>
              <w:spacing w:after="0" w:line="240" w:lineRule="auto"/>
              <w:jc w:val="center"/>
              <w:rPr>
                <w:rFonts w:eastAsia="Times New Roman" w:cstheme="minorHAnsi"/>
                <w:noProof/>
                <w:highlight w:val="cyan"/>
              </w:rPr>
            </w:pPr>
            <w:r>
              <w:rPr>
                <w:noProof/>
              </w:rPr>
              <w:t>2026</w:t>
            </w:r>
          </w:p>
        </w:tc>
        <w:tc>
          <w:tcPr>
            <w:tcW w:w="3981" w:type="dxa"/>
            <w:shd w:val="clear" w:color="auto" w:fill="C4EFCE"/>
            <w:noWrap/>
            <w:vAlign w:val="center"/>
          </w:tcPr>
          <w:p w14:paraId="5C235DE8" w14:textId="2F003924" w:rsidR="00E040FD" w:rsidRDefault="00740D64">
            <w:pPr>
              <w:pStyle w:val="P68B1DB1-Normal12"/>
              <w:spacing w:after="0" w:line="240" w:lineRule="auto"/>
              <w:jc w:val="both"/>
              <w:rPr>
                <w:rFonts w:eastAsia="Times New Roman"/>
                <w:noProof/>
                <w:highlight w:val="cyan"/>
              </w:rPr>
            </w:pPr>
            <w:r>
              <w:rPr>
                <w:noProof/>
              </w:rPr>
              <w:t xml:space="preserve">Antal tung medicinsk utrustning som köpts in till NHS sjukhus i enlighet med de behov som identifierats i rapporten, såsom anges i milstolpe 1.41. </w:t>
            </w:r>
          </w:p>
        </w:tc>
      </w:tr>
    </w:tbl>
    <w:p w14:paraId="5B15A5F5" w14:textId="77777777" w:rsidR="00E040FD" w:rsidRDefault="00E040FD">
      <w:pPr>
        <w:rPr>
          <w:rFonts w:ascii="Times New Roman" w:eastAsiaTheme="minorEastAsia" w:hAnsi="Times New Roman" w:cs="Times New Roman"/>
          <w:noProof/>
          <w:sz w:val="24"/>
        </w:rPr>
        <w:sectPr w:rsidR="00E040FD" w:rsidSect="00E00EDD">
          <w:headerReference w:type="even" r:id="rId36"/>
          <w:headerReference w:type="default" r:id="rId37"/>
          <w:footerReference w:type="even" r:id="rId38"/>
          <w:footerReference w:type="default" r:id="rId39"/>
          <w:headerReference w:type="first" r:id="rId40"/>
          <w:footerReference w:type="first" r:id="rId41"/>
          <w:pgSz w:w="16839" w:h="11907" w:orient="landscape"/>
          <w:pgMar w:top="1134" w:right="1134" w:bottom="1134" w:left="1134" w:header="567" w:footer="567" w:gutter="0"/>
          <w:cols w:space="720"/>
          <w:docGrid w:linePitch="360"/>
        </w:sectPr>
      </w:pPr>
    </w:p>
    <w:p w14:paraId="688C9CBD"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B. KOMPONENT 2: Bostäder</w:t>
      </w:r>
    </w:p>
    <w:p w14:paraId="7565FEB6"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del av Portugals återhämtnings- och resiliensplan tar itu med utmaningarna i samband med den strukturella bristen på permanenta och tillfälliga bostadslösningar för mer utsatta grupper, både på det portugisiska fastlandet och i de autonoma regionerna Azorerna och Madeira, samtidigt som den indirekt bidrar till att stärka det sociala trygghetssystemet. Offentligt boende utgör endast 2 % av det totala beståndet i Portugal och anses vara otillräckligt för att tillgodose behoven hos dem som har det sämst ställt och som riskerar social utestängning. </w:t>
      </w:r>
    </w:p>
    <w:p w14:paraId="64E97637"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 viktigaste målen för komponenten är följande: i) att öka utbudet av subventionerade och överkomliga bostäder (inbegripet att tillgodose andra relaterade behov, såsom brist på grundläggande infrastruktur och utrustning, ohälsosamma och osäkra bostadsorter, otrygghet eller brist på avtalsförhållanden, överbeläggning eller otillräckliga bostäder för de särskilda behoven hos boende med funktionsnedsättning eller nedsatt rörlighet), II) Att skapa ett nationellt offentligt svar på akuta och tillfälliga boendebehov till följd av oväntade eller oförutsebara händelser såsom naturkatastrofer, bränder, pandemier, migrationsrörelser, asylansökningar eller situationer med överhängande risk, såsom våld i hemmet, människohandel, risk för vräkningar och annat. och iii) öka utbudet av studentbostäder till rimliga priser. Investeringarna i komponenten omfattar uppförande av nya bostäder och renovering av befintliga bostäder. </w:t>
      </w:r>
    </w:p>
    <w:p w14:paraId="6B68FD9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del bidrar till att ta itu med de landsspecifika rekommendationer som utfärdats till Portugal inom ramen för den europeiska planeringsterminen 2019 och 2020, särskilt följande: Förbättra det sociala skyddsnätets effektivitet och tillräcklighet (landsspecifik rekommendation 2 2019). Garantera tillräckligt och effektivt socialt skydd och inkomststöd (landsspecifik rekommendation 2 2020), öka antalet utexaminerade från högre utbildning, särskilt inom naturvetenskap och informationsteknik (genom investeringar i studentbostäder) (landsspecifik rekommendation 2 2019). Komponenten bidrar också till att följa den landsspecifika rekommendationen om klimatomställningen (landsspecifik rekommendation 3 2020). Komponenten bidrar också till genomförandet av flera principer i den europeiska pelaren för sociala rättigheter, såsom ”Tillgång till subventionerat boende eller bostadsstöd av god kvalitet ska tillhandahållas för behövande” (den europeiska pelaren för sociala rättigheter 19 a). Utsatta personer har rätt till lämpligt stöd och skydd mot tvångsavhysning (den europeiska pelaren för sociala rättigheter 19.b). ”Tillräckligt skydd och lämpliga tjänster ska tillhandahållas hemlösa för att främja deras sociala delaktighet” (den europeiska pelaren för sociala rättigheter 19 c). ”Socialt skydd” (den europeiska pelaren för sociala rättigheter 12). Inkludering av personer med funktionsnedsättning (den europeiska pelaren för sociala rättigheter 17), ”Tillgång till samhällsviktiga tjänster” (den europeiska pelaren för sociala rättigheter 20). ”Utbildning och livslångt lärande: Var och en har rätt till god, inkluderande utbildning och livslångt lärande för att bibehålla och tillägna sig färdigheter som gör det möjligt för dem att delta fullt ut i samhället och framgångsrikt hantera övergångar på arbetsmarknaden (den europeiska pelaren för sociala rättigheter 1). Miljödimensionerna ska också integreras, särskilt genom främjande av nybyggnation med höga standarder för energieffektivitet. </w:t>
      </w:r>
    </w:p>
    <w:p w14:paraId="35D63D83" w14:textId="77777777" w:rsidR="00E040FD" w:rsidRDefault="00740D64">
      <w:pPr>
        <w:pStyle w:val="P68B1DB1-Normal4"/>
        <w:keepNext/>
        <w:spacing w:before="40" w:after="0" w:line="259" w:lineRule="auto"/>
        <w:jc w:val="both"/>
        <w:rPr>
          <w:rFonts w:eastAsiaTheme="minorEastAsia" w:cs="Times New Roman"/>
          <w:noProof/>
        </w:rPr>
      </w:pPr>
      <w:r>
        <w:rPr>
          <w:noProof/>
        </w:rPr>
        <w:t>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w:t>
      </w:r>
    </w:p>
    <w:p w14:paraId="6D10CF73" w14:textId="24918575" w:rsidR="00E040FD" w:rsidRDefault="00740D64">
      <w:pPr>
        <w:rPr>
          <w:rFonts w:ascii="Times New Roman" w:eastAsiaTheme="minorEastAsia" w:hAnsi="Times New Roman" w:cs="Times New Roman"/>
          <w:b/>
          <w:noProof/>
          <w:sz w:val="24"/>
          <w:u w:val="single"/>
        </w:rPr>
      </w:pPr>
      <w:r>
        <w:rPr>
          <w:noProof/>
        </w:rPr>
        <w:br w:type="page"/>
      </w:r>
      <w:r>
        <w:rPr>
          <w:rFonts w:ascii="Times New Roman" w:hAnsi="Times New Roman"/>
          <w:b/>
          <w:noProof/>
          <w:sz w:val="24"/>
          <w:u w:val="single"/>
        </w:rPr>
        <w:t>B.1 Beskrivning av reformer och investeringar avseende icke återbetalningspliktigt ekonomiskt stöd</w:t>
      </w:r>
    </w:p>
    <w:p w14:paraId="38F34ED6" w14:textId="77777777" w:rsidR="00E040FD" w:rsidRDefault="00740D64">
      <w:pPr>
        <w:pStyle w:val="P68B1DB1-Normal5"/>
        <w:spacing w:before="240" w:after="0" w:line="259" w:lineRule="auto"/>
        <w:ind w:left="851"/>
        <w:jc w:val="both"/>
        <w:outlineLvl w:val="2"/>
        <w:rPr>
          <w:rFonts w:ascii="Segoe UI" w:eastAsiaTheme="minorEastAsia" w:hAnsi="Segoe UI" w:cs="Segoe UI"/>
          <w:noProof/>
          <w:sz w:val="18"/>
        </w:rPr>
      </w:pPr>
      <w:r>
        <w:rPr>
          <w:noProof/>
        </w:rPr>
        <w:t>Reform RE-r04: Nationell brådskande och tillfällig bostadsplan</w:t>
      </w:r>
      <w:r>
        <w:rPr>
          <w:b/>
          <w:noProof/>
        </w:rPr>
        <w:t xml:space="preserve"> </w:t>
      </w:r>
    </w:p>
    <w:p w14:paraId="69243C7C" w14:textId="77777777" w:rsidR="00E040FD" w:rsidRDefault="00740D64">
      <w:pPr>
        <w:pStyle w:val="P68B1DB1-Normal4"/>
        <w:keepNext/>
        <w:spacing w:before="40" w:after="0" w:line="259" w:lineRule="auto"/>
        <w:jc w:val="both"/>
        <w:rPr>
          <w:rFonts w:eastAsiaTheme="minorEastAsia" w:cs="Times New Roman"/>
          <w:noProof/>
        </w:rPr>
      </w:pPr>
      <w:r>
        <w:rPr>
          <w:noProof/>
        </w:rPr>
        <w:t>Syftet med reformen är att skapa ett nationellt offentligt nätverk för att tillgodose akuta och tillfälliga bostadsbehov som ett led i förnyelsen av bostadspolitiken i Portugal, i syfte att skydda och stärka de identifierade målgrupperna, främja social integration och bekämpa ojämlikheter.</w:t>
      </w:r>
    </w:p>
    <w:p w14:paraId="2E314B99"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Reformen ska bestå i att skapa strukturerade och övergripande insatser för människor i behov av nödbostäder eller tillfälliga boendelösningar och utveckla den rättsliga ram och det regelverk som krävs för att fastställa styrningsmodellen för Investering RE-C02 – i02 (nationellt krisbidrag och tillfälligt boende) och fastställa metoder för vägledning och hänvisning till boende och socialt stöd för de personer som får stöd. </w:t>
      </w:r>
    </w:p>
    <w:p w14:paraId="342DEB4C" w14:textId="77777777" w:rsidR="00E040FD" w:rsidRDefault="00740D64">
      <w:pPr>
        <w:pStyle w:val="P68B1DB1-Normal4"/>
        <w:keepNext/>
        <w:spacing w:before="40" w:after="0" w:line="259" w:lineRule="auto"/>
        <w:jc w:val="both"/>
        <w:rPr>
          <w:rFonts w:eastAsiaTheme="minorEastAsia" w:cs="Times New Roman"/>
          <w:noProof/>
        </w:rPr>
      </w:pPr>
      <w:r>
        <w:rPr>
          <w:noProof/>
        </w:rPr>
        <w:t>Genomförandet av reformen skulle vara slutfört senast den 31 juni 2021.</w:t>
      </w:r>
    </w:p>
    <w:p w14:paraId="60A89DB8" w14:textId="77777777" w:rsidR="00E040FD" w:rsidRDefault="00740D64">
      <w:pPr>
        <w:pStyle w:val="P68B1DB1-Normal5"/>
        <w:spacing w:before="240" w:after="0" w:line="259" w:lineRule="auto"/>
        <w:ind w:left="851"/>
        <w:jc w:val="both"/>
        <w:outlineLvl w:val="2"/>
        <w:rPr>
          <w:rFonts w:eastAsiaTheme="minorEastAsia" w:cs="Times New Roman"/>
          <w:b/>
          <w:noProof/>
        </w:rPr>
      </w:pPr>
      <w:r>
        <w:rPr>
          <w:noProof/>
        </w:rPr>
        <w:t>Investering RE-C02-i01: Stödprogram för tillgång till bostäder</w:t>
      </w:r>
    </w:p>
    <w:p w14:paraId="3FB79740" w14:textId="77777777" w:rsidR="00E040FD" w:rsidRDefault="00740D64">
      <w:pPr>
        <w:pStyle w:val="P68B1DB1-Normal4"/>
        <w:keepNext/>
        <w:spacing w:before="40" w:after="0" w:line="259" w:lineRule="auto"/>
        <w:jc w:val="both"/>
        <w:rPr>
          <w:rFonts w:eastAsiaTheme="minorEastAsia" w:cs="Times New Roman"/>
          <w:noProof/>
        </w:rPr>
      </w:pPr>
      <w:r>
        <w:rPr>
          <w:noProof/>
        </w:rPr>
        <w:t>Syftet med investeringen är att trygga anständiga och lämpliga bostäder för de familjer som har störst behov och för de mest utsatta grupperna. </w:t>
      </w:r>
    </w:p>
    <w:p w14:paraId="01325250" w14:textId="575F3908"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bestå i att huvudsakligen tillhandahålla subventionerade bostäder, men också att ge ekonomiskt stöd till renovering eller byggande till identifierade målgrupper som inte har ekonomisk kapacitet att garantera att deras egna bostäder är tillräckliga för minst 26 000 hushåll senast 2026. Investeringarna ska bestå i uppförande av nya byggnader eller renovering av befintliga bostäder samt, vid behov, förvärv av nya byggnader eller leasing av byggnader för andrahandsuthyrning. </w:t>
      </w:r>
    </w:p>
    <w:p w14:paraId="028C754C"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30 juni 2026.</w:t>
      </w:r>
    </w:p>
    <w:p w14:paraId="617C9ADB" w14:textId="77777777" w:rsidR="00E040FD" w:rsidRDefault="00740D64">
      <w:pPr>
        <w:pStyle w:val="P68B1DB1-Normal5"/>
        <w:spacing w:before="240" w:after="0" w:line="259" w:lineRule="auto"/>
        <w:ind w:left="851"/>
        <w:jc w:val="both"/>
        <w:outlineLvl w:val="2"/>
        <w:rPr>
          <w:rFonts w:eastAsia="Times New Roman" w:cs="Times New Roman"/>
          <w:noProof/>
        </w:rPr>
      </w:pPr>
      <w:r>
        <w:rPr>
          <w:noProof/>
        </w:rPr>
        <w:t>Investering RE-C02-i02: Nationellt krisbidrag och tillfälligt boende</w:t>
      </w:r>
    </w:p>
    <w:p w14:paraId="044DBC62" w14:textId="4AD6F74F" w:rsidR="00E040FD" w:rsidRDefault="00740D64">
      <w:pPr>
        <w:pStyle w:val="P68B1DB1-Normal4"/>
        <w:spacing w:before="40" w:after="0" w:line="259" w:lineRule="auto"/>
        <w:jc w:val="both"/>
        <w:rPr>
          <w:rFonts w:eastAsia="Times New Roman" w:cs="Times New Roman"/>
          <w:noProof/>
        </w:rPr>
      </w:pPr>
      <w:r>
        <w:rPr>
          <w:noProof/>
        </w:rPr>
        <w:t xml:space="preserve">Syftet med denna investering är att tillhandahålla tillfälliga bostäder eller nödbostäder för utsatta befolkningsgrupper på det portugisiska fastlandet. Denna investering syftar till att genomföra reformen av den nationella brådskande och tillfälliga bostadsplan som ingår i komponenten. Följande risker eller sociala nödsituationer utgör ramen för de planerade insatserna: oförutsebara eller exceptionella händelser, behovet av brådskande inkvartering och egenmakt för personer som tillfälligt saknar bostad, inbegripet offer för våld i hemmet, offer för människohandel, personer som åtnjuter internationellt skydd, hemlösa. extraordinära och vederbörligen motiverade behov av brådskande och tillfälligt boende för personer som löper överhängande och faktisk risk att lämnas utan inkvartering eller som håller på att avinstitutionaliseras. bostadsbehov, tillfälliga och oumbärliga för allmänintresset, för statliga tjänstemän och övriga anställda. </w:t>
      </w:r>
    </w:p>
    <w:p w14:paraId="69716809" w14:textId="4ECEDCA8" w:rsidR="00E040FD" w:rsidRDefault="00740D64">
      <w:pPr>
        <w:pStyle w:val="P68B1DB1-Normal4"/>
        <w:keepNext/>
        <w:spacing w:before="40" w:after="0" w:line="259" w:lineRule="auto"/>
        <w:jc w:val="both"/>
        <w:rPr>
          <w:rFonts w:eastAsia="Times New Roman" w:cs="Times New Roman"/>
          <w:noProof/>
        </w:rPr>
      </w:pPr>
      <w:r>
        <w:rPr>
          <w:noProof/>
        </w:rPr>
        <w:t>Investeringen ska bestå av 2 000 nödbostäder samt 473 boendeenheter, tre block för säkerhetsstyrkor (i fall som motiveras av allmänintresset) och fem centrum för tillfällig inkvartering av humanitära skäl eller säkerhetsskäl.</w:t>
      </w:r>
    </w:p>
    <w:p w14:paraId="0C5E7164" w14:textId="500D2C39" w:rsidR="00E040FD" w:rsidRDefault="00740D64">
      <w:pPr>
        <w:pStyle w:val="P68B1DB1-Normal4"/>
        <w:keepNext/>
        <w:spacing w:before="40" w:after="0" w:line="259" w:lineRule="auto"/>
        <w:jc w:val="both"/>
        <w:rPr>
          <w:rFonts w:eastAsia="Times New Roman" w:cs="Times New Roman"/>
          <w:noProof/>
        </w:rPr>
      </w:pPr>
      <w:r>
        <w:rPr>
          <w:noProof/>
        </w:rPr>
        <w:t>Investeringen ska vara genomförd senast den 30 juni 2026.</w:t>
      </w:r>
    </w:p>
    <w:p w14:paraId="2DD99C3E" w14:textId="77777777" w:rsidR="00E040FD" w:rsidRDefault="00E040FD">
      <w:pPr>
        <w:keepNext/>
        <w:spacing w:before="40" w:after="0" w:line="259" w:lineRule="auto"/>
        <w:jc w:val="both"/>
        <w:rPr>
          <w:rFonts w:ascii="Times New Roman" w:eastAsia="Times New Roman" w:hAnsi="Times New Roman" w:cs="Times New Roman"/>
          <w:noProof/>
          <w:sz w:val="24"/>
        </w:rPr>
        <w:sectPr w:rsidR="00E040FD" w:rsidSect="00E00EDD">
          <w:headerReference w:type="even" r:id="rId42"/>
          <w:headerReference w:type="default" r:id="rId43"/>
          <w:footerReference w:type="even" r:id="rId44"/>
          <w:footerReference w:type="default" r:id="rId45"/>
          <w:headerReference w:type="first" r:id="rId46"/>
          <w:footerReference w:type="first" r:id="rId47"/>
          <w:pgSz w:w="11907" w:h="16839"/>
          <w:pgMar w:top="1134" w:right="1134" w:bottom="1134" w:left="1134" w:header="567" w:footer="567" w:gutter="0"/>
          <w:cols w:space="720"/>
          <w:docGrid w:linePitch="360"/>
        </w:sectPr>
      </w:pPr>
    </w:p>
    <w:p w14:paraId="1E30C2F3" w14:textId="77777777" w:rsidR="00E040FD" w:rsidRDefault="00740D64">
      <w:pPr>
        <w:pStyle w:val="P68B1DB1-Normal5"/>
        <w:spacing w:before="240" w:after="0" w:line="259" w:lineRule="auto"/>
        <w:ind w:left="851"/>
        <w:jc w:val="both"/>
        <w:outlineLvl w:val="2"/>
        <w:rPr>
          <w:rFonts w:eastAsia="Times New Roman" w:cs="Times New Roman"/>
          <w:noProof/>
        </w:rPr>
      </w:pPr>
      <w:r>
        <w:rPr>
          <w:noProof/>
        </w:rPr>
        <w:t>Investering RE-C02-i03-RAM: Förstärkning av utbudet av subventionerade bostäder i den autonoma regionen Madeira</w:t>
      </w:r>
    </w:p>
    <w:p w14:paraId="4FB3B1E7" w14:textId="77777777" w:rsidR="00E040FD" w:rsidRDefault="00740D64">
      <w:pPr>
        <w:pStyle w:val="P68B1DB1-Normal4"/>
        <w:keepNext/>
        <w:spacing w:before="40" w:after="0" w:line="259" w:lineRule="auto"/>
        <w:jc w:val="both"/>
        <w:rPr>
          <w:rFonts w:eastAsia="Times New Roman" w:cs="Times New Roman"/>
          <w:noProof/>
        </w:rPr>
      </w:pPr>
      <w:r>
        <w:rPr>
          <w:noProof/>
        </w:rPr>
        <w:t xml:space="preserve">Syftet med denna investering är att tillgodose bostadsbehoven hos familjer som lever under svåra förhållanden och som inte har ekonomisk kapacitet att täcka kostnaderna för tillgång till lämpliga bostäder i den autonoma regionen Madeira. </w:t>
      </w:r>
    </w:p>
    <w:p w14:paraId="3BBCCBA7" w14:textId="70F3E827" w:rsidR="00E040FD" w:rsidRDefault="00740D64">
      <w:pPr>
        <w:pStyle w:val="P68B1DB1-Normal4"/>
        <w:keepNext/>
        <w:spacing w:before="40" w:after="0" w:line="259" w:lineRule="auto"/>
        <w:jc w:val="both"/>
        <w:rPr>
          <w:rFonts w:eastAsia="Times New Roman" w:cs="Times New Roman"/>
          <w:noProof/>
        </w:rPr>
      </w:pPr>
      <w:r>
        <w:rPr>
          <w:noProof/>
        </w:rPr>
        <w:t>Investeringen ska bestå av uppförande och/eller förvärv av subventionerade bostäder för 805 hushåll (investeringen ska även omfatta studier, projekt, markförvärv och byggande), stöd till rehabilitering av de 325 privata bostäderna (inklusive förbättrad energiprestanda). Investeringen omfattar också upphandling av tjänster för utveckling av informationssystem och e-förvaltningslösningar inom bostadssektorn.</w:t>
      </w:r>
    </w:p>
    <w:p w14:paraId="54DD8C40" w14:textId="77777777" w:rsidR="00E040FD" w:rsidRDefault="00740D64">
      <w:pPr>
        <w:pStyle w:val="P68B1DB1-Normal4"/>
        <w:keepNext/>
        <w:spacing w:before="40" w:after="0" w:line="259" w:lineRule="auto"/>
        <w:jc w:val="both"/>
        <w:rPr>
          <w:rFonts w:eastAsia="Times New Roman" w:cs="Times New Roman"/>
          <w:noProof/>
        </w:rPr>
      </w:pPr>
      <w:r>
        <w:rPr>
          <w:noProof/>
        </w:rPr>
        <w:t>Investeringen ska vara genomförd senast den 30 juni 2026.</w:t>
      </w:r>
    </w:p>
    <w:p w14:paraId="525A5122" w14:textId="2ED4CDFD" w:rsidR="00E040FD" w:rsidRDefault="00740D64">
      <w:pPr>
        <w:pStyle w:val="P68B1DB1-Normal5"/>
        <w:spacing w:before="240" w:after="0" w:line="259" w:lineRule="auto"/>
        <w:ind w:left="851"/>
        <w:jc w:val="both"/>
        <w:outlineLvl w:val="2"/>
        <w:rPr>
          <w:rFonts w:eastAsiaTheme="minorEastAsia" w:cs="Times New Roman"/>
          <w:b/>
          <w:noProof/>
        </w:rPr>
      </w:pPr>
      <w:r>
        <w:rPr>
          <w:noProof/>
        </w:rPr>
        <w:t>Investering RE-02-i04-RAA: Förbättrade bostadsförhållanden i bostadsbeståndet i den autonoma regionen Azorerna</w:t>
      </w:r>
    </w:p>
    <w:p w14:paraId="6DE7760B" w14:textId="77777777" w:rsidR="00E040FD" w:rsidRDefault="00740D64">
      <w:pPr>
        <w:pStyle w:val="P68B1DB1-Normal4"/>
        <w:keepNext/>
        <w:spacing w:before="40" w:after="0" w:line="259" w:lineRule="auto"/>
        <w:jc w:val="both"/>
        <w:rPr>
          <w:rFonts w:eastAsia="Times New Roman" w:cs="Times New Roman"/>
          <w:noProof/>
        </w:rPr>
      </w:pPr>
      <w:r>
        <w:rPr>
          <w:noProof/>
        </w:rPr>
        <w:t xml:space="preserve">Syftet med investeringen är att stärka bostadserbjudandena på olika nivåer, efter en märkbar försämring av försämringen av byggnaderna i den autonoma regionen Azorerna och en minskning av utbudet på fastighetsmarknaden. </w:t>
      </w:r>
    </w:p>
    <w:p w14:paraId="63A86507" w14:textId="455DA13E" w:rsidR="00E040FD" w:rsidRDefault="00740D64">
      <w:pPr>
        <w:pStyle w:val="P68B1DB1-Normal4"/>
        <w:keepNext/>
        <w:spacing w:before="40" w:after="0" w:line="259" w:lineRule="auto"/>
        <w:jc w:val="both"/>
        <w:rPr>
          <w:rFonts w:eastAsia="Times New Roman" w:cs="Times New Roman"/>
          <w:noProof/>
        </w:rPr>
      </w:pPr>
      <w:r>
        <w:rPr>
          <w:noProof/>
        </w:rPr>
        <w:t>Investeringen ska på olika öar bestå av</w:t>
      </w:r>
    </w:p>
    <w:p w14:paraId="545C36D3" w14:textId="581E192D" w:rsidR="00E040FD" w:rsidRDefault="00740D64">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uppförandet av 100 byggnader </w:t>
      </w:r>
    </w:p>
    <w:p w14:paraId="0C226449" w14:textId="15B8BAAD" w:rsidR="00E040FD" w:rsidRDefault="00740D64">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färdigställande av 75 lägenheter. och </w:t>
      </w:r>
    </w:p>
    <w:p w14:paraId="51B9C6BC" w14:textId="10E25141" w:rsidR="00E040FD" w:rsidRDefault="00740D64">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renovering av byggnader (totalrenovering av 63 byggnader, medelstor renovering av 329 byggnader och små ingrepp i 135 byggnader) för totalt 527 insatser. </w:t>
      </w:r>
    </w:p>
    <w:p w14:paraId="3F09A5C0" w14:textId="77777777" w:rsidR="00E040FD" w:rsidRDefault="00740D64">
      <w:pPr>
        <w:pStyle w:val="P68B1DB1-Normal4"/>
        <w:keepNext/>
        <w:spacing w:before="40" w:after="0" w:line="259" w:lineRule="auto"/>
        <w:jc w:val="both"/>
        <w:rPr>
          <w:rFonts w:eastAsia="Times New Roman" w:cs="Times New Roman"/>
          <w:noProof/>
        </w:rPr>
      </w:pPr>
      <w:r>
        <w:rPr>
          <w:noProof/>
        </w:rPr>
        <w:t>Investeringen ska vara genomförd senast den 31 december 2025.</w:t>
      </w:r>
    </w:p>
    <w:p w14:paraId="0311D212" w14:textId="7E660E09" w:rsidR="00E040FD" w:rsidRDefault="00740D64">
      <w:pPr>
        <w:pStyle w:val="P68B1DB1-Normal5"/>
        <w:spacing w:before="240" w:after="0" w:line="259" w:lineRule="auto"/>
        <w:ind w:left="851"/>
        <w:jc w:val="both"/>
        <w:outlineLvl w:val="2"/>
        <w:rPr>
          <w:rFonts w:eastAsia="Times New Roman" w:cs="Times New Roman"/>
          <w:noProof/>
        </w:rPr>
      </w:pPr>
      <w:bookmarkStart w:id="3" w:name="_Toc137472439"/>
      <w:r>
        <w:rPr>
          <w:noProof/>
        </w:rPr>
        <w:t>Investering RE-C02-i07-RAA: Infrastruktur för tomtmark för bostäder</w:t>
      </w:r>
      <w:bookmarkEnd w:id="3"/>
    </w:p>
    <w:p w14:paraId="5DB4B2B6" w14:textId="2335FBC6" w:rsidR="00E040FD" w:rsidRDefault="00740D64">
      <w:pPr>
        <w:pStyle w:val="P68B1DB1-Normal4"/>
        <w:keepNext/>
        <w:spacing w:before="40" w:after="0" w:line="259" w:lineRule="auto"/>
        <w:jc w:val="both"/>
        <w:rPr>
          <w:rFonts w:eastAsia="Times New Roman" w:cs="Times New Roman"/>
          <w:noProof/>
        </w:rPr>
      </w:pPr>
      <w:r>
        <w:rPr>
          <w:noProof/>
        </w:rPr>
        <w:t>Syftet med investeringen är att skapa eller förbättra infrastruktur för markområden i den autonoma regionen Azorerna och att tilldela dem till utvalda kandidater. Syftet är att göra det möjligt för de utvalda kandidaterna att uppföra sina egna hus på dessa tomter till kontrollerad kostnad. Detta program fastställs i det regionala lagdekretet nr 21/2005/A av den 3 augusti 2005. Investeringen ska omfatta 145 skiften.</w:t>
      </w:r>
    </w:p>
    <w:p w14:paraId="7838D678" w14:textId="77777777" w:rsidR="00E040FD" w:rsidRDefault="00740D64">
      <w:pPr>
        <w:pStyle w:val="P68B1DB1-Normal4"/>
        <w:keepNext/>
        <w:spacing w:before="40" w:after="0" w:line="259" w:lineRule="auto"/>
        <w:jc w:val="both"/>
        <w:rPr>
          <w:rFonts w:eastAsia="Times New Roman" w:cs="Times New Roman"/>
          <w:noProof/>
        </w:rPr>
      </w:pPr>
      <w:r>
        <w:rPr>
          <w:noProof/>
        </w:rPr>
        <w:t xml:space="preserve">Vid urvalet av kandidater som ska bygga sina egna hus på dessa områden ska ungdomar (under 35 år om de är ensamstående eller har en total ålder under 70 år om de är gifta eller bor i ett par) prioriteras. </w:t>
      </w:r>
    </w:p>
    <w:p w14:paraId="3788AF15" w14:textId="43A361F9" w:rsidR="00E040FD" w:rsidRDefault="00740D64">
      <w:pPr>
        <w:pStyle w:val="P68B1DB1-Normal4"/>
        <w:keepNext/>
        <w:spacing w:before="40" w:after="0" w:line="259" w:lineRule="auto"/>
        <w:jc w:val="both"/>
        <w:rPr>
          <w:rFonts w:eastAsia="Times New Roman" w:cs="Times New Roman"/>
          <w:noProof/>
        </w:rPr>
      </w:pPr>
      <w:r>
        <w:rPr>
          <w:noProof/>
        </w:rPr>
        <w:t xml:space="preserve">Investeringen ska vara genomförd senast den 30 juni 2026. </w:t>
      </w:r>
    </w:p>
    <w:p w14:paraId="240FFEBB" w14:textId="2C357D8F" w:rsidR="00E040FD" w:rsidRDefault="00740D64">
      <w:pPr>
        <w:pStyle w:val="P68B1DB1-Normal5"/>
        <w:spacing w:before="240" w:after="0" w:line="259" w:lineRule="auto"/>
        <w:ind w:left="851"/>
        <w:jc w:val="both"/>
        <w:outlineLvl w:val="2"/>
        <w:rPr>
          <w:rFonts w:eastAsia="Times New Roman" w:cs="Times New Roman"/>
          <w:noProof/>
        </w:rPr>
      </w:pPr>
      <w:r>
        <w:rPr>
          <w:noProof/>
        </w:rPr>
        <w:t>Investering RE-C02-i08-RAA: Förstärkning av beståndet av subventionerade bostäder</w:t>
      </w:r>
    </w:p>
    <w:p w14:paraId="2049FD50" w14:textId="77777777" w:rsidR="00E040FD" w:rsidRDefault="00740D64">
      <w:pPr>
        <w:pStyle w:val="P68B1DB1-Normal4"/>
        <w:keepNext/>
        <w:spacing w:before="40" w:after="0" w:line="259" w:lineRule="auto"/>
        <w:jc w:val="both"/>
        <w:rPr>
          <w:rFonts w:eastAsia="Times New Roman" w:cs="Times New Roman"/>
          <w:noProof/>
        </w:rPr>
      </w:pPr>
      <w:r>
        <w:rPr>
          <w:noProof/>
        </w:rPr>
        <w:t xml:space="preserve">Syftet med investeringen är att stärka beståndet av subventionerade bostäder i den autonoma regionen Azorerna. Investeringen ska bestå av uppförandet av 126 bostäder. </w:t>
      </w:r>
    </w:p>
    <w:p w14:paraId="0909839C" w14:textId="51879CAF" w:rsidR="00E040FD" w:rsidRDefault="00740D64">
      <w:pPr>
        <w:pStyle w:val="P68B1DB1-Normal4"/>
        <w:keepNext/>
        <w:spacing w:before="40" w:after="0" w:line="259" w:lineRule="auto"/>
        <w:jc w:val="both"/>
        <w:rPr>
          <w:rFonts w:eastAsia="Times New Roman" w:cs="Times New Roman"/>
          <w:noProof/>
        </w:rPr>
      </w:pPr>
      <w:r>
        <w:rPr>
          <w:noProof/>
        </w:rPr>
        <w:t>Investeringen ska vara genomförd senast den 31 december 2025.</w:t>
      </w:r>
    </w:p>
    <w:p w14:paraId="3AC718DE" w14:textId="77777777" w:rsidR="00E040FD" w:rsidRDefault="00E040FD">
      <w:pPr>
        <w:keepNext/>
        <w:spacing w:before="40" w:after="0" w:line="259" w:lineRule="auto"/>
        <w:jc w:val="both"/>
        <w:rPr>
          <w:rFonts w:ascii="Times New Roman" w:eastAsia="Times New Roman" w:hAnsi="Times New Roman" w:cs="Times New Roman"/>
          <w:noProof/>
          <w:sz w:val="24"/>
        </w:rPr>
      </w:pPr>
    </w:p>
    <w:p w14:paraId="54C2FD53" w14:textId="77777777" w:rsidR="00E040FD" w:rsidRDefault="00E040FD">
      <w:pPr>
        <w:keepNext/>
        <w:spacing w:before="40" w:after="0" w:line="259" w:lineRule="auto"/>
        <w:jc w:val="both"/>
        <w:rPr>
          <w:rFonts w:ascii="Times New Roman" w:eastAsia="Times New Roman" w:hAnsi="Times New Roman" w:cs="Times New Roman"/>
          <w:noProof/>
          <w:sz w:val="24"/>
        </w:rPr>
      </w:pPr>
    </w:p>
    <w:p w14:paraId="0B7342BB" w14:textId="26242C44" w:rsidR="00E040FD" w:rsidRDefault="00E040FD">
      <w:pPr>
        <w:keepNext/>
        <w:spacing w:before="40" w:after="0" w:line="259" w:lineRule="auto"/>
        <w:jc w:val="both"/>
        <w:rPr>
          <w:rFonts w:ascii="Times New Roman" w:eastAsiaTheme="minorEastAsia" w:hAnsi="Times New Roman" w:cs="Times New Roman"/>
          <w:noProof/>
          <w:sz w:val="24"/>
        </w:rPr>
        <w:sectPr w:rsidR="00E040FD" w:rsidSect="00E00EDD">
          <w:headerReference w:type="even" r:id="rId48"/>
          <w:headerReference w:type="default" r:id="rId49"/>
          <w:footerReference w:type="even" r:id="rId50"/>
          <w:footerReference w:type="default" r:id="rId51"/>
          <w:headerReference w:type="first" r:id="rId52"/>
          <w:footerReference w:type="first" r:id="rId53"/>
          <w:pgSz w:w="11907" w:h="16839"/>
          <w:pgMar w:top="1134" w:right="1134" w:bottom="1134" w:left="1134" w:header="567" w:footer="567" w:gutter="0"/>
          <w:cols w:space="720"/>
          <w:docGrid w:linePitch="360"/>
        </w:sectPr>
      </w:pPr>
    </w:p>
    <w:p w14:paraId="5FD3C9BD" w14:textId="77777777" w:rsidR="00E040FD" w:rsidRDefault="00E040FD">
      <w:pPr>
        <w:spacing w:before="40" w:after="0" w:line="259" w:lineRule="auto"/>
        <w:jc w:val="both"/>
        <w:rPr>
          <w:rFonts w:ascii="Times New Roman" w:eastAsiaTheme="minorEastAsia" w:hAnsi="Times New Roman" w:cs="Times New Roman"/>
          <w:noProof/>
          <w:sz w:val="24"/>
        </w:rPr>
      </w:pPr>
    </w:p>
    <w:p w14:paraId="5AEF2E47"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B.2 Delmål, indikatorer och tidsplan för övervakning och genomförande av icke återbetalningspliktigt ekonomiskt stöd.</w:t>
      </w:r>
    </w:p>
    <w:p w14:paraId="24CF32BC" w14:textId="77777777" w:rsidR="00E040FD" w:rsidRDefault="00E040FD">
      <w:pPr>
        <w:spacing w:before="40" w:after="0" w:line="259" w:lineRule="auto"/>
        <w:jc w:val="both"/>
        <w:rPr>
          <w:rFonts w:ascii="Times New Roman" w:eastAsiaTheme="minorEastAsia" w:hAnsi="Times New Roman" w:cs="Times New Roman"/>
          <w:b/>
          <w:noProof/>
          <w:sz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222"/>
        <w:gridCol w:w="1013"/>
        <w:gridCol w:w="1890"/>
        <w:gridCol w:w="1270"/>
        <w:gridCol w:w="961"/>
        <w:gridCol w:w="1066"/>
        <w:gridCol w:w="847"/>
        <w:gridCol w:w="455"/>
        <w:gridCol w:w="629"/>
        <w:gridCol w:w="4608"/>
      </w:tblGrid>
      <w:tr w:rsidR="00E040FD" w14:paraId="26812E46" w14:textId="77777777">
        <w:trPr>
          <w:trHeight w:val="910"/>
          <w:tblHeader/>
        </w:trPr>
        <w:tc>
          <w:tcPr>
            <w:tcW w:w="1134" w:type="dxa"/>
            <w:vMerge w:val="restart"/>
            <w:shd w:val="clear" w:color="auto" w:fill="BDD6EE"/>
            <w:vAlign w:val="center"/>
            <w:hideMark/>
          </w:tcPr>
          <w:p w14:paraId="0A302250"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304" w:type="dxa"/>
            <w:vMerge w:val="restart"/>
            <w:shd w:val="clear" w:color="auto" w:fill="BDD6EE"/>
            <w:vAlign w:val="center"/>
            <w:hideMark/>
          </w:tcPr>
          <w:p w14:paraId="73A11A92"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077" w:type="dxa"/>
            <w:vMerge w:val="restart"/>
            <w:shd w:val="clear" w:color="auto" w:fill="BDD6EE"/>
            <w:vAlign w:val="center"/>
            <w:hideMark/>
          </w:tcPr>
          <w:p w14:paraId="06854622" w14:textId="77777777" w:rsidR="00E040FD" w:rsidRDefault="00740D64">
            <w:pPr>
              <w:pStyle w:val="P68B1DB1-Normal6"/>
              <w:spacing w:after="0" w:line="240" w:lineRule="auto"/>
              <w:jc w:val="center"/>
              <w:rPr>
                <w:rFonts w:eastAsia="Times New Roman" w:cs="Times New Roman"/>
                <w:noProof/>
              </w:rPr>
            </w:pPr>
            <w:r>
              <w:rPr>
                <w:noProof/>
              </w:rPr>
              <w:t>Delmål/mål</w:t>
            </w:r>
          </w:p>
        </w:tc>
        <w:tc>
          <w:tcPr>
            <w:tcW w:w="2026" w:type="dxa"/>
            <w:vMerge w:val="restart"/>
            <w:shd w:val="clear" w:color="auto" w:fill="BDD6EE"/>
            <w:vAlign w:val="center"/>
            <w:hideMark/>
          </w:tcPr>
          <w:p w14:paraId="41E039D4" w14:textId="77777777" w:rsidR="00E040FD" w:rsidRDefault="00740D64">
            <w:pPr>
              <w:pStyle w:val="P68B1DB1-Normal6"/>
              <w:spacing w:after="0" w:line="240" w:lineRule="auto"/>
              <w:jc w:val="center"/>
              <w:rPr>
                <w:rFonts w:eastAsia="Times New Roman" w:cs="Times New Roman"/>
                <w:noProof/>
              </w:rPr>
            </w:pPr>
            <w:r>
              <w:rPr>
                <w:noProof/>
              </w:rPr>
              <w:t>Namn</w:t>
            </w:r>
          </w:p>
        </w:tc>
        <w:tc>
          <w:tcPr>
            <w:tcW w:w="1355" w:type="dxa"/>
            <w:vMerge w:val="restart"/>
            <w:shd w:val="clear" w:color="auto" w:fill="BDD6EE"/>
            <w:vAlign w:val="center"/>
            <w:hideMark/>
          </w:tcPr>
          <w:p w14:paraId="52174BB0"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453" w:type="dxa"/>
            <w:gridSpan w:val="3"/>
            <w:shd w:val="clear" w:color="auto" w:fill="BDD6EE"/>
            <w:vAlign w:val="center"/>
            <w:hideMark/>
          </w:tcPr>
          <w:p w14:paraId="62BF7853"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134" w:type="dxa"/>
            <w:gridSpan w:val="2"/>
            <w:shd w:val="clear" w:color="auto" w:fill="BDD6EE"/>
            <w:vAlign w:val="center"/>
            <w:hideMark/>
          </w:tcPr>
          <w:p w14:paraId="6677FCBD"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4969" w:type="dxa"/>
            <w:vMerge w:val="restart"/>
            <w:shd w:val="clear" w:color="auto" w:fill="BDD6EE"/>
            <w:noWrap/>
            <w:vAlign w:val="center"/>
            <w:hideMark/>
          </w:tcPr>
          <w:p w14:paraId="2427D0C7"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143446B6" w14:textId="77777777">
        <w:trPr>
          <w:trHeight w:val="470"/>
          <w:tblHeader/>
        </w:trPr>
        <w:tc>
          <w:tcPr>
            <w:tcW w:w="1134" w:type="dxa"/>
            <w:vMerge/>
            <w:vAlign w:val="center"/>
            <w:hideMark/>
          </w:tcPr>
          <w:p w14:paraId="44D8EDF3" w14:textId="77777777" w:rsidR="00E040FD" w:rsidRDefault="00E040FD">
            <w:pPr>
              <w:spacing w:after="0" w:line="240" w:lineRule="auto"/>
              <w:rPr>
                <w:rFonts w:ascii="Times New Roman" w:eastAsia="Times New Roman" w:hAnsi="Times New Roman" w:cs="Times New Roman"/>
                <w:b/>
                <w:noProof/>
                <w:sz w:val="18"/>
              </w:rPr>
            </w:pPr>
          </w:p>
        </w:tc>
        <w:tc>
          <w:tcPr>
            <w:tcW w:w="1304" w:type="dxa"/>
            <w:vMerge/>
            <w:vAlign w:val="center"/>
            <w:hideMark/>
          </w:tcPr>
          <w:p w14:paraId="512D57CC" w14:textId="77777777" w:rsidR="00E040FD" w:rsidRDefault="00E040FD">
            <w:pPr>
              <w:spacing w:after="0" w:line="240" w:lineRule="auto"/>
              <w:rPr>
                <w:rFonts w:ascii="Times New Roman" w:eastAsia="Times New Roman" w:hAnsi="Times New Roman" w:cs="Times New Roman"/>
                <w:b/>
                <w:noProof/>
                <w:sz w:val="18"/>
              </w:rPr>
            </w:pPr>
          </w:p>
        </w:tc>
        <w:tc>
          <w:tcPr>
            <w:tcW w:w="1077" w:type="dxa"/>
            <w:vMerge/>
            <w:vAlign w:val="center"/>
            <w:hideMark/>
          </w:tcPr>
          <w:p w14:paraId="538E02C0" w14:textId="77777777" w:rsidR="00E040FD" w:rsidRDefault="00E040FD">
            <w:pPr>
              <w:spacing w:after="0" w:line="240" w:lineRule="auto"/>
              <w:jc w:val="center"/>
              <w:rPr>
                <w:rFonts w:ascii="Times New Roman" w:eastAsia="Times New Roman" w:hAnsi="Times New Roman" w:cs="Times New Roman"/>
                <w:b/>
                <w:noProof/>
                <w:sz w:val="18"/>
              </w:rPr>
            </w:pPr>
          </w:p>
        </w:tc>
        <w:tc>
          <w:tcPr>
            <w:tcW w:w="2026" w:type="dxa"/>
            <w:vMerge/>
            <w:vAlign w:val="center"/>
            <w:hideMark/>
          </w:tcPr>
          <w:p w14:paraId="0A0C7132" w14:textId="77777777" w:rsidR="00E040FD" w:rsidRDefault="00E040FD">
            <w:pPr>
              <w:spacing w:after="0" w:line="240" w:lineRule="auto"/>
              <w:rPr>
                <w:rFonts w:ascii="Times New Roman" w:eastAsia="Times New Roman" w:hAnsi="Times New Roman" w:cs="Times New Roman"/>
                <w:b/>
                <w:noProof/>
                <w:sz w:val="18"/>
              </w:rPr>
            </w:pPr>
          </w:p>
        </w:tc>
        <w:tc>
          <w:tcPr>
            <w:tcW w:w="1355" w:type="dxa"/>
            <w:vMerge/>
            <w:vAlign w:val="center"/>
            <w:hideMark/>
          </w:tcPr>
          <w:p w14:paraId="1A5F3ECB" w14:textId="77777777" w:rsidR="00E040FD" w:rsidRDefault="00E040FD">
            <w:pPr>
              <w:spacing w:after="0" w:line="240" w:lineRule="auto"/>
              <w:rPr>
                <w:rFonts w:ascii="Times New Roman" w:eastAsia="Times New Roman" w:hAnsi="Times New Roman" w:cs="Times New Roman"/>
                <w:b/>
                <w:noProof/>
                <w:sz w:val="18"/>
              </w:rPr>
            </w:pPr>
          </w:p>
        </w:tc>
        <w:tc>
          <w:tcPr>
            <w:tcW w:w="1021" w:type="dxa"/>
            <w:shd w:val="clear" w:color="auto" w:fill="BDD6EE"/>
            <w:vAlign w:val="center"/>
            <w:hideMark/>
          </w:tcPr>
          <w:p w14:paraId="52F8AAFE"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1134" w:type="dxa"/>
            <w:shd w:val="clear" w:color="auto" w:fill="BDD6EE"/>
            <w:vAlign w:val="center"/>
            <w:hideMark/>
          </w:tcPr>
          <w:p w14:paraId="28C4A36C"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897" w:type="dxa"/>
            <w:shd w:val="clear" w:color="auto" w:fill="BDD6EE"/>
            <w:vAlign w:val="center"/>
            <w:hideMark/>
          </w:tcPr>
          <w:p w14:paraId="1ABE3536" w14:textId="77777777" w:rsidR="00E040FD" w:rsidRDefault="00740D64">
            <w:pPr>
              <w:pStyle w:val="P68B1DB1-Normal6"/>
              <w:spacing w:after="0" w:line="240" w:lineRule="auto"/>
              <w:jc w:val="center"/>
              <w:rPr>
                <w:rFonts w:eastAsia="Times New Roman" w:cs="Times New Roman"/>
                <w:noProof/>
              </w:rPr>
            </w:pPr>
            <w:r>
              <w:rPr>
                <w:noProof/>
              </w:rPr>
              <w:t>Mål</w:t>
            </w:r>
          </w:p>
        </w:tc>
        <w:tc>
          <w:tcPr>
            <w:tcW w:w="473" w:type="dxa"/>
            <w:shd w:val="clear" w:color="auto" w:fill="BDD6EE"/>
            <w:vAlign w:val="center"/>
            <w:hideMark/>
          </w:tcPr>
          <w:p w14:paraId="0E0C1D54" w14:textId="77777777" w:rsidR="00E040FD" w:rsidRDefault="00740D64">
            <w:pPr>
              <w:pStyle w:val="P68B1DB1-Normal6"/>
              <w:spacing w:after="0" w:line="240" w:lineRule="auto"/>
              <w:jc w:val="center"/>
              <w:rPr>
                <w:rFonts w:eastAsia="Times New Roman" w:cs="Times New Roman"/>
                <w:noProof/>
              </w:rPr>
            </w:pPr>
            <w:r>
              <w:rPr>
                <w:noProof/>
              </w:rPr>
              <w:t>Q</w:t>
            </w:r>
          </w:p>
        </w:tc>
        <w:tc>
          <w:tcPr>
            <w:tcW w:w="625" w:type="dxa"/>
            <w:shd w:val="clear" w:color="auto" w:fill="BDD6EE"/>
            <w:vAlign w:val="center"/>
            <w:hideMark/>
          </w:tcPr>
          <w:p w14:paraId="01CDE8A6" w14:textId="77777777" w:rsidR="00E040FD" w:rsidRDefault="00740D64">
            <w:pPr>
              <w:pStyle w:val="P68B1DB1-Normal6"/>
              <w:spacing w:after="0" w:line="240" w:lineRule="auto"/>
              <w:jc w:val="center"/>
              <w:rPr>
                <w:rFonts w:eastAsia="Times New Roman" w:cs="Times New Roman"/>
                <w:noProof/>
              </w:rPr>
            </w:pPr>
            <w:r>
              <w:rPr>
                <w:noProof/>
              </w:rPr>
              <w:t>Året</w:t>
            </w:r>
          </w:p>
        </w:tc>
        <w:tc>
          <w:tcPr>
            <w:tcW w:w="4969" w:type="dxa"/>
            <w:vMerge/>
            <w:vAlign w:val="center"/>
            <w:hideMark/>
          </w:tcPr>
          <w:p w14:paraId="5362E692" w14:textId="77777777" w:rsidR="00E040FD" w:rsidRDefault="00E040FD">
            <w:pPr>
              <w:spacing w:after="0" w:line="240" w:lineRule="auto"/>
              <w:rPr>
                <w:rFonts w:ascii="Times New Roman" w:eastAsia="Times New Roman" w:hAnsi="Times New Roman" w:cs="Times New Roman"/>
                <w:b/>
                <w:noProof/>
                <w:sz w:val="18"/>
              </w:rPr>
            </w:pPr>
          </w:p>
        </w:tc>
      </w:tr>
      <w:tr w:rsidR="00E040FD" w14:paraId="6A7FC94D" w14:textId="77777777">
        <w:trPr>
          <w:trHeight w:val="290"/>
        </w:trPr>
        <w:tc>
          <w:tcPr>
            <w:tcW w:w="1134" w:type="dxa"/>
            <w:shd w:val="clear" w:color="auto" w:fill="C5EFCE"/>
            <w:vAlign w:val="center"/>
            <w:hideMark/>
          </w:tcPr>
          <w:p w14:paraId="34896C2A" w14:textId="77777777" w:rsidR="00E040FD" w:rsidRDefault="00740D64">
            <w:pPr>
              <w:pStyle w:val="P68B1DB1-Normal7"/>
              <w:spacing w:after="0" w:line="240" w:lineRule="auto"/>
              <w:jc w:val="center"/>
              <w:rPr>
                <w:rFonts w:eastAsia="Times New Roman" w:cs="Calibri"/>
                <w:noProof/>
              </w:rPr>
            </w:pPr>
            <w:r>
              <w:rPr>
                <w:noProof/>
              </w:rPr>
              <w:t>2.1</w:t>
            </w:r>
          </w:p>
        </w:tc>
        <w:tc>
          <w:tcPr>
            <w:tcW w:w="1304" w:type="dxa"/>
            <w:shd w:val="clear" w:color="auto" w:fill="C4EFCE"/>
            <w:vAlign w:val="center"/>
            <w:hideMark/>
          </w:tcPr>
          <w:p w14:paraId="17075C01" w14:textId="77777777" w:rsidR="00E040FD" w:rsidRDefault="00740D64">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1061568D"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1421DF1" w14:textId="77777777" w:rsidR="00E040FD" w:rsidRDefault="00740D64">
            <w:pPr>
              <w:pStyle w:val="P68B1DB1-Normal8"/>
              <w:spacing w:after="0" w:line="240" w:lineRule="auto"/>
              <w:jc w:val="center"/>
              <w:rPr>
                <w:rFonts w:eastAsia="Times New Roman" w:cs="Calibri"/>
                <w:noProof/>
              </w:rPr>
            </w:pPr>
            <w:r>
              <w:rPr>
                <w:noProof/>
              </w:rPr>
              <w:t>Stödprogram för tillgång till bostäder – samarbets- eller finansieringsarrangemang undertecknade</w:t>
            </w:r>
          </w:p>
        </w:tc>
        <w:tc>
          <w:tcPr>
            <w:tcW w:w="1355" w:type="dxa"/>
            <w:shd w:val="clear" w:color="auto" w:fill="C4EFCE"/>
            <w:vAlign w:val="center"/>
            <w:hideMark/>
          </w:tcPr>
          <w:p w14:paraId="60835B4C"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A526E05" w14:textId="5E4CF0F6"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37537AFA" w14:textId="77777777" w:rsidR="00E040FD" w:rsidRDefault="00740D6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8A19566" w14:textId="77777777" w:rsidR="00E040FD" w:rsidRDefault="00740D64">
            <w:pPr>
              <w:pStyle w:val="P68B1DB1-Normal8"/>
              <w:spacing w:after="0" w:line="240" w:lineRule="auto"/>
              <w:jc w:val="center"/>
              <w:rPr>
                <w:rFonts w:eastAsia="Times New Roman" w:cs="Calibri"/>
                <w:noProof/>
              </w:rPr>
            </w:pPr>
            <w:r>
              <w:rPr>
                <w:noProof/>
              </w:rPr>
              <w:t>75</w:t>
            </w:r>
          </w:p>
        </w:tc>
        <w:tc>
          <w:tcPr>
            <w:tcW w:w="473" w:type="dxa"/>
            <w:shd w:val="clear" w:color="auto" w:fill="C4EFCE"/>
            <w:vAlign w:val="center"/>
            <w:hideMark/>
          </w:tcPr>
          <w:p w14:paraId="09ED35F6" w14:textId="77777777" w:rsidR="00E040FD" w:rsidRDefault="00740D64">
            <w:pPr>
              <w:pStyle w:val="P68B1DB1-Normal8"/>
              <w:spacing w:after="0" w:line="240" w:lineRule="auto"/>
              <w:jc w:val="center"/>
              <w:rPr>
                <w:rFonts w:eastAsia="Times New Roman" w:cs="Calibri"/>
                <w:noProof/>
              </w:rPr>
            </w:pPr>
            <w:r>
              <w:rPr>
                <w:noProof/>
              </w:rPr>
              <w:t>KVARTAL 3</w:t>
            </w:r>
          </w:p>
        </w:tc>
        <w:tc>
          <w:tcPr>
            <w:tcW w:w="625" w:type="dxa"/>
            <w:shd w:val="clear" w:color="auto" w:fill="C4EFCE"/>
            <w:vAlign w:val="center"/>
            <w:hideMark/>
          </w:tcPr>
          <w:p w14:paraId="6C3BD1EA" w14:textId="77777777" w:rsidR="00E040FD" w:rsidRDefault="00740D64">
            <w:pPr>
              <w:pStyle w:val="P68B1DB1-Normal8"/>
              <w:spacing w:after="0" w:line="240" w:lineRule="auto"/>
              <w:jc w:val="center"/>
              <w:rPr>
                <w:rFonts w:eastAsia="Times New Roman" w:cs="Calibri"/>
                <w:noProof/>
              </w:rPr>
            </w:pPr>
            <w:r>
              <w:rPr>
                <w:noProof/>
              </w:rPr>
              <w:t>2022</w:t>
            </w:r>
          </w:p>
        </w:tc>
        <w:tc>
          <w:tcPr>
            <w:tcW w:w="4969" w:type="dxa"/>
            <w:shd w:val="clear" w:color="auto" w:fill="C4EFCE"/>
            <w:vAlign w:val="center"/>
            <w:hideMark/>
          </w:tcPr>
          <w:p w14:paraId="4DF0FD03" w14:textId="77777777" w:rsidR="00E040FD" w:rsidRDefault="00740D64">
            <w:pPr>
              <w:pStyle w:val="P68B1DB1-Normal8"/>
              <w:spacing w:after="0" w:line="240" w:lineRule="auto"/>
              <w:rPr>
                <w:rFonts w:eastAsia="Times New Roman" w:cs="Calibri"/>
                <w:noProof/>
              </w:rPr>
            </w:pPr>
            <w:r>
              <w:rPr>
                <w:noProof/>
              </w:rPr>
              <w:t xml:space="preserve">Undertecknande av samarbets- eller finansieringsarrangemang. </w:t>
            </w:r>
          </w:p>
          <w:p w14:paraId="3127316F" w14:textId="77777777" w:rsidR="00E040FD" w:rsidRDefault="00E040FD">
            <w:pPr>
              <w:spacing w:after="0" w:line="240" w:lineRule="auto"/>
              <w:rPr>
                <w:rFonts w:ascii="Calibri" w:eastAsia="Times New Roman" w:hAnsi="Calibri" w:cs="Calibri"/>
                <w:noProof/>
                <w:sz w:val="16"/>
              </w:rPr>
            </w:pPr>
          </w:p>
          <w:p w14:paraId="47A044E4" w14:textId="5553DF5D" w:rsidR="00E040FD" w:rsidRDefault="00740D64">
            <w:pPr>
              <w:pStyle w:val="P68B1DB1-Normal8"/>
              <w:spacing w:after="0" w:line="240" w:lineRule="auto"/>
              <w:jc w:val="both"/>
              <w:rPr>
                <w:rFonts w:eastAsia="Times New Roman" w:cs="Calibri"/>
                <w:noProof/>
              </w:rPr>
            </w:pPr>
            <w:r>
              <w:rPr>
                <w:noProof/>
              </w:rPr>
              <w:t>De lokala bostadsstrategierna presenteras av kommunerna. I dessa strategier identifieras 1) alla behov som berättigar till stöd inom ramen för detta program (i enlighet med lagdekret nr 37/2018 av den 4 juni), och 2) enheter som främjar bostadslösningar. Efter det att IHRU (Housing and Urban Rehabilitation Institute) har validerat att de lokala bostadsstrategierna överensstämmer med programmet undertecknas samarbetsavtalen med kommunerna eller finansieringsöverenskommelserna med de övriga stödmottagarna om de konkreta investeringar som ska främjas och tidsfristen för deras genomförande anges.</w:t>
            </w:r>
          </w:p>
        </w:tc>
      </w:tr>
      <w:tr w:rsidR="00E040FD" w14:paraId="31DBD300" w14:textId="77777777">
        <w:trPr>
          <w:trHeight w:val="2949"/>
        </w:trPr>
        <w:tc>
          <w:tcPr>
            <w:tcW w:w="1134" w:type="dxa"/>
            <w:shd w:val="clear" w:color="auto" w:fill="C5EFCE"/>
            <w:vAlign w:val="center"/>
            <w:hideMark/>
          </w:tcPr>
          <w:p w14:paraId="435A6D15" w14:textId="77777777" w:rsidR="00E040FD" w:rsidRDefault="00740D64">
            <w:pPr>
              <w:pStyle w:val="P68B1DB1-Normal7"/>
              <w:spacing w:after="0" w:line="240" w:lineRule="auto"/>
              <w:jc w:val="center"/>
              <w:rPr>
                <w:rFonts w:eastAsia="Times New Roman" w:cs="Calibri"/>
                <w:noProof/>
              </w:rPr>
            </w:pPr>
            <w:r>
              <w:rPr>
                <w:noProof/>
              </w:rPr>
              <w:t>2.2</w:t>
            </w:r>
          </w:p>
        </w:tc>
        <w:tc>
          <w:tcPr>
            <w:tcW w:w="1304" w:type="dxa"/>
            <w:shd w:val="clear" w:color="auto" w:fill="C4EFCE"/>
            <w:vAlign w:val="center"/>
            <w:hideMark/>
          </w:tcPr>
          <w:p w14:paraId="7F179DDC" w14:textId="77777777" w:rsidR="00E040FD" w:rsidRDefault="00740D64">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480FFBF4"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2841A35F" w14:textId="77777777" w:rsidR="00E040FD" w:rsidRDefault="00740D64">
            <w:pPr>
              <w:pStyle w:val="P68B1DB1-Normal8"/>
              <w:spacing w:after="0" w:line="240" w:lineRule="auto"/>
              <w:jc w:val="center"/>
              <w:rPr>
                <w:rFonts w:eastAsia="Times New Roman" w:cs="Calibri"/>
                <w:noProof/>
              </w:rPr>
            </w:pPr>
            <w:r>
              <w:rPr>
                <w:noProof/>
              </w:rPr>
              <w:t>Stödprogram för tillgång till bostäder – inköpta, byggda (hög energieffektivitet) eller renoverade (med förbättrad energiprestanda) bostäder som tillhandahålls hushållen</w:t>
            </w:r>
          </w:p>
        </w:tc>
        <w:tc>
          <w:tcPr>
            <w:tcW w:w="1355" w:type="dxa"/>
            <w:shd w:val="clear" w:color="auto" w:fill="C4EFCE"/>
            <w:vAlign w:val="center"/>
            <w:hideMark/>
          </w:tcPr>
          <w:p w14:paraId="79254448"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5B97704" w14:textId="77777777"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5717ADD7" w14:textId="77777777" w:rsidR="00E040FD" w:rsidRDefault="00740D6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427505B2" w14:textId="0DACC7D5" w:rsidR="00E040FD" w:rsidRDefault="00740D64">
            <w:pPr>
              <w:pStyle w:val="P68B1DB1-Normal8"/>
              <w:spacing w:after="0" w:line="240" w:lineRule="auto"/>
              <w:jc w:val="center"/>
              <w:rPr>
                <w:rFonts w:eastAsia="Times New Roman" w:cs="Calibri"/>
                <w:noProof/>
              </w:rPr>
            </w:pPr>
            <w:r>
              <w:rPr>
                <w:noProof/>
              </w:rPr>
              <w:t>1 500</w:t>
            </w:r>
          </w:p>
        </w:tc>
        <w:tc>
          <w:tcPr>
            <w:tcW w:w="473" w:type="dxa"/>
            <w:shd w:val="clear" w:color="auto" w:fill="C4EFCE"/>
            <w:vAlign w:val="center"/>
            <w:hideMark/>
          </w:tcPr>
          <w:p w14:paraId="1E68496B" w14:textId="77777777" w:rsidR="00E040FD" w:rsidRDefault="00740D64">
            <w:pPr>
              <w:pStyle w:val="P68B1DB1-Normal8"/>
              <w:spacing w:after="0" w:line="240" w:lineRule="auto"/>
              <w:jc w:val="center"/>
              <w:rPr>
                <w:rFonts w:eastAsia="Times New Roman" w:cs="Calibri"/>
                <w:noProof/>
              </w:rPr>
            </w:pPr>
            <w:r>
              <w:rPr>
                <w:noProof/>
              </w:rPr>
              <w:t>KVARTAL 3</w:t>
            </w:r>
          </w:p>
        </w:tc>
        <w:tc>
          <w:tcPr>
            <w:tcW w:w="625" w:type="dxa"/>
            <w:shd w:val="clear" w:color="auto" w:fill="C4EFCE"/>
            <w:vAlign w:val="center"/>
            <w:hideMark/>
          </w:tcPr>
          <w:p w14:paraId="21D559DA" w14:textId="77777777" w:rsidR="00E040FD" w:rsidRDefault="00740D64">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10E4BAB8" w14:textId="44115244" w:rsidR="00E040FD" w:rsidRDefault="00740D64">
            <w:pPr>
              <w:pStyle w:val="P68B1DB1-Normal8"/>
              <w:spacing w:after="0" w:line="240" w:lineRule="auto"/>
              <w:jc w:val="both"/>
              <w:rPr>
                <w:rFonts w:eastAsia="Times New Roman" w:cs="Calibri"/>
                <w:noProof/>
              </w:rPr>
            </w:pPr>
            <w:r>
              <w:rPr>
                <w:noProof/>
              </w:rPr>
              <w:t xml:space="preserve">Antal bostäder som levererats till stödberättigade hushåll inom ramen för programmet. Nya byggnader ska ha ett primärenergibehov som är minst 20 % lägre än behoven för nära-nollenergibyggnader (med undantag för pågående projekt som budgeterats för 2021 och 2022, vilket motsvarar upp till 188 250 000 EUR av det totala anslaget för denna åtgärd). </w:t>
            </w:r>
          </w:p>
        </w:tc>
      </w:tr>
      <w:tr w:rsidR="00E040FD" w14:paraId="375E02BE" w14:textId="77777777">
        <w:trPr>
          <w:trHeight w:val="1691"/>
        </w:trPr>
        <w:tc>
          <w:tcPr>
            <w:tcW w:w="1134" w:type="dxa"/>
            <w:shd w:val="clear" w:color="auto" w:fill="C5EFCE"/>
            <w:vAlign w:val="center"/>
          </w:tcPr>
          <w:p w14:paraId="31060937" w14:textId="2D4F963A" w:rsidR="00E040FD" w:rsidRDefault="00740D64">
            <w:pPr>
              <w:pStyle w:val="P68B1DB1-Normal7"/>
              <w:spacing w:after="0" w:line="240" w:lineRule="auto"/>
              <w:jc w:val="center"/>
              <w:rPr>
                <w:rFonts w:eastAsia="Times New Roman" w:cs="Calibri"/>
                <w:noProof/>
              </w:rPr>
            </w:pPr>
            <w:r>
              <w:rPr>
                <w:noProof/>
              </w:rPr>
              <w:t>2.29</w:t>
            </w:r>
          </w:p>
        </w:tc>
        <w:tc>
          <w:tcPr>
            <w:tcW w:w="1304" w:type="dxa"/>
            <w:shd w:val="clear" w:color="auto" w:fill="C4EFCE"/>
            <w:vAlign w:val="center"/>
          </w:tcPr>
          <w:p w14:paraId="4F9C5B9F" w14:textId="67E30297" w:rsidR="00E040FD" w:rsidRDefault="00740D64">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tcPr>
          <w:p w14:paraId="3C73B808" w14:textId="0AE73BAB"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tcPr>
          <w:p w14:paraId="3E67D982" w14:textId="71A6CE76" w:rsidR="00E040FD" w:rsidRDefault="00740D64">
            <w:pPr>
              <w:pStyle w:val="P68B1DB1-Normal8"/>
              <w:spacing w:after="0" w:line="240" w:lineRule="auto"/>
              <w:jc w:val="center"/>
              <w:rPr>
                <w:rFonts w:eastAsia="Times New Roman" w:cs="Calibri"/>
                <w:noProof/>
              </w:rPr>
            </w:pPr>
            <w:r>
              <w:rPr>
                <w:noProof/>
              </w:rPr>
              <w:t>Stödprogram för tillgång till bostäder – inköpta, byggda (hög energieffektivitet) eller renoverade (med förbättrad energiprestanda) bostäder som tillhandahålls hushållen</w:t>
            </w:r>
          </w:p>
        </w:tc>
        <w:tc>
          <w:tcPr>
            <w:tcW w:w="1355" w:type="dxa"/>
            <w:shd w:val="clear" w:color="auto" w:fill="C4EFCE"/>
            <w:vAlign w:val="center"/>
          </w:tcPr>
          <w:p w14:paraId="31101875" w14:textId="77777777" w:rsidR="00E040FD" w:rsidRDefault="00E040FD">
            <w:pPr>
              <w:spacing w:after="0" w:line="240" w:lineRule="auto"/>
              <w:jc w:val="center"/>
              <w:rPr>
                <w:rFonts w:ascii="Calibri" w:eastAsia="Times New Roman" w:hAnsi="Calibri" w:cs="Calibri"/>
                <w:noProof/>
                <w:sz w:val="16"/>
              </w:rPr>
            </w:pPr>
          </w:p>
        </w:tc>
        <w:tc>
          <w:tcPr>
            <w:tcW w:w="1021" w:type="dxa"/>
            <w:shd w:val="clear" w:color="auto" w:fill="C4EFCE"/>
            <w:vAlign w:val="center"/>
          </w:tcPr>
          <w:p w14:paraId="51871E3D" w14:textId="14F82F6A"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tcPr>
          <w:p w14:paraId="479FECEA" w14:textId="103FA3F7" w:rsidR="00E040FD" w:rsidRDefault="00740D64">
            <w:pPr>
              <w:pStyle w:val="P68B1DB1-Normal8"/>
              <w:spacing w:after="0" w:line="240" w:lineRule="auto"/>
              <w:jc w:val="center"/>
              <w:rPr>
                <w:rFonts w:eastAsia="Times New Roman" w:cs="Calibri"/>
                <w:noProof/>
              </w:rPr>
            </w:pPr>
            <w:r>
              <w:rPr>
                <w:noProof/>
              </w:rPr>
              <w:t>1 500</w:t>
            </w:r>
          </w:p>
        </w:tc>
        <w:tc>
          <w:tcPr>
            <w:tcW w:w="897" w:type="dxa"/>
            <w:shd w:val="clear" w:color="auto" w:fill="C4EFCE"/>
            <w:vAlign w:val="center"/>
          </w:tcPr>
          <w:p w14:paraId="5D50B648" w14:textId="748205E1" w:rsidR="00E040FD" w:rsidRDefault="00740D64">
            <w:pPr>
              <w:pStyle w:val="P68B1DB1-Normal8"/>
              <w:spacing w:after="0" w:line="240" w:lineRule="auto"/>
              <w:jc w:val="center"/>
              <w:rPr>
                <w:rFonts w:eastAsia="Times New Roman" w:cs="Calibri"/>
                <w:noProof/>
              </w:rPr>
            </w:pPr>
            <w:r>
              <w:rPr>
                <w:noProof/>
              </w:rPr>
              <w:t>10 000</w:t>
            </w:r>
          </w:p>
        </w:tc>
        <w:tc>
          <w:tcPr>
            <w:tcW w:w="473" w:type="dxa"/>
            <w:shd w:val="clear" w:color="auto" w:fill="C4EFCE"/>
            <w:vAlign w:val="center"/>
          </w:tcPr>
          <w:p w14:paraId="7C6DC9DC" w14:textId="3B28900F" w:rsidR="00E040FD" w:rsidRDefault="00740D64">
            <w:pPr>
              <w:pStyle w:val="P68B1DB1-Normal8"/>
              <w:spacing w:after="0" w:line="240" w:lineRule="auto"/>
              <w:jc w:val="center"/>
              <w:rPr>
                <w:rFonts w:eastAsia="Times New Roman" w:cs="Calibri"/>
                <w:noProof/>
              </w:rPr>
            </w:pPr>
            <w:r>
              <w:rPr>
                <w:noProof/>
              </w:rPr>
              <w:t>KVARTAL 2</w:t>
            </w:r>
          </w:p>
        </w:tc>
        <w:tc>
          <w:tcPr>
            <w:tcW w:w="625" w:type="dxa"/>
            <w:shd w:val="clear" w:color="auto" w:fill="C4EFCE"/>
            <w:vAlign w:val="center"/>
          </w:tcPr>
          <w:p w14:paraId="1AE5F7BB" w14:textId="1E2B6B17" w:rsidR="00E040FD" w:rsidRDefault="00740D64">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tcPr>
          <w:p w14:paraId="035D8FB0" w14:textId="678DD79D" w:rsidR="00E040FD" w:rsidRDefault="00740D64">
            <w:pPr>
              <w:pStyle w:val="P68B1DB1-Normal8"/>
              <w:spacing w:after="0" w:line="240" w:lineRule="auto"/>
              <w:jc w:val="both"/>
              <w:rPr>
                <w:rFonts w:eastAsia="Times New Roman" w:cs="Calibri"/>
                <w:noProof/>
              </w:rPr>
            </w:pPr>
            <w:r>
              <w:rPr>
                <w:noProof/>
              </w:rPr>
              <w:t xml:space="preserve">Antal bostäder som levererats till stödberättigade hushåll inom ramen för programmet. Nya byggnader ska ha ett primärenergibehov som är minst 20 % lägre än behoven för nära-nollenergibyggnader (med undantag för pågående projekt som budgeterats för 2021 och 2022, vilket motsvarar upp till 188 250 000 EUR av det totala anslaget för denna åtgärd). </w:t>
            </w:r>
          </w:p>
        </w:tc>
      </w:tr>
      <w:tr w:rsidR="00E040FD" w14:paraId="6BC82244" w14:textId="77777777">
        <w:trPr>
          <w:trHeight w:val="509"/>
        </w:trPr>
        <w:tc>
          <w:tcPr>
            <w:tcW w:w="1134" w:type="dxa"/>
            <w:shd w:val="clear" w:color="auto" w:fill="C5EFCE"/>
            <w:vAlign w:val="center"/>
            <w:hideMark/>
          </w:tcPr>
          <w:p w14:paraId="59350F65" w14:textId="77777777" w:rsidR="00E040FD" w:rsidRDefault="00740D64">
            <w:pPr>
              <w:pStyle w:val="P68B1DB1-Normal7"/>
              <w:spacing w:after="0" w:line="240" w:lineRule="auto"/>
              <w:jc w:val="center"/>
              <w:rPr>
                <w:rFonts w:eastAsia="Times New Roman" w:cs="Calibri"/>
                <w:noProof/>
              </w:rPr>
            </w:pPr>
            <w:r>
              <w:rPr>
                <w:noProof/>
              </w:rPr>
              <w:t>2.3</w:t>
            </w:r>
          </w:p>
        </w:tc>
        <w:tc>
          <w:tcPr>
            <w:tcW w:w="1304" w:type="dxa"/>
            <w:shd w:val="clear" w:color="auto" w:fill="C4EFCE"/>
            <w:vAlign w:val="center"/>
            <w:hideMark/>
          </w:tcPr>
          <w:p w14:paraId="639C84CF" w14:textId="77777777" w:rsidR="00E040FD" w:rsidRDefault="00740D64">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069FE15A"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3E94FF9B" w14:textId="77777777" w:rsidR="00E040FD" w:rsidRDefault="00740D64">
            <w:pPr>
              <w:pStyle w:val="P68B1DB1-Normal8"/>
              <w:spacing w:after="0" w:line="240" w:lineRule="auto"/>
              <w:jc w:val="center"/>
              <w:rPr>
                <w:rFonts w:eastAsia="Times New Roman" w:cs="Calibri"/>
                <w:noProof/>
              </w:rPr>
            </w:pPr>
            <w:r>
              <w:rPr>
                <w:noProof/>
              </w:rPr>
              <w:t xml:space="preserve">Stödprogram för tillgång till bostäder – inköpta, byggda (hög energieffektivitet) eller renoverade (med förbättrad energiprestanda) bostäder som tillhandahålls hushållen </w:t>
            </w:r>
          </w:p>
        </w:tc>
        <w:tc>
          <w:tcPr>
            <w:tcW w:w="1355" w:type="dxa"/>
            <w:shd w:val="clear" w:color="auto" w:fill="C4EFCE"/>
            <w:vAlign w:val="center"/>
            <w:hideMark/>
          </w:tcPr>
          <w:p w14:paraId="751EA2D7"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35A0186" w14:textId="77777777"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1EF94F6B" w14:textId="113A63A7" w:rsidR="00E040FD" w:rsidRDefault="00740D64">
            <w:pPr>
              <w:pStyle w:val="P68B1DB1-Normal8"/>
              <w:spacing w:after="0" w:line="240" w:lineRule="auto"/>
              <w:jc w:val="center"/>
              <w:rPr>
                <w:rFonts w:eastAsia="Times New Roman" w:cs="Calibri"/>
                <w:noProof/>
              </w:rPr>
            </w:pPr>
            <w:r>
              <w:rPr>
                <w:noProof/>
              </w:rPr>
              <w:t>10 000</w:t>
            </w:r>
          </w:p>
        </w:tc>
        <w:tc>
          <w:tcPr>
            <w:tcW w:w="897" w:type="dxa"/>
            <w:shd w:val="clear" w:color="auto" w:fill="C4EFCE"/>
            <w:vAlign w:val="center"/>
            <w:hideMark/>
          </w:tcPr>
          <w:p w14:paraId="5D687843" w14:textId="4E170287" w:rsidR="00E040FD" w:rsidRDefault="00740D64">
            <w:pPr>
              <w:pStyle w:val="P68B1DB1-Normal8"/>
              <w:spacing w:after="0" w:line="240" w:lineRule="auto"/>
              <w:jc w:val="center"/>
              <w:rPr>
                <w:rFonts w:eastAsia="Times New Roman" w:cs="Calibri"/>
                <w:noProof/>
              </w:rPr>
            </w:pPr>
            <w:r>
              <w:rPr>
                <w:noProof/>
              </w:rPr>
              <w:t>22 360</w:t>
            </w:r>
          </w:p>
        </w:tc>
        <w:tc>
          <w:tcPr>
            <w:tcW w:w="473" w:type="dxa"/>
            <w:shd w:val="clear" w:color="auto" w:fill="C4EFCE"/>
            <w:vAlign w:val="center"/>
            <w:hideMark/>
          </w:tcPr>
          <w:p w14:paraId="0BDA8B9E" w14:textId="77777777" w:rsidR="00E040FD" w:rsidRDefault="00740D64">
            <w:pPr>
              <w:pStyle w:val="P68B1DB1-Normal8"/>
              <w:spacing w:after="0" w:line="240" w:lineRule="auto"/>
              <w:jc w:val="center"/>
              <w:rPr>
                <w:rFonts w:eastAsia="Times New Roman" w:cs="Calibri"/>
                <w:noProof/>
              </w:rPr>
            </w:pPr>
            <w:r>
              <w:rPr>
                <w:noProof/>
              </w:rPr>
              <w:t>KVARTAL 2</w:t>
            </w:r>
          </w:p>
        </w:tc>
        <w:tc>
          <w:tcPr>
            <w:tcW w:w="625" w:type="dxa"/>
            <w:shd w:val="clear" w:color="auto" w:fill="C4EFCE"/>
            <w:vAlign w:val="center"/>
            <w:hideMark/>
          </w:tcPr>
          <w:p w14:paraId="5A2AE7BE" w14:textId="77777777" w:rsidR="00E040FD" w:rsidRDefault="00740D6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3B093878" w14:textId="3B9713FE" w:rsidR="00E040FD" w:rsidRDefault="00740D64">
            <w:pPr>
              <w:pStyle w:val="P68B1DB1-Normal8"/>
              <w:spacing w:after="0" w:line="240" w:lineRule="auto"/>
              <w:jc w:val="both"/>
              <w:rPr>
                <w:rFonts w:eastAsia="Times New Roman" w:cs="Calibri"/>
                <w:noProof/>
              </w:rPr>
            </w:pPr>
            <w:r>
              <w:rPr>
                <w:noProof/>
              </w:rPr>
              <w:t xml:space="preserve">Antal bostäder som levererats till stödberättigade hushåll inom ramen för programmet. Nya byggnader ska ha ett primärenergibehov som är minst 20 % lägre än behoven för nära-nollenergibyggnader (med undantag för pågående projekt som budgeterats för 2021 och 2022, vilket motsvarar upp till 188 250 000 EUR av det totala anslaget för denna åtgärd). För rehabilitering är referensenheten per bostad 73 kvadratmeter, för nybyggnation 95 kvadratmeter för de 22 360 bostäderna. </w:t>
            </w:r>
          </w:p>
        </w:tc>
      </w:tr>
      <w:tr w:rsidR="00E040FD" w14:paraId="1B7EC0D5" w14:textId="77777777">
        <w:trPr>
          <w:trHeight w:val="290"/>
        </w:trPr>
        <w:tc>
          <w:tcPr>
            <w:tcW w:w="1134" w:type="dxa"/>
            <w:shd w:val="clear" w:color="auto" w:fill="C5EFCE"/>
            <w:vAlign w:val="center"/>
            <w:hideMark/>
          </w:tcPr>
          <w:p w14:paraId="77D78043" w14:textId="77777777" w:rsidR="00E040FD" w:rsidRDefault="00740D64">
            <w:pPr>
              <w:pStyle w:val="P68B1DB1-Normal7"/>
              <w:spacing w:after="0" w:line="240" w:lineRule="auto"/>
              <w:jc w:val="center"/>
              <w:rPr>
                <w:rFonts w:eastAsia="Times New Roman" w:cs="Calibri"/>
                <w:noProof/>
              </w:rPr>
            </w:pPr>
            <w:r>
              <w:rPr>
                <w:noProof/>
              </w:rPr>
              <w:t>2.4</w:t>
            </w:r>
          </w:p>
        </w:tc>
        <w:tc>
          <w:tcPr>
            <w:tcW w:w="1304" w:type="dxa"/>
            <w:shd w:val="clear" w:color="auto" w:fill="C4EFCE"/>
            <w:vAlign w:val="center"/>
            <w:hideMark/>
          </w:tcPr>
          <w:p w14:paraId="21608A65" w14:textId="77777777" w:rsidR="00E040FD" w:rsidRDefault="00740D6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0FAA0881" w14:textId="77777777" w:rsidR="00E040FD" w:rsidRDefault="00740D64">
            <w:pPr>
              <w:pStyle w:val="P68B1DB1-Normal8"/>
              <w:spacing w:after="0" w:line="240" w:lineRule="auto"/>
              <w:jc w:val="center"/>
              <w:rPr>
                <w:rFonts w:eastAsia="Times New Roman" w:cs="Calibri"/>
                <w:noProof/>
              </w:rPr>
            </w:pPr>
            <w:r>
              <w:rPr>
                <w:noProof/>
              </w:rPr>
              <w:t> T</w:t>
            </w:r>
          </w:p>
        </w:tc>
        <w:tc>
          <w:tcPr>
            <w:tcW w:w="2026" w:type="dxa"/>
            <w:shd w:val="clear" w:color="auto" w:fill="C4EFCE"/>
            <w:vAlign w:val="center"/>
            <w:hideMark/>
          </w:tcPr>
          <w:p w14:paraId="0914FF1B" w14:textId="77777777" w:rsidR="00E040FD" w:rsidRDefault="00740D64">
            <w:pPr>
              <w:pStyle w:val="P68B1DB1-Normal8"/>
              <w:spacing w:after="0" w:line="240" w:lineRule="auto"/>
              <w:jc w:val="center"/>
              <w:rPr>
                <w:rFonts w:eastAsia="Times New Roman" w:cs="Calibri"/>
                <w:noProof/>
              </w:rPr>
            </w:pPr>
            <w:r>
              <w:rPr>
                <w:noProof/>
              </w:rPr>
              <w:t>Nationellt nöd- och tillfälligt bostadsbidrag – Undertecknande av finansieringsavtal för nödbostäder och övergångsbostäder</w:t>
            </w:r>
          </w:p>
        </w:tc>
        <w:tc>
          <w:tcPr>
            <w:tcW w:w="1355" w:type="dxa"/>
            <w:shd w:val="clear" w:color="auto" w:fill="C4EFCE"/>
            <w:vAlign w:val="center"/>
            <w:hideMark/>
          </w:tcPr>
          <w:p w14:paraId="058B51CE"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CCDF8A5" w14:textId="77777777"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14C89D3F" w14:textId="77777777" w:rsidR="00E040FD" w:rsidRDefault="00740D6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6F45426A" w14:textId="77777777" w:rsidR="00E040FD" w:rsidRDefault="00740D64">
            <w:pPr>
              <w:pStyle w:val="P68B1DB1-Normal8"/>
              <w:spacing w:after="0" w:line="240" w:lineRule="auto"/>
              <w:jc w:val="center"/>
              <w:rPr>
                <w:rFonts w:eastAsia="Times New Roman" w:cs="Calibri"/>
                <w:noProof/>
              </w:rPr>
            </w:pPr>
            <w:r>
              <w:rPr>
                <w:noProof/>
              </w:rPr>
              <w:t>500</w:t>
            </w:r>
          </w:p>
        </w:tc>
        <w:tc>
          <w:tcPr>
            <w:tcW w:w="473" w:type="dxa"/>
            <w:shd w:val="clear" w:color="auto" w:fill="C4EFCE"/>
            <w:vAlign w:val="center"/>
            <w:hideMark/>
          </w:tcPr>
          <w:p w14:paraId="4F11D61E" w14:textId="77777777" w:rsidR="00E040FD" w:rsidRDefault="00740D64">
            <w:pPr>
              <w:pStyle w:val="P68B1DB1-Normal8"/>
              <w:spacing w:after="0" w:line="240" w:lineRule="auto"/>
              <w:jc w:val="center"/>
              <w:rPr>
                <w:rFonts w:eastAsia="Times New Roman" w:cs="Calibri"/>
                <w:noProof/>
              </w:rPr>
            </w:pPr>
            <w:r>
              <w:rPr>
                <w:noProof/>
              </w:rPr>
              <w:t xml:space="preserve">KVARTAL 3 </w:t>
            </w:r>
          </w:p>
        </w:tc>
        <w:tc>
          <w:tcPr>
            <w:tcW w:w="625" w:type="dxa"/>
            <w:shd w:val="clear" w:color="auto" w:fill="C4EFCE"/>
            <w:vAlign w:val="center"/>
            <w:hideMark/>
          </w:tcPr>
          <w:p w14:paraId="7A500F3E" w14:textId="77777777" w:rsidR="00E040FD" w:rsidRDefault="00740D64">
            <w:pPr>
              <w:pStyle w:val="P68B1DB1-Normal8"/>
              <w:spacing w:after="0" w:line="240" w:lineRule="auto"/>
              <w:jc w:val="center"/>
              <w:rPr>
                <w:rFonts w:eastAsia="Times New Roman" w:cs="Calibri"/>
                <w:noProof/>
              </w:rPr>
            </w:pPr>
            <w:r>
              <w:rPr>
                <w:noProof/>
              </w:rPr>
              <w:t>2022</w:t>
            </w:r>
          </w:p>
        </w:tc>
        <w:tc>
          <w:tcPr>
            <w:tcW w:w="4969" w:type="dxa"/>
            <w:shd w:val="clear" w:color="auto" w:fill="C4EFCE"/>
            <w:vAlign w:val="center"/>
            <w:hideMark/>
          </w:tcPr>
          <w:p w14:paraId="6C65AF43" w14:textId="2DE6C2A7" w:rsidR="00E040FD" w:rsidRDefault="00740D64">
            <w:pPr>
              <w:pStyle w:val="P68B1DB1-Normal8"/>
              <w:spacing w:after="0" w:line="240" w:lineRule="auto"/>
              <w:jc w:val="both"/>
              <w:rPr>
                <w:rFonts w:eastAsia="Times New Roman" w:cs="Calibri"/>
                <w:noProof/>
              </w:rPr>
            </w:pPr>
            <w:r>
              <w:rPr>
                <w:noProof/>
              </w:rPr>
              <w:t xml:space="preserve">Antalet anpassningar för vilka finansieringsavtal har undertecknats. </w:t>
            </w:r>
          </w:p>
          <w:p w14:paraId="1401935B" w14:textId="77777777" w:rsidR="00E040FD" w:rsidRDefault="00740D64">
            <w:pPr>
              <w:pStyle w:val="P68B1DB1-Normal8"/>
              <w:spacing w:after="0" w:line="240" w:lineRule="auto"/>
              <w:jc w:val="both"/>
              <w:rPr>
                <w:rFonts w:eastAsia="Times New Roman" w:cs="Calibri"/>
                <w:noProof/>
              </w:rPr>
            </w:pPr>
            <w:r>
              <w:rPr>
                <w:noProof/>
              </w:rPr>
              <w:t>Enheterna lämnar in sina ansökningar om finansiering i den anbudsinfordran som inletts av IHRU (Housing and Urban Rehabilitation Institute) som, efter att ha bedömt och begärt ett yttrande från ISS (institutet för social trygghet) om de inlämnade ansökningarnas giltighet och genomförbarhet, kontrakterar finansieringen och fastställer en tidsfrist för dess genomförande. Inkvartering: en del av eller hela en byggnad med oberoende tillgång som består av en eller flera bostadsutrymmen och ytterligare privata utrymmen eller bostadsenheter för mer än ett hushåll.</w:t>
            </w:r>
          </w:p>
        </w:tc>
      </w:tr>
      <w:tr w:rsidR="00E040FD" w14:paraId="301EE51C" w14:textId="77777777">
        <w:trPr>
          <w:trHeight w:val="2674"/>
        </w:trPr>
        <w:tc>
          <w:tcPr>
            <w:tcW w:w="1134" w:type="dxa"/>
            <w:shd w:val="clear" w:color="auto" w:fill="C5EFCE"/>
            <w:vAlign w:val="center"/>
            <w:hideMark/>
          </w:tcPr>
          <w:p w14:paraId="68B87CC0" w14:textId="77777777" w:rsidR="00E040FD" w:rsidRDefault="00740D64">
            <w:pPr>
              <w:pStyle w:val="P68B1DB1-Normal7"/>
              <w:spacing w:after="0" w:line="240" w:lineRule="auto"/>
              <w:jc w:val="center"/>
              <w:rPr>
                <w:rFonts w:eastAsia="Times New Roman" w:cs="Calibri"/>
                <w:noProof/>
              </w:rPr>
            </w:pPr>
            <w:r>
              <w:rPr>
                <w:noProof/>
              </w:rPr>
              <w:t>2.5</w:t>
            </w:r>
          </w:p>
        </w:tc>
        <w:tc>
          <w:tcPr>
            <w:tcW w:w="1304" w:type="dxa"/>
            <w:shd w:val="clear" w:color="auto" w:fill="C4EFCE"/>
            <w:vAlign w:val="center"/>
            <w:hideMark/>
          </w:tcPr>
          <w:p w14:paraId="0896B5A2" w14:textId="77777777" w:rsidR="00E040FD" w:rsidRDefault="00740D6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18C2C033"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2542EC9" w14:textId="77777777" w:rsidR="00E040FD" w:rsidRDefault="00740D64">
            <w:pPr>
              <w:pStyle w:val="P68B1DB1-Normal8"/>
              <w:spacing w:after="0" w:line="240" w:lineRule="auto"/>
              <w:jc w:val="center"/>
              <w:rPr>
                <w:rFonts w:eastAsia="Times New Roman" w:cs="Calibri"/>
                <w:noProof/>
              </w:rPr>
            </w:pPr>
            <w:r>
              <w:rPr>
                <w:noProof/>
              </w:rPr>
              <w:t>Nationellt nöd- och tillfälligt bostadsbidrag – Undertecknande av finansieringsavtal för nödbostäder och tillfälliga bostäder</w:t>
            </w:r>
          </w:p>
        </w:tc>
        <w:tc>
          <w:tcPr>
            <w:tcW w:w="1355" w:type="dxa"/>
            <w:shd w:val="clear" w:color="auto" w:fill="C4EFCE"/>
            <w:vAlign w:val="center"/>
            <w:hideMark/>
          </w:tcPr>
          <w:p w14:paraId="729388B8"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0F0E16D" w14:textId="48C4EEB3"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5404D043" w14:textId="77777777" w:rsidR="00E040FD" w:rsidRDefault="00740D64">
            <w:pPr>
              <w:pStyle w:val="P68B1DB1-Normal8"/>
              <w:spacing w:after="0" w:line="240" w:lineRule="auto"/>
              <w:jc w:val="center"/>
              <w:rPr>
                <w:rFonts w:eastAsia="Times New Roman" w:cs="Calibri"/>
                <w:noProof/>
              </w:rPr>
            </w:pPr>
            <w:r>
              <w:rPr>
                <w:noProof/>
              </w:rPr>
              <w:t>500</w:t>
            </w:r>
          </w:p>
        </w:tc>
        <w:tc>
          <w:tcPr>
            <w:tcW w:w="897" w:type="dxa"/>
            <w:shd w:val="clear" w:color="auto" w:fill="C4EFCE"/>
            <w:vAlign w:val="center"/>
            <w:hideMark/>
          </w:tcPr>
          <w:p w14:paraId="57B686FC" w14:textId="77777777" w:rsidR="00E040FD" w:rsidRDefault="00740D64">
            <w:pPr>
              <w:pStyle w:val="P68B1DB1-Normal8"/>
              <w:spacing w:after="0" w:line="240" w:lineRule="auto"/>
              <w:jc w:val="center"/>
              <w:rPr>
                <w:rFonts w:eastAsia="Times New Roman" w:cs="Calibri"/>
                <w:noProof/>
              </w:rPr>
            </w:pPr>
            <w:r>
              <w:rPr>
                <w:noProof/>
              </w:rPr>
              <w:t>1 000</w:t>
            </w:r>
          </w:p>
        </w:tc>
        <w:tc>
          <w:tcPr>
            <w:tcW w:w="473" w:type="dxa"/>
            <w:shd w:val="clear" w:color="auto" w:fill="C4EFCE"/>
            <w:vAlign w:val="center"/>
            <w:hideMark/>
          </w:tcPr>
          <w:p w14:paraId="106559ED" w14:textId="77777777" w:rsidR="00E040FD" w:rsidRDefault="00740D64">
            <w:pPr>
              <w:pStyle w:val="P68B1DB1-Normal8"/>
              <w:spacing w:after="0" w:line="240" w:lineRule="auto"/>
              <w:jc w:val="center"/>
              <w:rPr>
                <w:rFonts w:eastAsia="Times New Roman" w:cs="Calibri"/>
                <w:noProof/>
              </w:rPr>
            </w:pPr>
            <w:r>
              <w:rPr>
                <w:noProof/>
              </w:rPr>
              <w:t>KVARTAL 3</w:t>
            </w:r>
          </w:p>
        </w:tc>
        <w:tc>
          <w:tcPr>
            <w:tcW w:w="625" w:type="dxa"/>
            <w:shd w:val="clear" w:color="auto" w:fill="C4EFCE"/>
            <w:vAlign w:val="center"/>
            <w:hideMark/>
          </w:tcPr>
          <w:p w14:paraId="1B378D8D" w14:textId="77777777" w:rsidR="00E040FD" w:rsidRDefault="00740D64">
            <w:pPr>
              <w:pStyle w:val="P68B1DB1-Normal8"/>
              <w:spacing w:after="0" w:line="240" w:lineRule="auto"/>
              <w:jc w:val="center"/>
              <w:rPr>
                <w:rFonts w:eastAsia="Times New Roman" w:cs="Calibri"/>
                <w:noProof/>
              </w:rPr>
            </w:pPr>
            <w:r>
              <w:rPr>
                <w:noProof/>
              </w:rPr>
              <w:t>2024</w:t>
            </w:r>
          </w:p>
        </w:tc>
        <w:tc>
          <w:tcPr>
            <w:tcW w:w="4969" w:type="dxa"/>
            <w:shd w:val="clear" w:color="auto" w:fill="C4EFCE"/>
            <w:vAlign w:val="center"/>
          </w:tcPr>
          <w:p w14:paraId="1296F222" w14:textId="08C6502C" w:rsidR="00E040FD" w:rsidRDefault="00740D64">
            <w:pPr>
              <w:pStyle w:val="P68B1DB1-Normal8"/>
              <w:spacing w:after="0" w:line="240" w:lineRule="auto"/>
              <w:jc w:val="both"/>
              <w:rPr>
                <w:rFonts w:eastAsia="Times New Roman" w:cs="Calibri"/>
                <w:noProof/>
              </w:rPr>
            </w:pPr>
            <w:r>
              <w:rPr>
                <w:noProof/>
              </w:rPr>
              <w:t>Antalet anpassningar för vilka finansieringsavtal har undertecknats.</w:t>
            </w:r>
          </w:p>
          <w:p w14:paraId="3D3E1365" w14:textId="769D7B7A" w:rsidR="00E040FD" w:rsidRDefault="00740D64">
            <w:pPr>
              <w:pStyle w:val="P68B1DB1-Normal8"/>
              <w:spacing w:after="0" w:line="240" w:lineRule="auto"/>
              <w:jc w:val="both"/>
              <w:rPr>
                <w:rFonts w:eastAsia="Times New Roman" w:cs="Calibri"/>
                <w:noProof/>
              </w:rPr>
            </w:pPr>
            <w:r>
              <w:rPr>
                <w:noProof/>
              </w:rPr>
              <w:t>Enheterna lämnar in sina ansökningar om finansiering i den anbudsinfordran som inletts av IHRU (Housing and Urban Rehabilitation Institute) som, efter att ha bedömt och begärt ett yttrande från ISS (institutet för social trygghet) om de inlämnade ansökningarnas giltighet och genomförbarhet, kontrakterar finansieringen och fastställer en tidsfrist för dess genomförande. Inkvartering: en del av eller hela en byggnad med oberoende tillgång som består av en eller flera bostadsutrymmen och ytterligare privata utrymmen eller bostadsenheter för mer än ett hushåll.</w:t>
            </w:r>
          </w:p>
          <w:p w14:paraId="117AD3E0" w14:textId="77777777" w:rsidR="00E040FD" w:rsidRDefault="00E040FD">
            <w:pPr>
              <w:spacing w:after="0" w:line="240" w:lineRule="auto"/>
              <w:jc w:val="both"/>
              <w:rPr>
                <w:rFonts w:ascii="Calibri" w:eastAsia="Times New Roman" w:hAnsi="Calibri" w:cs="Calibri"/>
                <w:noProof/>
                <w:sz w:val="16"/>
              </w:rPr>
            </w:pPr>
          </w:p>
        </w:tc>
      </w:tr>
      <w:tr w:rsidR="00E040FD" w14:paraId="4D975256" w14:textId="77777777">
        <w:trPr>
          <w:trHeight w:val="2253"/>
        </w:trPr>
        <w:tc>
          <w:tcPr>
            <w:tcW w:w="1134" w:type="dxa"/>
            <w:shd w:val="clear" w:color="auto" w:fill="C5EFCE"/>
            <w:vAlign w:val="center"/>
            <w:hideMark/>
          </w:tcPr>
          <w:p w14:paraId="2C482782" w14:textId="77777777" w:rsidR="00E040FD" w:rsidRDefault="00740D64">
            <w:pPr>
              <w:pStyle w:val="P68B1DB1-Normal7"/>
              <w:spacing w:after="0" w:line="240" w:lineRule="auto"/>
              <w:jc w:val="center"/>
              <w:rPr>
                <w:rFonts w:eastAsia="Times New Roman" w:cs="Calibri"/>
                <w:noProof/>
              </w:rPr>
            </w:pPr>
            <w:r>
              <w:rPr>
                <w:noProof/>
              </w:rPr>
              <w:t>2.6</w:t>
            </w:r>
          </w:p>
        </w:tc>
        <w:tc>
          <w:tcPr>
            <w:tcW w:w="1304" w:type="dxa"/>
            <w:shd w:val="clear" w:color="auto" w:fill="C4EFCE"/>
            <w:vAlign w:val="center"/>
            <w:hideMark/>
          </w:tcPr>
          <w:p w14:paraId="672072E0" w14:textId="77777777" w:rsidR="00E040FD" w:rsidRDefault="00740D6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62E3F49B"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5E2BDA77" w14:textId="3AFE50BF" w:rsidR="00E040FD" w:rsidRDefault="00740D64">
            <w:pPr>
              <w:pStyle w:val="P68B1DB1-Normal8"/>
              <w:spacing w:after="0" w:line="240" w:lineRule="auto"/>
              <w:jc w:val="center"/>
              <w:rPr>
                <w:rFonts w:eastAsia="Times New Roman" w:cs="Calibri"/>
                <w:noProof/>
              </w:rPr>
            </w:pPr>
            <w:r>
              <w:rPr>
                <w:noProof/>
              </w:rPr>
              <w:t>Nationellt nödboende och tillfälligt bostadsbidrag – Anläggningar med byggnadsarbeten som påbörjats eller köpts in för nödbostäder och övergångsboenden (som ska byggas eller köpas med energieffektivitetsnorm eller renoveras med förbättrad energiprestanda) under uppförande</w:t>
            </w:r>
          </w:p>
        </w:tc>
        <w:tc>
          <w:tcPr>
            <w:tcW w:w="1355" w:type="dxa"/>
            <w:shd w:val="clear" w:color="auto" w:fill="C4EFCE"/>
            <w:vAlign w:val="center"/>
            <w:hideMark/>
          </w:tcPr>
          <w:p w14:paraId="5368E03F"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796FA2A1" w14:textId="460620FE"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4ABF0136" w14:textId="77777777" w:rsidR="00E040FD" w:rsidRDefault="00740D6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C9E3EE0" w14:textId="496C8208" w:rsidR="00E040FD" w:rsidRDefault="00740D64">
            <w:pPr>
              <w:pStyle w:val="P68B1DB1-Normal8"/>
              <w:spacing w:after="0" w:line="240" w:lineRule="auto"/>
              <w:jc w:val="center"/>
              <w:rPr>
                <w:rFonts w:eastAsia="Times New Roman" w:cs="Calibri"/>
                <w:noProof/>
              </w:rPr>
            </w:pPr>
            <w:r>
              <w:rPr>
                <w:noProof/>
              </w:rPr>
              <w:t>350</w:t>
            </w:r>
          </w:p>
        </w:tc>
        <w:tc>
          <w:tcPr>
            <w:tcW w:w="473" w:type="dxa"/>
            <w:shd w:val="clear" w:color="auto" w:fill="C4EFCE"/>
            <w:vAlign w:val="center"/>
            <w:hideMark/>
          </w:tcPr>
          <w:p w14:paraId="7DDECB12" w14:textId="77777777" w:rsidR="00E040FD" w:rsidRDefault="00740D64">
            <w:pPr>
              <w:pStyle w:val="P68B1DB1-Normal8"/>
              <w:spacing w:after="0" w:line="240" w:lineRule="auto"/>
              <w:jc w:val="center"/>
              <w:rPr>
                <w:rFonts w:eastAsia="Times New Roman" w:cs="Calibri"/>
                <w:noProof/>
              </w:rPr>
            </w:pPr>
            <w:r>
              <w:rPr>
                <w:noProof/>
              </w:rPr>
              <w:t>KVARTAL 3</w:t>
            </w:r>
          </w:p>
        </w:tc>
        <w:tc>
          <w:tcPr>
            <w:tcW w:w="625" w:type="dxa"/>
            <w:shd w:val="clear" w:color="auto" w:fill="C4EFCE"/>
            <w:vAlign w:val="center"/>
            <w:hideMark/>
          </w:tcPr>
          <w:p w14:paraId="67217E7A" w14:textId="77777777" w:rsidR="00E040FD" w:rsidRDefault="00740D64">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0AFE01CA" w14:textId="473A67E9" w:rsidR="00E040FD" w:rsidRDefault="00740D64">
            <w:pPr>
              <w:pStyle w:val="P68B1DB1-Normal8"/>
              <w:spacing w:after="0" w:line="240" w:lineRule="auto"/>
              <w:jc w:val="both"/>
              <w:rPr>
                <w:rFonts w:eastAsia="Times New Roman" w:cs="Calibri"/>
                <w:noProof/>
              </w:rPr>
            </w:pPr>
            <w:r>
              <w:rPr>
                <w:noProof/>
              </w:rPr>
              <w:t xml:space="preserve">Bostäder för vilka byggnadsarbeten påbörjades eller bostäder köptes in. När finansieringen har kontrakterats frigörs beloppet till enheterna beroende på hur avtalet fullgörs. Nya byggnader ska ha ett primärenergibehov som är minst 20 % lägre än behoven för nära-nollenergibyggnader (med undantag för pågående projekt som budgeterats för 2021 och 2022, vilket motsvarar 14 800 000 EUR av det totala anslaget för denna åtgärd). </w:t>
            </w:r>
          </w:p>
        </w:tc>
      </w:tr>
      <w:tr w:rsidR="00E040FD" w14:paraId="5D93E105" w14:textId="77777777">
        <w:trPr>
          <w:trHeight w:val="509"/>
        </w:trPr>
        <w:tc>
          <w:tcPr>
            <w:tcW w:w="1134" w:type="dxa"/>
            <w:shd w:val="clear" w:color="auto" w:fill="C5EFCE"/>
            <w:vAlign w:val="center"/>
            <w:hideMark/>
          </w:tcPr>
          <w:p w14:paraId="413E90AC" w14:textId="77777777" w:rsidR="00E040FD" w:rsidRDefault="00740D64">
            <w:pPr>
              <w:pStyle w:val="P68B1DB1-Normal7"/>
              <w:spacing w:after="0" w:line="240" w:lineRule="auto"/>
              <w:jc w:val="center"/>
              <w:rPr>
                <w:rFonts w:eastAsia="Times New Roman" w:cs="Calibri"/>
                <w:noProof/>
              </w:rPr>
            </w:pPr>
            <w:r>
              <w:rPr>
                <w:noProof/>
              </w:rPr>
              <w:t>2.7</w:t>
            </w:r>
          </w:p>
        </w:tc>
        <w:tc>
          <w:tcPr>
            <w:tcW w:w="1304" w:type="dxa"/>
            <w:shd w:val="clear" w:color="auto" w:fill="C4EFCE"/>
            <w:vAlign w:val="center"/>
            <w:hideMark/>
          </w:tcPr>
          <w:p w14:paraId="1840F1C0" w14:textId="77777777" w:rsidR="00E040FD" w:rsidRDefault="00740D6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0E870F5F"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6E6560F6" w14:textId="5E9818E4" w:rsidR="00E040FD" w:rsidRDefault="00740D64">
            <w:pPr>
              <w:pStyle w:val="P68B1DB1-Normal8"/>
              <w:spacing w:after="0" w:line="240" w:lineRule="auto"/>
              <w:jc w:val="center"/>
              <w:rPr>
                <w:rFonts w:eastAsia="Times New Roman" w:cs="Calibri"/>
                <w:noProof/>
              </w:rPr>
            </w:pPr>
            <w:r>
              <w:rPr>
                <w:noProof/>
              </w:rPr>
              <w:t>Nationellt nödboende och tillfälligt bostadsbidrag – Nöd- och övergångsboenden som skapats (byggda eller köpts med energieffektivitetsnorm eller renoverats, inklusive även inköpta, med förbättrad energiprestanda) och levereras till byggherrar</w:t>
            </w:r>
          </w:p>
        </w:tc>
        <w:tc>
          <w:tcPr>
            <w:tcW w:w="1355" w:type="dxa"/>
            <w:shd w:val="clear" w:color="auto" w:fill="C4EFCE"/>
            <w:vAlign w:val="center"/>
            <w:hideMark/>
          </w:tcPr>
          <w:p w14:paraId="4245B913"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07D9E38D" w14:textId="742C938D"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4CFB3CF0" w14:textId="77777777" w:rsidR="00E040FD" w:rsidRDefault="00740D6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5D5D9D2D" w14:textId="77777777" w:rsidR="00E040FD" w:rsidRDefault="00740D64">
            <w:pPr>
              <w:pStyle w:val="P68B1DB1-Normal8"/>
              <w:spacing w:after="0" w:line="240" w:lineRule="auto"/>
              <w:jc w:val="center"/>
              <w:rPr>
                <w:rFonts w:eastAsia="Times New Roman" w:cs="Calibri"/>
                <w:noProof/>
              </w:rPr>
            </w:pPr>
            <w:r>
              <w:rPr>
                <w:noProof/>
              </w:rPr>
              <w:t>2 000</w:t>
            </w:r>
          </w:p>
        </w:tc>
        <w:tc>
          <w:tcPr>
            <w:tcW w:w="473" w:type="dxa"/>
            <w:shd w:val="clear" w:color="auto" w:fill="C4EFCE"/>
            <w:vAlign w:val="center"/>
            <w:hideMark/>
          </w:tcPr>
          <w:p w14:paraId="6B63A6F4" w14:textId="77777777" w:rsidR="00E040FD" w:rsidRDefault="00740D64">
            <w:pPr>
              <w:pStyle w:val="P68B1DB1-Normal8"/>
              <w:spacing w:after="0" w:line="240" w:lineRule="auto"/>
              <w:jc w:val="center"/>
              <w:rPr>
                <w:rFonts w:eastAsia="Times New Roman" w:cs="Calibri"/>
                <w:noProof/>
              </w:rPr>
            </w:pPr>
            <w:r>
              <w:rPr>
                <w:noProof/>
              </w:rPr>
              <w:t>KVARTAL 2</w:t>
            </w:r>
          </w:p>
        </w:tc>
        <w:tc>
          <w:tcPr>
            <w:tcW w:w="625" w:type="dxa"/>
            <w:shd w:val="clear" w:color="auto" w:fill="C4EFCE"/>
            <w:vAlign w:val="center"/>
            <w:hideMark/>
          </w:tcPr>
          <w:p w14:paraId="6908D626" w14:textId="77777777" w:rsidR="00E040FD" w:rsidRDefault="00740D6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130C6538" w14:textId="26B12645" w:rsidR="00E040FD" w:rsidRDefault="00740D64">
            <w:pPr>
              <w:pStyle w:val="P68B1DB1-Normal8"/>
              <w:spacing w:after="0" w:line="240" w:lineRule="auto"/>
              <w:jc w:val="both"/>
              <w:rPr>
                <w:rFonts w:eastAsia="Times New Roman" w:cs="Calibri"/>
                <w:noProof/>
              </w:rPr>
            </w:pPr>
            <w:r>
              <w:rPr>
                <w:noProof/>
              </w:rPr>
              <w:t xml:space="preserve">Tillhandahållande av logi till de finansierande organen. Inkvartering: en del av eller hela en byggnad med oberoende tillgång som består av en eller flera bostadsutrymmen och ytterligare privata utrymmen eller bostadsenheter för mer än ett hushåll. Nya byggnader ska ha ett primärenergibehov som är minst 20 % lägre än behoven för nära-nollenergibyggnader (med undantag för pågående projekt som budgeterats för 2021 och 2022, vilket motsvarar 14 800 000 EUR av det totala anslaget för denna åtgärd). Referensenheten är i genomsnitt 73 kvadratmeter för de 2000 bostadsutrymmena. </w:t>
            </w:r>
          </w:p>
        </w:tc>
      </w:tr>
      <w:tr w:rsidR="00E040FD" w14:paraId="7427DF73" w14:textId="77777777">
        <w:trPr>
          <w:trHeight w:val="1114"/>
        </w:trPr>
        <w:tc>
          <w:tcPr>
            <w:tcW w:w="1134" w:type="dxa"/>
            <w:shd w:val="clear" w:color="auto" w:fill="C5EFCE"/>
            <w:vAlign w:val="center"/>
            <w:hideMark/>
          </w:tcPr>
          <w:p w14:paraId="0D2C6831" w14:textId="77777777" w:rsidR="00E040FD" w:rsidRDefault="00740D64">
            <w:pPr>
              <w:pStyle w:val="P68B1DB1-Normal7"/>
              <w:spacing w:after="0" w:line="240" w:lineRule="auto"/>
              <w:jc w:val="center"/>
              <w:rPr>
                <w:rFonts w:eastAsia="Times New Roman" w:cs="Calibri"/>
                <w:noProof/>
              </w:rPr>
            </w:pPr>
            <w:r>
              <w:rPr>
                <w:noProof/>
              </w:rPr>
              <w:t>2.8</w:t>
            </w:r>
          </w:p>
        </w:tc>
        <w:tc>
          <w:tcPr>
            <w:tcW w:w="1304" w:type="dxa"/>
            <w:shd w:val="clear" w:color="auto" w:fill="C4EFCE"/>
            <w:vAlign w:val="center"/>
            <w:hideMark/>
          </w:tcPr>
          <w:p w14:paraId="7BA5DE70" w14:textId="77777777" w:rsidR="00E040FD" w:rsidRDefault="00740D6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25536932"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BF77C68" w14:textId="7515E99F" w:rsidR="00E040FD" w:rsidRDefault="00740D64">
            <w:pPr>
              <w:pStyle w:val="P68B1DB1-Normal8"/>
              <w:spacing w:after="0" w:line="240" w:lineRule="auto"/>
              <w:jc w:val="center"/>
              <w:rPr>
                <w:rFonts w:eastAsia="Times New Roman" w:cs="Calibri"/>
                <w:noProof/>
              </w:rPr>
            </w:pPr>
            <w:r>
              <w:rPr>
                <w:noProof/>
              </w:rPr>
              <w:t>Inkvartering till säkerhetsstyrkor och tillfälligt boende som tillhandahålls av humanitära skäl eller säkerhetsskäl</w:t>
            </w:r>
          </w:p>
        </w:tc>
        <w:tc>
          <w:tcPr>
            <w:tcW w:w="1355" w:type="dxa"/>
            <w:shd w:val="clear" w:color="auto" w:fill="C4EFCE"/>
            <w:vAlign w:val="center"/>
            <w:hideMark/>
          </w:tcPr>
          <w:p w14:paraId="306C6212"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8FB2089" w14:textId="77777777"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651BF2FF" w14:textId="77777777" w:rsidR="00E040FD" w:rsidRDefault="00740D6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7C46088F" w14:textId="77777777" w:rsidR="00E040FD" w:rsidRDefault="00740D64">
            <w:pPr>
              <w:pStyle w:val="P68B1DB1-Normal8"/>
              <w:spacing w:after="0" w:line="240" w:lineRule="auto"/>
              <w:jc w:val="center"/>
              <w:rPr>
                <w:rFonts w:eastAsia="Times New Roman" w:cs="Calibri"/>
                <w:noProof/>
              </w:rPr>
            </w:pPr>
            <w:r>
              <w:rPr>
                <w:noProof/>
              </w:rPr>
              <w:t>473</w:t>
            </w:r>
          </w:p>
        </w:tc>
        <w:tc>
          <w:tcPr>
            <w:tcW w:w="473" w:type="dxa"/>
            <w:shd w:val="clear" w:color="auto" w:fill="C4EFCE"/>
            <w:vAlign w:val="center"/>
            <w:hideMark/>
          </w:tcPr>
          <w:p w14:paraId="25C353AE" w14:textId="77777777" w:rsidR="00E040FD" w:rsidRDefault="00740D64">
            <w:pPr>
              <w:pStyle w:val="P68B1DB1-Normal8"/>
              <w:spacing w:after="0" w:line="240" w:lineRule="auto"/>
              <w:jc w:val="center"/>
              <w:rPr>
                <w:rFonts w:eastAsia="Times New Roman" w:cs="Calibri"/>
                <w:noProof/>
              </w:rPr>
            </w:pPr>
            <w:r>
              <w:rPr>
                <w:noProof/>
              </w:rPr>
              <w:t>KVARTAL 2</w:t>
            </w:r>
          </w:p>
        </w:tc>
        <w:tc>
          <w:tcPr>
            <w:tcW w:w="625" w:type="dxa"/>
            <w:shd w:val="clear" w:color="auto" w:fill="C4EFCE"/>
            <w:vAlign w:val="center"/>
            <w:hideMark/>
          </w:tcPr>
          <w:p w14:paraId="516E0C42" w14:textId="77777777" w:rsidR="00E040FD" w:rsidRDefault="00740D6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05D915D9" w14:textId="6245803B" w:rsidR="00E040FD" w:rsidRDefault="00740D64">
            <w:pPr>
              <w:pStyle w:val="P68B1DB1-Normal8"/>
              <w:spacing w:after="0" w:line="240" w:lineRule="auto"/>
              <w:jc w:val="both"/>
              <w:rPr>
                <w:rFonts w:eastAsia="Times New Roman" w:cs="Calibri"/>
                <w:noProof/>
              </w:rPr>
            </w:pPr>
            <w:r>
              <w:rPr>
                <w:noProof/>
              </w:rPr>
              <w:t>Antal bostäder som levererats till säkerhetsstyrkor (SSGNR – Socialtjänster för nationalgardet, SSPSP – Social Services for the Public Security Police) för tillfälliga boendebehov, inklusive tre block för säkerhetsstyrkor (i fall som motiveras av allmänintresset). Investeringen omfattar också fem centrum för tillfälliga bostäder av humanitära eller säkerhetsmässiga skäl. Nya byggnader ska ha ett primärenergibehov som är minst 20 % lägre än kraven för nära-nollenergibyggnader.</w:t>
            </w:r>
          </w:p>
        </w:tc>
      </w:tr>
      <w:tr w:rsidR="00E040FD" w14:paraId="7B72B6C0" w14:textId="77777777">
        <w:trPr>
          <w:trHeight w:val="1299"/>
        </w:trPr>
        <w:tc>
          <w:tcPr>
            <w:tcW w:w="1134" w:type="dxa"/>
            <w:shd w:val="clear" w:color="auto" w:fill="C5EFCE"/>
            <w:vAlign w:val="center"/>
            <w:hideMark/>
          </w:tcPr>
          <w:p w14:paraId="516C1714" w14:textId="77777777" w:rsidR="00E040FD" w:rsidRDefault="00740D64">
            <w:pPr>
              <w:pStyle w:val="P68B1DB1-Normal7"/>
              <w:spacing w:after="0" w:line="240" w:lineRule="auto"/>
              <w:jc w:val="center"/>
              <w:rPr>
                <w:rFonts w:eastAsia="Times New Roman" w:cs="Calibri"/>
                <w:noProof/>
              </w:rPr>
            </w:pPr>
            <w:r>
              <w:rPr>
                <w:noProof/>
              </w:rPr>
              <w:t>2.10</w:t>
            </w:r>
          </w:p>
        </w:tc>
        <w:tc>
          <w:tcPr>
            <w:tcW w:w="1304" w:type="dxa"/>
            <w:shd w:val="clear" w:color="auto" w:fill="C4EFCE"/>
            <w:vAlign w:val="center"/>
            <w:hideMark/>
          </w:tcPr>
          <w:p w14:paraId="3ABE46D6" w14:textId="77777777" w:rsidR="00E040FD" w:rsidRDefault="00740D64">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30B06126"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798BCDBC" w14:textId="77777777" w:rsidR="00E040FD" w:rsidRDefault="00740D64">
            <w:pPr>
              <w:pStyle w:val="P68B1DB1-Normal8"/>
              <w:spacing w:after="0" w:line="240" w:lineRule="auto"/>
              <w:jc w:val="center"/>
              <w:rPr>
                <w:rFonts w:eastAsia="Times New Roman" w:cs="Calibri"/>
                <w:noProof/>
              </w:rPr>
            </w:pPr>
            <w:r>
              <w:rPr>
                <w:noProof/>
              </w:rPr>
              <w:t>Stöd till bostäder i den autonoma regionen Madeira</w:t>
            </w:r>
          </w:p>
        </w:tc>
        <w:tc>
          <w:tcPr>
            <w:tcW w:w="1355" w:type="dxa"/>
            <w:shd w:val="clear" w:color="auto" w:fill="C4EFCE"/>
            <w:vAlign w:val="center"/>
            <w:hideMark/>
          </w:tcPr>
          <w:p w14:paraId="0360AAD3"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E860824" w14:textId="520F84DE"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66F31C5A" w14:textId="6271036C" w:rsidR="00E040FD" w:rsidRDefault="00740D6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7938948" w14:textId="77777777" w:rsidR="00E040FD" w:rsidRDefault="00740D64">
            <w:pPr>
              <w:pStyle w:val="P68B1DB1-Normal8"/>
              <w:spacing w:after="0" w:line="240" w:lineRule="auto"/>
              <w:jc w:val="center"/>
              <w:rPr>
                <w:rFonts w:eastAsia="Times New Roman" w:cs="Calibri"/>
                <w:noProof/>
              </w:rPr>
            </w:pPr>
            <w:r>
              <w:rPr>
                <w:noProof/>
              </w:rPr>
              <w:t>590</w:t>
            </w:r>
          </w:p>
        </w:tc>
        <w:tc>
          <w:tcPr>
            <w:tcW w:w="473" w:type="dxa"/>
            <w:shd w:val="clear" w:color="auto" w:fill="C4EFCE"/>
            <w:vAlign w:val="center"/>
            <w:hideMark/>
          </w:tcPr>
          <w:p w14:paraId="120647CE" w14:textId="77777777" w:rsidR="00E040FD" w:rsidRDefault="00740D64">
            <w:pPr>
              <w:pStyle w:val="P68B1DB1-Normal8"/>
              <w:spacing w:after="0" w:line="240" w:lineRule="auto"/>
              <w:jc w:val="center"/>
              <w:rPr>
                <w:rFonts w:eastAsia="Times New Roman" w:cs="Calibri"/>
                <w:noProof/>
              </w:rPr>
            </w:pPr>
            <w:r>
              <w:rPr>
                <w:noProof/>
              </w:rPr>
              <w:t>KVARTAL 4</w:t>
            </w:r>
          </w:p>
        </w:tc>
        <w:tc>
          <w:tcPr>
            <w:tcW w:w="625" w:type="dxa"/>
            <w:shd w:val="clear" w:color="auto" w:fill="C4EFCE"/>
            <w:vAlign w:val="center"/>
            <w:hideMark/>
          </w:tcPr>
          <w:p w14:paraId="15FD699A" w14:textId="77777777" w:rsidR="00E040FD" w:rsidRDefault="00740D64">
            <w:pPr>
              <w:pStyle w:val="P68B1DB1-Normal8"/>
              <w:spacing w:after="0" w:line="240" w:lineRule="auto"/>
              <w:jc w:val="center"/>
              <w:rPr>
                <w:rFonts w:eastAsia="Times New Roman" w:cs="Calibri"/>
                <w:noProof/>
              </w:rPr>
            </w:pPr>
            <w:r>
              <w:rPr>
                <w:noProof/>
              </w:rPr>
              <w:t>2024</w:t>
            </w:r>
          </w:p>
        </w:tc>
        <w:tc>
          <w:tcPr>
            <w:tcW w:w="4969" w:type="dxa"/>
            <w:shd w:val="clear" w:color="auto" w:fill="C4EFCE"/>
            <w:vAlign w:val="center"/>
            <w:hideMark/>
          </w:tcPr>
          <w:p w14:paraId="35C90287" w14:textId="0A2F9A09" w:rsidR="00E040FD" w:rsidRDefault="00740D64">
            <w:pPr>
              <w:pStyle w:val="P68B1DB1-Normal8"/>
              <w:spacing w:after="0" w:line="240" w:lineRule="auto"/>
              <w:jc w:val="both"/>
              <w:rPr>
                <w:rFonts w:eastAsia="Times New Roman" w:cs="Calibri"/>
                <w:noProof/>
              </w:rPr>
            </w:pPr>
            <w:r>
              <w:rPr>
                <w:noProof/>
              </w:rPr>
              <w:t xml:space="preserve">Antal bostäder som tilldelats stödberättigade hushåll i samband med uppförande av subventionerade bostäder eller inköp av bostäder för subventionerade bostäder. Nya byggnader ska ha ett primärenergibehov som är minst 20 % lägre än kraven för nära-nollenergibyggnader. </w:t>
            </w:r>
          </w:p>
        </w:tc>
      </w:tr>
      <w:tr w:rsidR="00E040FD" w14:paraId="5BA4E6AD" w14:textId="77777777">
        <w:trPr>
          <w:trHeight w:val="1260"/>
        </w:trPr>
        <w:tc>
          <w:tcPr>
            <w:tcW w:w="1134" w:type="dxa"/>
            <w:shd w:val="clear" w:color="auto" w:fill="C5EFCE"/>
            <w:vAlign w:val="center"/>
            <w:hideMark/>
          </w:tcPr>
          <w:p w14:paraId="7AD9EF6A" w14:textId="77777777" w:rsidR="00E040FD" w:rsidRDefault="00740D64">
            <w:pPr>
              <w:pStyle w:val="P68B1DB1-Normal7"/>
              <w:spacing w:after="0" w:line="240" w:lineRule="auto"/>
              <w:jc w:val="center"/>
              <w:rPr>
                <w:rFonts w:eastAsia="Times New Roman" w:cs="Calibri"/>
                <w:noProof/>
              </w:rPr>
            </w:pPr>
            <w:r>
              <w:rPr>
                <w:noProof/>
              </w:rPr>
              <w:t>2.11</w:t>
            </w:r>
          </w:p>
        </w:tc>
        <w:tc>
          <w:tcPr>
            <w:tcW w:w="1304" w:type="dxa"/>
            <w:shd w:val="clear" w:color="auto" w:fill="C4EFCE"/>
            <w:vAlign w:val="center"/>
            <w:hideMark/>
          </w:tcPr>
          <w:p w14:paraId="15C2A587" w14:textId="77777777" w:rsidR="00E040FD" w:rsidRDefault="00740D64">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6754F4CC"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41401E43" w14:textId="77777777" w:rsidR="00E040FD" w:rsidRDefault="00740D64">
            <w:pPr>
              <w:pStyle w:val="P68B1DB1-Normal8"/>
              <w:spacing w:after="0" w:line="240" w:lineRule="auto"/>
              <w:jc w:val="center"/>
              <w:rPr>
                <w:rFonts w:eastAsia="Times New Roman" w:cs="Calibri"/>
                <w:noProof/>
              </w:rPr>
            </w:pPr>
            <w:r>
              <w:rPr>
                <w:noProof/>
              </w:rPr>
              <w:t>Stöd till bostäder i den autonoma regionen Madeira</w:t>
            </w:r>
          </w:p>
        </w:tc>
        <w:tc>
          <w:tcPr>
            <w:tcW w:w="1355" w:type="dxa"/>
            <w:shd w:val="clear" w:color="auto" w:fill="C4EFCE"/>
            <w:vAlign w:val="center"/>
            <w:hideMark/>
          </w:tcPr>
          <w:p w14:paraId="53D5B63F"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8BD7AC9" w14:textId="38690FCA"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281C3A14" w14:textId="77777777" w:rsidR="00E040FD" w:rsidRDefault="00740D64">
            <w:pPr>
              <w:pStyle w:val="P68B1DB1-Normal8"/>
              <w:spacing w:after="0" w:line="240" w:lineRule="auto"/>
              <w:jc w:val="center"/>
              <w:rPr>
                <w:rFonts w:eastAsia="Times New Roman" w:cs="Calibri"/>
                <w:noProof/>
              </w:rPr>
            </w:pPr>
            <w:r>
              <w:rPr>
                <w:noProof/>
              </w:rPr>
              <w:t>590</w:t>
            </w:r>
          </w:p>
        </w:tc>
        <w:tc>
          <w:tcPr>
            <w:tcW w:w="897" w:type="dxa"/>
            <w:shd w:val="clear" w:color="auto" w:fill="C4EFCE"/>
            <w:vAlign w:val="center"/>
            <w:hideMark/>
          </w:tcPr>
          <w:p w14:paraId="5DECC890" w14:textId="5F34FF58" w:rsidR="00E040FD" w:rsidRDefault="00740D64">
            <w:pPr>
              <w:pStyle w:val="P68B1DB1-Normal8"/>
              <w:spacing w:after="0" w:line="240" w:lineRule="auto"/>
              <w:jc w:val="center"/>
              <w:rPr>
                <w:rFonts w:eastAsia="Times New Roman" w:cs="Calibri"/>
                <w:noProof/>
              </w:rPr>
            </w:pPr>
            <w:r>
              <w:rPr>
                <w:noProof/>
              </w:rPr>
              <w:t>805</w:t>
            </w:r>
          </w:p>
        </w:tc>
        <w:tc>
          <w:tcPr>
            <w:tcW w:w="473" w:type="dxa"/>
            <w:shd w:val="clear" w:color="auto" w:fill="C4EFCE"/>
            <w:vAlign w:val="center"/>
            <w:hideMark/>
          </w:tcPr>
          <w:p w14:paraId="5FD71819" w14:textId="77777777" w:rsidR="00E040FD" w:rsidRDefault="00740D64">
            <w:pPr>
              <w:pStyle w:val="P68B1DB1-Normal8"/>
              <w:spacing w:after="0" w:line="240" w:lineRule="auto"/>
              <w:jc w:val="center"/>
              <w:rPr>
                <w:rFonts w:eastAsia="Times New Roman" w:cs="Calibri"/>
                <w:noProof/>
              </w:rPr>
            </w:pPr>
            <w:r>
              <w:rPr>
                <w:noProof/>
              </w:rPr>
              <w:t>KVARTAL 2</w:t>
            </w:r>
          </w:p>
        </w:tc>
        <w:tc>
          <w:tcPr>
            <w:tcW w:w="625" w:type="dxa"/>
            <w:shd w:val="clear" w:color="auto" w:fill="C4EFCE"/>
            <w:vAlign w:val="center"/>
            <w:hideMark/>
          </w:tcPr>
          <w:p w14:paraId="59C4647A" w14:textId="77777777" w:rsidR="00E040FD" w:rsidRDefault="00740D6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5E4F7DA7" w14:textId="16DA01F2" w:rsidR="00E040FD" w:rsidRDefault="00740D64">
            <w:pPr>
              <w:pStyle w:val="P68B1DB1-Normal8"/>
              <w:spacing w:after="0" w:line="240" w:lineRule="auto"/>
              <w:jc w:val="both"/>
              <w:rPr>
                <w:rFonts w:eastAsia="Times New Roman" w:cs="Calibri"/>
                <w:noProof/>
              </w:rPr>
            </w:pPr>
            <w:r>
              <w:rPr>
                <w:noProof/>
              </w:rPr>
              <w:t xml:space="preserve">Antal bostäder som tilldelats stödberättigade hushåll i samband med uppförande av subventionerade bostäder eller inköp av bostäder för subventionerade bostäder. Nya byggnader ska ha ett primärenergibehov som är minst 20 % lägre än kraven för nära-nollenergibyggnader. Referensenhet per bostad är i genomsnitt 90 kvadratmeter för de 805 bostäderna. </w:t>
            </w:r>
          </w:p>
          <w:p w14:paraId="158CF522" w14:textId="7FF039D2" w:rsidR="00E040FD" w:rsidRDefault="00740D64">
            <w:pPr>
              <w:pStyle w:val="P68B1DB1-Normal8"/>
              <w:spacing w:after="0" w:line="240" w:lineRule="auto"/>
              <w:jc w:val="both"/>
              <w:rPr>
                <w:rFonts w:eastAsia="Times New Roman" w:cs="Calibri"/>
                <w:noProof/>
              </w:rPr>
            </w:pPr>
            <w:r>
              <w:rPr>
                <w:noProof/>
              </w:rPr>
              <w:t>Dessutom omfattar investeringen även upphandling av tjänster för utveckling av informationssystem och e-förvaltningslösningar inom bostadssektorn.</w:t>
            </w:r>
          </w:p>
        </w:tc>
      </w:tr>
      <w:tr w:rsidR="00E040FD" w14:paraId="28EAD265" w14:textId="77777777">
        <w:trPr>
          <w:trHeight w:val="1049"/>
        </w:trPr>
        <w:tc>
          <w:tcPr>
            <w:tcW w:w="1134" w:type="dxa"/>
            <w:shd w:val="clear" w:color="auto" w:fill="C5EFCE"/>
            <w:vAlign w:val="center"/>
            <w:hideMark/>
          </w:tcPr>
          <w:p w14:paraId="60326612" w14:textId="77777777" w:rsidR="00E040FD" w:rsidRDefault="00740D64">
            <w:pPr>
              <w:pStyle w:val="P68B1DB1-Normal7"/>
              <w:spacing w:after="0" w:line="240" w:lineRule="auto"/>
              <w:jc w:val="center"/>
              <w:rPr>
                <w:rFonts w:eastAsia="Times New Roman" w:cs="Calibri"/>
                <w:noProof/>
              </w:rPr>
            </w:pPr>
            <w:r>
              <w:rPr>
                <w:noProof/>
              </w:rPr>
              <w:t>2.12</w:t>
            </w:r>
          </w:p>
        </w:tc>
        <w:tc>
          <w:tcPr>
            <w:tcW w:w="1304" w:type="dxa"/>
            <w:shd w:val="clear" w:color="auto" w:fill="C4EFCE"/>
            <w:vAlign w:val="center"/>
            <w:hideMark/>
          </w:tcPr>
          <w:p w14:paraId="0882979C" w14:textId="77777777" w:rsidR="00E040FD" w:rsidRDefault="00740D64">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14FEF1B3"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138B1215" w14:textId="77777777" w:rsidR="00E040FD" w:rsidRDefault="00740D64">
            <w:pPr>
              <w:pStyle w:val="P68B1DB1-Normal8"/>
              <w:spacing w:after="0" w:line="240" w:lineRule="auto"/>
              <w:jc w:val="center"/>
              <w:rPr>
                <w:rFonts w:eastAsia="Times New Roman" w:cs="Calibri"/>
                <w:noProof/>
              </w:rPr>
            </w:pPr>
            <w:r>
              <w:rPr>
                <w:noProof/>
              </w:rPr>
              <w:t>Antal bostäder med privat ägare som renoverats, inklusive med förbättrad energieffektivitet</w:t>
            </w:r>
          </w:p>
        </w:tc>
        <w:tc>
          <w:tcPr>
            <w:tcW w:w="1355" w:type="dxa"/>
            <w:shd w:val="clear" w:color="auto" w:fill="C4EFCE"/>
            <w:vAlign w:val="center"/>
            <w:hideMark/>
          </w:tcPr>
          <w:p w14:paraId="59416FFE"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E723E3D" w14:textId="77777777"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3FCA7144" w14:textId="77777777" w:rsidR="00E040FD" w:rsidRDefault="00740D6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54682601" w14:textId="77777777" w:rsidR="00E040FD" w:rsidRDefault="00740D64">
            <w:pPr>
              <w:pStyle w:val="P68B1DB1-Normal8"/>
              <w:spacing w:after="0" w:line="240" w:lineRule="auto"/>
              <w:jc w:val="center"/>
              <w:rPr>
                <w:rFonts w:eastAsia="Times New Roman" w:cs="Calibri"/>
                <w:noProof/>
              </w:rPr>
            </w:pPr>
            <w:r>
              <w:rPr>
                <w:noProof/>
              </w:rPr>
              <w:t>325</w:t>
            </w:r>
          </w:p>
        </w:tc>
        <w:tc>
          <w:tcPr>
            <w:tcW w:w="473" w:type="dxa"/>
            <w:shd w:val="clear" w:color="auto" w:fill="C4EFCE"/>
            <w:vAlign w:val="center"/>
            <w:hideMark/>
          </w:tcPr>
          <w:p w14:paraId="3A86C835" w14:textId="77777777" w:rsidR="00E040FD" w:rsidRDefault="00740D64">
            <w:pPr>
              <w:pStyle w:val="P68B1DB1-Normal8"/>
              <w:spacing w:after="0" w:line="240" w:lineRule="auto"/>
              <w:jc w:val="center"/>
              <w:rPr>
                <w:rFonts w:eastAsia="Times New Roman" w:cs="Calibri"/>
                <w:noProof/>
              </w:rPr>
            </w:pPr>
            <w:r>
              <w:rPr>
                <w:noProof/>
              </w:rPr>
              <w:t>KVARTAL 2</w:t>
            </w:r>
          </w:p>
        </w:tc>
        <w:tc>
          <w:tcPr>
            <w:tcW w:w="625" w:type="dxa"/>
            <w:shd w:val="clear" w:color="auto" w:fill="C4EFCE"/>
            <w:vAlign w:val="center"/>
            <w:hideMark/>
          </w:tcPr>
          <w:p w14:paraId="5FBB7CE8" w14:textId="77777777" w:rsidR="00E040FD" w:rsidRDefault="00740D6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36B3C073" w14:textId="77777777" w:rsidR="00E040FD" w:rsidRDefault="00740D64">
            <w:pPr>
              <w:pStyle w:val="P68B1DB1-Normal8"/>
              <w:spacing w:after="0" w:line="240" w:lineRule="auto"/>
              <w:jc w:val="both"/>
              <w:rPr>
                <w:rFonts w:eastAsia="Times New Roman" w:cs="Calibri"/>
                <w:noProof/>
              </w:rPr>
            </w:pPr>
            <w:r>
              <w:rPr>
                <w:noProof/>
              </w:rPr>
              <w:t xml:space="preserve">Antal privatägda bostäder som renoverats för de målgrupper som saknar ekonomiska resurser för att utföra renoveringsarbeten. </w:t>
            </w:r>
          </w:p>
        </w:tc>
      </w:tr>
      <w:tr w:rsidR="00E040FD" w14:paraId="05FD9A8C" w14:textId="77777777">
        <w:trPr>
          <w:trHeight w:val="420"/>
        </w:trPr>
        <w:tc>
          <w:tcPr>
            <w:tcW w:w="1134" w:type="dxa"/>
            <w:shd w:val="clear" w:color="auto" w:fill="C5EFCE"/>
            <w:vAlign w:val="center"/>
            <w:hideMark/>
          </w:tcPr>
          <w:p w14:paraId="539645A1" w14:textId="77777777" w:rsidR="00E040FD" w:rsidRDefault="00740D64">
            <w:pPr>
              <w:pStyle w:val="P68B1DB1-Normal7"/>
              <w:spacing w:after="0" w:line="240" w:lineRule="auto"/>
              <w:jc w:val="center"/>
              <w:rPr>
                <w:rFonts w:eastAsia="Times New Roman" w:cs="Calibri"/>
                <w:noProof/>
              </w:rPr>
            </w:pPr>
            <w:r>
              <w:rPr>
                <w:noProof/>
              </w:rPr>
              <w:t>2.13</w:t>
            </w:r>
          </w:p>
        </w:tc>
        <w:tc>
          <w:tcPr>
            <w:tcW w:w="1304" w:type="dxa"/>
            <w:shd w:val="clear" w:color="auto" w:fill="C4EFCE"/>
            <w:vAlign w:val="center"/>
            <w:hideMark/>
          </w:tcPr>
          <w:p w14:paraId="46FA22A1" w14:textId="77777777" w:rsidR="00E040FD" w:rsidRDefault="00740D6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050F5EF9"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39BB19D3" w14:textId="0F34B607" w:rsidR="00E040FD" w:rsidRDefault="00740D64">
            <w:pPr>
              <w:pStyle w:val="P68B1DB1-Normal8"/>
              <w:spacing w:after="0" w:line="240" w:lineRule="auto"/>
              <w:jc w:val="center"/>
              <w:rPr>
                <w:rFonts w:eastAsia="Times New Roman" w:cs="Calibri"/>
                <w:noProof/>
              </w:rPr>
            </w:pPr>
            <w:r>
              <w:rPr>
                <w:noProof/>
              </w:rPr>
              <w:t xml:space="preserve">Interventioner i det offentliga bostadsbeståndet i den autonoma regionen Azorerna </w:t>
            </w:r>
          </w:p>
        </w:tc>
        <w:tc>
          <w:tcPr>
            <w:tcW w:w="1355" w:type="dxa"/>
            <w:shd w:val="clear" w:color="auto" w:fill="C4EFCE"/>
            <w:vAlign w:val="center"/>
            <w:hideMark/>
          </w:tcPr>
          <w:p w14:paraId="59DA834D"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EEBFE09" w14:textId="77777777"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2E7D69AD" w14:textId="77777777" w:rsidR="00E040FD" w:rsidRDefault="00740D6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C4BD37D" w14:textId="77777777" w:rsidR="00E040FD" w:rsidRDefault="00740D64">
            <w:pPr>
              <w:pStyle w:val="P68B1DB1-Normal8"/>
              <w:spacing w:after="0" w:line="240" w:lineRule="auto"/>
              <w:jc w:val="center"/>
              <w:rPr>
                <w:rFonts w:eastAsia="Times New Roman" w:cs="Calibri"/>
                <w:noProof/>
              </w:rPr>
            </w:pPr>
            <w:r>
              <w:rPr>
                <w:noProof/>
              </w:rPr>
              <w:t>24</w:t>
            </w:r>
          </w:p>
        </w:tc>
        <w:tc>
          <w:tcPr>
            <w:tcW w:w="473" w:type="dxa"/>
            <w:shd w:val="clear" w:color="auto" w:fill="C4EFCE"/>
            <w:vAlign w:val="center"/>
            <w:hideMark/>
          </w:tcPr>
          <w:p w14:paraId="23FD1A62" w14:textId="77777777" w:rsidR="00E040FD" w:rsidRDefault="00740D64">
            <w:pPr>
              <w:pStyle w:val="P68B1DB1-Normal8"/>
              <w:spacing w:after="0" w:line="240" w:lineRule="auto"/>
              <w:jc w:val="center"/>
              <w:rPr>
                <w:rFonts w:eastAsia="Times New Roman" w:cs="Calibri"/>
                <w:noProof/>
              </w:rPr>
            </w:pPr>
            <w:r>
              <w:rPr>
                <w:noProof/>
              </w:rPr>
              <w:t>KVARTAL 4</w:t>
            </w:r>
          </w:p>
        </w:tc>
        <w:tc>
          <w:tcPr>
            <w:tcW w:w="625" w:type="dxa"/>
            <w:shd w:val="clear" w:color="auto" w:fill="C4EFCE"/>
            <w:vAlign w:val="center"/>
            <w:hideMark/>
          </w:tcPr>
          <w:p w14:paraId="3FE9EF61" w14:textId="77777777" w:rsidR="00E040FD" w:rsidRDefault="00740D64">
            <w:pPr>
              <w:pStyle w:val="P68B1DB1-Normal8"/>
              <w:spacing w:after="0" w:line="240" w:lineRule="auto"/>
              <w:jc w:val="center"/>
              <w:rPr>
                <w:rFonts w:eastAsia="Times New Roman" w:cs="Calibri"/>
                <w:noProof/>
              </w:rPr>
            </w:pPr>
            <w:r>
              <w:rPr>
                <w:noProof/>
              </w:rPr>
              <w:t>2021</w:t>
            </w:r>
          </w:p>
        </w:tc>
        <w:tc>
          <w:tcPr>
            <w:tcW w:w="4969" w:type="dxa"/>
            <w:shd w:val="clear" w:color="auto" w:fill="C4EFCE"/>
            <w:vAlign w:val="center"/>
            <w:hideMark/>
          </w:tcPr>
          <w:p w14:paraId="0C91248C" w14:textId="77777777" w:rsidR="00E040FD" w:rsidRDefault="00740D64">
            <w:pPr>
              <w:pStyle w:val="P68B1DB1-Normal8"/>
              <w:spacing w:after="0" w:line="240" w:lineRule="auto"/>
              <w:jc w:val="both"/>
              <w:rPr>
                <w:rFonts w:eastAsia="Times New Roman" w:cs="Calibri"/>
                <w:noProof/>
              </w:rPr>
            </w:pPr>
            <w:r>
              <w:rPr>
                <w:noProof/>
              </w:rPr>
              <w:t xml:space="preserve">Antal insatser, inklusive urbanisering av mark vid behov, med slutförda arbeten för att öka det subventionerade bostadsbeståndet. </w:t>
            </w:r>
          </w:p>
          <w:p w14:paraId="3733CD33" w14:textId="77777777" w:rsidR="00E040FD" w:rsidRDefault="00740D64">
            <w:pPr>
              <w:pStyle w:val="P68B1DB1-Normal8"/>
              <w:spacing w:after="0" w:line="240" w:lineRule="auto"/>
              <w:jc w:val="both"/>
              <w:rPr>
                <w:rFonts w:eastAsia="Times New Roman" w:cs="Calibri"/>
                <w:noProof/>
              </w:rPr>
            </w:pPr>
            <w:r>
              <w:rPr>
                <w:noProof/>
              </w:rPr>
              <w:t>Om det rör sig om nybyggnation ska nya byggnader ha ett primärenergibehov som är minst 20 % lägre än kraven för nära-nollenergibyggnader.</w:t>
            </w:r>
          </w:p>
          <w:p w14:paraId="5953FC29" w14:textId="77777777" w:rsidR="00E040FD" w:rsidRDefault="00740D64">
            <w:pPr>
              <w:pStyle w:val="P68B1DB1-Normal8"/>
              <w:spacing w:after="0" w:line="240" w:lineRule="auto"/>
              <w:jc w:val="both"/>
              <w:rPr>
                <w:rFonts w:eastAsia="Times New Roman" w:cs="Calibri"/>
                <w:noProof/>
              </w:rPr>
            </w:pPr>
            <w:r>
              <w:rPr>
                <w:noProof/>
              </w:rPr>
              <w:t>Bostäderna har en genomsnittlig storlek på cirka 120 kvadratmeter.</w:t>
            </w:r>
          </w:p>
        </w:tc>
      </w:tr>
      <w:tr w:rsidR="00E040FD" w14:paraId="14A54223" w14:textId="77777777">
        <w:trPr>
          <w:trHeight w:val="420"/>
        </w:trPr>
        <w:tc>
          <w:tcPr>
            <w:tcW w:w="1134" w:type="dxa"/>
            <w:shd w:val="clear" w:color="auto" w:fill="C5EFCE"/>
            <w:vAlign w:val="center"/>
            <w:hideMark/>
          </w:tcPr>
          <w:p w14:paraId="6D1EA4AE" w14:textId="77777777" w:rsidR="00E040FD" w:rsidRDefault="00740D64">
            <w:pPr>
              <w:pStyle w:val="P68B1DB1-Normal7"/>
              <w:spacing w:after="0" w:line="240" w:lineRule="auto"/>
              <w:jc w:val="center"/>
              <w:rPr>
                <w:rFonts w:eastAsia="Times New Roman" w:cs="Calibri"/>
                <w:noProof/>
              </w:rPr>
            </w:pPr>
            <w:r>
              <w:rPr>
                <w:noProof/>
              </w:rPr>
              <w:t>2.14</w:t>
            </w:r>
          </w:p>
        </w:tc>
        <w:tc>
          <w:tcPr>
            <w:tcW w:w="1304" w:type="dxa"/>
            <w:shd w:val="clear" w:color="auto" w:fill="C4EFCE"/>
            <w:vAlign w:val="center"/>
            <w:hideMark/>
          </w:tcPr>
          <w:p w14:paraId="4BA08D6A" w14:textId="77777777" w:rsidR="00E040FD" w:rsidRDefault="00740D6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695DEC0E"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5335B90A" w14:textId="77777777" w:rsidR="00E040FD" w:rsidRDefault="00740D64">
            <w:pPr>
              <w:pStyle w:val="P68B1DB1-Normal8"/>
              <w:spacing w:after="0" w:line="240" w:lineRule="auto"/>
              <w:jc w:val="center"/>
              <w:rPr>
                <w:rFonts w:eastAsia="Times New Roman" w:cs="Calibri"/>
                <w:noProof/>
              </w:rPr>
            </w:pPr>
            <w:r>
              <w:rPr>
                <w:noProof/>
              </w:rPr>
              <w:t xml:space="preserve">Insatser i det offentliga bostadsbeståndet i den autonoma regionen Azorerna – renovering </w:t>
            </w:r>
          </w:p>
        </w:tc>
        <w:tc>
          <w:tcPr>
            <w:tcW w:w="1355" w:type="dxa"/>
            <w:shd w:val="clear" w:color="auto" w:fill="C4EFCE"/>
            <w:vAlign w:val="center"/>
            <w:hideMark/>
          </w:tcPr>
          <w:p w14:paraId="4F089A4F"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1814B533" w14:textId="318F9BBD"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6D78199A" w14:textId="6D5675F4" w:rsidR="00E040FD" w:rsidRDefault="00740D6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337B0C00" w14:textId="77777777" w:rsidR="00E040FD" w:rsidRDefault="00740D64">
            <w:pPr>
              <w:pStyle w:val="P68B1DB1-Normal8"/>
              <w:spacing w:after="0" w:line="240" w:lineRule="auto"/>
              <w:jc w:val="center"/>
              <w:rPr>
                <w:rFonts w:eastAsia="Times New Roman" w:cs="Calibri"/>
                <w:noProof/>
              </w:rPr>
            </w:pPr>
            <w:r>
              <w:rPr>
                <w:noProof/>
              </w:rPr>
              <w:t>40</w:t>
            </w:r>
          </w:p>
        </w:tc>
        <w:tc>
          <w:tcPr>
            <w:tcW w:w="473" w:type="dxa"/>
            <w:shd w:val="clear" w:color="auto" w:fill="C4EFCE"/>
            <w:vAlign w:val="center"/>
            <w:hideMark/>
          </w:tcPr>
          <w:p w14:paraId="12883AF0" w14:textId="77777777" w:rsidR="00E040FD" w:rsidRDefault="00740D64">
            <w:pPr>
              <w:pStyle w:val="P68B1DB1-Normal8"/>
              <w:spacing w:after="0" w:line="240" w:lineRule="auto"/>
              <w:jc w:val="center"/>
              <w:rPr>
                <w:rFonts w:eastAsia="Times New Roman" w:cs="Calibri"/>
                <w:noProof/>
              </w:rPr>
            </w:pPr>
            <w:r>
              <w:rPr>
                <w:noProof/>
              </w:rPr>
              <w:t>KVARTAL 4</w:t>
            </w:r>
          </w:p>
        </w:tc>
        <w:tc>
          <w:tcPr>
            <w:tcW w:w="625" w:type="dxa"/>
            <w:shd w:val="clear" w:color="auto" w:fill="C4EFCE"/>
            <w:vAlign w:val="center"/>
            <w:hideMark/>
          </w:tcPr>
          <w:p w14:paraId="0F49C1FD" w14:textId="77777777" w:rsidR="00E040FD" w:rsidRDefault="00740D64">
            <w:pPr>
              <w:pStyle w:val="P68B1DB1-Normal8"/>
              <w:spacing w:after="0" w:line="240" w:lineRule="auto"/>
              <w:jc w:val="center"/>
              <w:rPr>
                <w:rFonts w:eastAsia="Times New Roman" w:cs="Calibri"/>
                <w:noProof/>
              </w:rPr>
            </w:pPr>
            <w:r>
              <w:rPr>
                <w:noProof/>
              </w:rPr>
              <w:t>2021</w:t>
            </w:r>
          </w:p>
        </w:tc>
        <w:tc>
          <w:tcPr>
            <w:tcW w:w="4969" w:type="dxa"/>
            <w:shd w:val="clear" w:color="auto" w:fill="C4EFCE"/>
            <w:vAlign w:val="center"/>
            <w:hideMark/>
          </w:tcPr>
          <w:p w14:paraId="1BA3AE40" w14:textId="77777777" w:rsidR="00E040FD" w:rsidRDefault="00740D64">
            <w:pPr>
              <w:pStyle w:val="P68B1DB1-Normal8"/>
              <w:spacing w:after="0" w:line="240" w:lineRule="auto"/>
              <w:jc w:val="both"/>
              <w:rPr>
                <w:rFonts w:eastAsia="Times New Roman" w:cs="Calibri"/>
                <w:noProof/>
              </w:rPr>
            </w:pPr>
            <w:r>
              <w:rPr>
                <w:noProof/>
              </w:rPr>
              <w:t xml:space="preserve">Investeringen omfattar renovering eller färdigställande av byggnader och lägenheter, mätt i antalet insatser. </w:t>
            </w:r>
          </w:p>
          <w:p w14:paraId="71608E96" w14:textId="77777777" w:rsidR="00E040FD" w:rsidRDefault="00740D64">
            <w:pPr>
              <w:pStyle w:val="P68B1DB1-Normal8"/>
              <w:spacing w:after="0" w:line="240" w:lineRule="auto"/>
              <w:jc w:val="both"/>
              <w:rPr>
                <w:rFonts w:eastAsia="Times New Roman" w:cs="Calibri"/>
                <w:noProof/>
              </w:rPr>
            </w:pPr>
            <w:r>
              <w:rPr>
                <w:noProof/>
              </w:rPr>
              <w:t>Insatserna omfattar följande:</w:t>
            </w:r>
          </w:p>
          <w:p w14:paraId="204AF952" w14:textId="77777777" w:rsidR="00E040FD" w:rsidRDefault="00740D64">
            <w:pPr>
              <w:pStyle w:val="P68B1DB1-Normal8"/>
              <w:spacing w:after="0" w:line="240" w:lineRule="auto"/>
              <w:jc w:val="both"/>
              <w:rPr>
                <w:rFonts w:eastAsia="Times New Roman" w:cs="Calibri"/>
                <w:noProof/>
              </w:rPr>
            </w:pPr>
            <w:r>
              <w:rPr>
                <w:noProof/>
              </w:rPr>
              <w:t xml:space="preserve">— ombyggnad av offentliga byggnader som inte är avsedda för bostäder till bostäder, </w:t>
            </w:r>
          </w:p>
          <w:p w14:paraId="774B76C2" w14:textId="77777777" w:rsidR="00E040FD" w:rsidRDefault="00740D64">
            <w:pPr>
              <w:pStyle w:val="P68B1DB1-Normal8"/>
              <w:spacing w:after="0" w:line="240" w:lineRule="auto"/>
              <w:jc w:val="both"/>
              <w:rPr>
                <w:rFonts w:eastAsia="Times New Roman" w:cs="Calibri"/>
                <w:noProof/>
              </w:rPr>
            </w:pPr>
            <w:r>
              <w:rPr>
                <w:noProof/>
              </w:rPr>
              <w:t>— Ekonomiskt stöd till ombyggnad av skadade sociala byggnader (Bairros Sociais)</w:t>
            </w:r>
          </w:p>
          <w:p w14:paraId="2517E49E" w14:textId="77777777" w:rsidR="00E040FD" w:rsidRDefault="00740D64">
            <w:pPr>
              <w:pStyle w:val="P68B1DB1-Normal8"/>
              <w:spacing w:after="0" w:line="240" w:lineRule="auto"/>
              <w:jc w:val="both"/>
              <w:rPr>
                <w:rFonts w:eastAsia="Times New Roman" w:cs="Calibri"/>
                <w:noProof/>
              </w:rPr>
            </w:pPr>
            <w:r>
              <w:rPr>
                <w:noProof/>
              </w:rPr>
              <w:t>renovering av allmännyttiga bostäder för att uppfylla gällande bostadslagstiftning, främst energieffektivitetskrav.</w:t>
            </w:r>
          </w:p>
          <w:p w14:paraId="20AA49DB" w14:textId="77777777" w:rsidR="00E040FD" w:rsidRDefault="00740D64">
            <w:pPr>
              <w:pStyle w:val="P68B1DB1-Normal8"/>
              <w:spacing w:after="0" w:line="240" w:lineRule="auto"/>
              <w:jc w:val="both"/>
              <w:rPr>
                <w:rFonts w:eastAsia="Times New Roman" w:cs="Calibri"/>
                <w:noProof/>
              </w:rPr>
            </w:pPr>
            <w:r>
              <w:rPr>
                <w:noProof/>
              </w:rPr>
              <w:t>Energieffektivitetsrenoveringar ska i genomsnitt leda till en renovering av minst medelstor omfattning enligt definitionen i kommissionens rekommendation om byggnadsrenovering (EU) 2019/786.</w:t>
            </w:r>
          </w:p>
          <w:p w14:paraId="3FE022D6" w14:textId="77777777" w:rsidR="00E040FD" w:rsidRDefault="00740D64">
            <w:pPr>
              <w:pStyle w:val="P68B1DB1-Normal8"/>
              <w:spacing w:after="0" w:line="240" w:lineRule="auto"/>
              <w:jc w:val="both"/>
              <w:rPr>
                <w:rFonts w:eastAsia="Times New Roman" w:cs="Calibri"/>
                <w:noProof/>
              </w:rPr>
            </w:pPr>
            <w:r>
              <w:rPr>
                <w:noProof/>
              </w:rPr>
              <w:t>Den berörda bostaden är i genomsnitt ca 100 kvadratmeter.</w:t>
            </w:r>
          </w:p>
        </w:tc>
      </w:tr>
      <w:tr w:rsidR="00E040FD" w14:paraId="0FFD0E64" w14:textId="77777777">
        <w:trPr>
          <w:trHeight w:val="2824"/>
        </w:trPr>
        <w:tc>
          <w:tcPr>
            <w:tcW w:w="1134" w:type="dxa"/>
            <w:shd w:val="clear" w:color="auto" w:fill="C5EFCE"/>
            <w:vAlign w:val="center"/>
            <w:hideMark/>
          </w:tcPr>
          <w:p w14:paraId="55203759" w14:textId="77777777" w:rsidR="00E040FD" w:rsidRDefault="00740D64">
            <w:pPr>
              <w:pStyle w:val="P68B1DB1-Normal7"/>
              <w:spacing w:after="0" w:line="240" w:lineRule="auto"/>
              <w:jc w:val="center"/>
              <w:rPr>
                <w:rFonts w:eastAsia="Times New Roman" w:cs="Calibri"/>
                <w:noProof/>
              </w:rPr>
            </w:pPr>
            <w:r>
              <w:rPr>
                <w:noProof/>
              </w:rPr>
              <w:t>2.16</w:t>
            </w:r>
          </w:p>
        </w:tc>
        <w:tc>
          <w:tcPr>
            <w:tcW w:w="1304" w:type="dxa"/>
            <w:shd w:val="clear" w:color="auto" w:fill="C4EFCE"/>
            <w:vAlign w:val="center"/>
            <w:hideMark/>
          </w:tcPr>
          <w:p w14:paraId="4FF83330" w14:textId="77777777" w:rsidR="00E040FD" w:rsidRDefault="00740D6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7FD09AD1"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0D030BA" w14:textId="77777777" w:rsidR="00E040FD" w:rsidRDefault="00740D64">
            <w:pPr>
              <w:pStyle w:val="P68B1DB1-Normal8"/>
              <w:spacing w:after="0" w:line="240" w:lineRule="auto"/>
              <w:jc w:val="center"/>
              <w:rPr>
                <w:rFonts w:eastAsia="Times New Roman" w:cs="Calibri"/>
                <w:noProof/>
              </w:rPr>
            </w:pPr>
            <w:r>
              <w:rPr>
                <w:noProof/>
              </w:rPr>
              <w:t xml:space="preserve">Insatser i det offentliga bostadsbeståndet i den autonoma regionen Azorerna – renovering </w:t>
            </w:r>
          </w:p>
        </w:tc>
        <w:tc>
          <w:tcPr>
            <w:tcW w:w="1355" w:type="dxa"/>
            <w:shd w:val="clear" w:color="auto" w:fill="C4EFCE"/>
            <w:vAlign w:val="center"/>
            <w:hideMark/>
          </w:tcPr>
          <w:p w14:paraId="4DE9F928"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408461B" w14:textId="4C0E6877"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6C763F31" w14:textId="77777777" w:rsidR="00E040FD" w:rsidRDefault="00740D64">
            <w:pPr>
              <w:pStyle w:val="P68B1DB1-Normal8"/>
              <w:spacing w:after="0" w:line="240" w:lineRule="auto"/>
              <w:jc w:val="center"/>
              <w:rPr>
                <w:rFonts w:eastAsia="Times New Roman" w:cs="Calibri"/>
                <w:noProof/>
              </w:rPr>
            </w:pPr>
            <w:r>
              <w:rPr>
                <w:noProof/>
              </w:rPr>
              <w:t>40</w:t>
            </w:r>
          </w:p>
        </w:tc>
        <w:tc>
          <w:tcPr>
            <w:tcW w:w="897" w:type="dxa"/>
            <w:shd w:val="clear" w:color="auto" w:fill="C4EFCE"/>
            <w:vAlign w:val="center"/>
            <w:hideMark/>
          </w:tcPr>
          <w:p w14:paraId="0F631C49" w14:textId="32CD02EE" w:rsidR="00E040FD" w:rsidRDefault="00740D64">
            <w:pPr>
              <w:pStyle w:val="P68B1DB1-Normal8"/>
              <w:spacing w:after="0" w:line="240" w:lineRule="auto"/>
              <w:jc w:val="center"/>
              <w:rPr>
                <w:rFonts w:eastAsia="Times New Roman" w:cs="Calibri"/>
                <w:noProof/>
              </w:rPr>
            </w:pPr>
            <w:r>
              <w:rPr>
                <w:noProof/>
              </w:rPr>
              <w:t>101</w:t>
            </w:r>
          </w:p>
        </w:tc>
        <w:tc>
          <w:tcPr>
            <w:tcW w:w="473" w:type="dxa"/>
            <w:shd w:val="clear" w:color="auto" w:fill="C4EFCE"/>
            <w:vAlign w:val="center"/>
            <w:hideMark/>
          </w:tcPr>
          <w:p w14:paraId="6840DC22" w14:textId="77777777" w:rsidR="00E040FD" w:rsidRDefault="00740D64">
            <w:pPr>
              <w:pStyle w:val="P68B1DB1-Normal8"/>
              <w:spacing w:after="0" w:line="240" w:lineRule="auto"/>
              <w:jc w:val="center"/>
              <w:rPr>
                <w:rFonts w:eastAsia="Times New Roman" w:cs="Calibri"/>
                <w:noProof/>
              </w:rPr>
            </w:pPr>
            <w:r>
              <w:rPr>
                <w:noProof/>
              </w:rPr>
              <w:t>KVARTAL 4</w:t>
            </w:r>
          </w:p>
        </w:tc>
        <w:tc>
          <w:tcPr>
            <w:tcW w:w="625" w:type="dxa"/>
            <w:shd w:val="clear" w:color="auto" w:fill="C4EFCE"/>
            <w:vAlign w:val="center"/>
            <w:hideMark/>
          </w:tcPr>
          <w:p w14:paraId="1B49E65C" w14:textId="77777777" w:rsidR="00E040FD" w:rsidRDefault="00740D64">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7D17215F" w14:textId="091C177D" w:rsidR="00E040FD" w:rsidRDefault="00740D64">
            <w:pPr>
              <w:pStyle w:val="P68B1DB1-Normal8"/>
              <w:spacing w:after="0" w:line="240" w:lineRule="auto"/>
              <w:jc w:val="both"/>
              <w:rPr>
                <w:rFonts w:eastAsia="Times New Roman" w:cs="Calibri"/>
                <w:noProof/>
              </w:rPr>
            </w:pPr>
            <w:r>
              <w:rPr>
                <w:noProof/>
              </w:rPr>
              <w:t xml:space="preserve">Investeringen omfattar renovering eller färdigställande av byggnader och lägenheter, mätt i antalet insatser, med slutförda arbeten. </w:t>
            </w:r>
          </w:p>
          <w:p w14:paraId="7B68446D" w14:textId="11D8397B" w:rsidR="00E040FD" w:rsidRDefault="00740D64">
            <w:pPr>
              <w:pStyle w:val="P68B1DB1-Normal8"/>
              <w:spacing w:after="0" w:line="240" w:lineRule="auto"/>
              <w:jc w:val="both"/>
              <w:rPr>
                <w:rFonts w:eastAsia="Times New Roman" w:cs="Calibri"/>
                <w:noProof/>
              </w:rPr>
            </w:pPr>
            <w:r>
              <w:rPr>
                <w:noProof/>
              </w:rPr>
              <w:t>Interventionerna kan omfatta följande:</w:t>
            </w:r>
          </w:p>
          <w:p w14:paraId="6A1600CE" w14:textId="3C884396" w:rsidR="00E040FD" w:rsidRDefault="00740D64">
            <w:pPr>
              <w:pStyle w:val="P68B1DB1-Normal8"/>
              <w:spacing w:after="0" w:line="240" w:lineRule="auto"/>
              <w:jc w:val="both"/>
              <w:rPr>
                <w:rFonts w:eastAsia="Times New Roman" w:cs="Calibri"/>
                <w:noProof/>
              </w:rPr>
            </w:pPr>
            <w:r>
              <w:rPr>
                <w:noProof/>
              </w:rPr>
              <w:t xml:space="preserve">— ombyggnad av offentliga byggnader som inte är avsedda för bostäder till bostäder, </w:t>
            </w:r>
          </w:p>
          <w:p w14:paraId="6929DEBD" w14:textId="5295AB7B" w:rsidR="00E040FD" w:rsidRDefault="00740D64">
            <w:pPr>
              <w:pStyle w:val="P68B1DB1-Normal8"/>
              <w:spacing w:after="0" w:line="240" w:lineRule="auto"/>
              <w:jc w:val="both"/>
              <w:rPr>
                <w:rFonts w:eastAsia="Times New Roman" w:cs="Calibri"/>
                <w:noProof/>
              </w:rPr>
            </w:pPr>
            <w:r>
              <w:rPr>
                <w:noProof/>
              </w:rPr>
              <w:t>— Ekonomiskt stöd till ombyggnad av skadade sociala byggnader (Bairros Sociais)</w:t>
            </w:r>
          </w:p>
          <w:p w14:paraId="0652D4D3" w14:textId="77777777" w:rsidR="00E040FD" w:rsidRDefault="00740D64">
            <w:pPr>
              <w:pStyle w:val="P68B1DB1-Normal8"/>
              <w:spacing w:after="0" w:line="240" w:lineRule="auto"/>
              <w:jc w:val="both"/>
              <w:rPr>
                <w:rFonts w:eastAsia="Times New Roman" w:cs="Calibri"/>
                <w:noProof/>
              </w:rPr>
            </w:pPr>
            <w:r>
              <w:rPr>
                <w:noProof/>
              </w:rPr>
              <w:t>Renovering av allmännyttiga bostäder för att uppfylla gällande bostadslagstiftning, främst energieffektivitetskrav.</w:t>
            </w:r>
          </w:p>
          <w:p w14:paraId="32BB662A" w14:textId="77777777" w:rsidR="00E040FD" w:rsidRDefault="00740D64">
            <w:pPr>
              <w:pStyle w:val="P68B1DB1-Normal8"/>
              <w:spacing w:after="0" w:line="240" w:lineRule="auto"/>
              <w:jc w:val="both"/>
              <w:rPr>
                <w:rFonts w:eastAsia="Times New Roman" w:cs="Calibri"/>
                <w:noProof/>
              </w:rPr>
            </w:pPr>
            <w:r>
              <w:rPr>
                <w:noProof/>
              </w:rPr>
              <w:t>Energieffektivitetsrenoveringar ska i genomsnitt leda till en renovering av minst medelstor omfattning enligt definitionen i kommissionens rekommendation om byggnadsrenovering (EU) 2019/786.</w:t>
            </w:r>
          </w:p>
          <w:p w14:paraId="5A4B25FC" w14:textId="77777777" w:rsidR="00E040FD" w:rsidRDefault="00740D64">
            <w:pPr>
              <w:pStyle w:val="P68B1DB1-Normal8"/>
              <w:spacing w:after="0" w:line="240" w:lineRule="auto"/>
              <w:jc w:val="both"/>
              <w:rPr>
                <w:rFonts w:eastAsia="Times New Roman" w:cs="Calibri"/>
                <w:noProof/>
              </w:rPr>
            </w:pPr>
            <w:r>
              <w:rPr>
                <w:noProof/>
              </w:rPr>
              <w:t>Den berörda bostaden är i genomsnitt ca 100 kvadratmeter.</w:t>
            </w:r>
          </w:p>
        </w:tc>
      </w:tr>
      <w:tr w:rsidR="00E040FD" w14:paraId="0FEE8F26" w14:textId="77777777">
        <w:trPr>
          <w:trHeight w:val="420"/>
        </w:trPr>
        <w:tc>
          <w:tcPr>
            <w:tcW w:w="1134" w:type="dxa"/>
            <w:shd w:val="clear" w:color="auto" w:fill="C5EFCE"/>
            <w:vAlign w:val="center"/>
            <w:hideMark/>
          </w:tcPr>
          <w:p w14:paraId="7A1DBDA2" w14:textId="77777777" w:rsidR="00E040FD" w:rsidRDefault="00740D64">
            <w:pPr>
              <w:pStyle w:val="P68B1DB1-Normal7"/>
              <w:spacing w:after="0" w:line="240" w:lineRule="auto"/>
              <w:jc w:val="center"/>
              <w:rPr>
                <w:rFonts w:eastAsia="Times New Roman" w:cs="Calibri"/>
                <w:noProof/>
              </w:rPr>
            </w:pPr>
            <w:r>
              <w:rPr>
                <w:noProof/>
              </w:rPr>
              <w:t>2.17</w:t>
            </w:r>
          </w:p>
        </w:tc>
        <w:tc>
          <w:tcPr>
            <w:tcW w:w="1304" w:type="dxa"/>
            <w:shd w:val="clear" w:color="auto" w:fill="C4EFCE"/>
            <w:vAlign w:val="center"/>
            <w:hideMark/>
          </w:tcPr>
          <w:p w14:paraId="6200EF9A" w14:textId="77777777" w:rsidR="00E040FD" w:rsidRDefault="00740D6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58F4DB9C"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4499C265" w14:textId="77777777" w:rsidR="00E040FD" w:rsidRDefault="00740D64">
            <w:pPr>
              <w:pStyle w:val="P68B1DB1-Normal8"/>
              <w:spacing w:after="0" w:line="240" w:lineRule="auto"/>
              <w:jc w:val="center"/>
              <w:rPr>
                <w:rFonts w:eastAsia="Times New Roman" w:cs="Calibri"/>
                <w:noProof/>
              </w:rPr>
            </w:pPr>
            <w:r>
              <w:rPr>
                <w:noProof/>
              </w:rPr>
              <w:t>Insatser i det offentliga bostadsbeståndet i den autonoma regionen Azorerna – byggande av byggnader</w:t>
            </w:r>
          </w:p>
        </w:tc>
        <w:tc>
          <w:tcPr>
            <w:tcW w:w="1355" w:type="dxa"/>
            <w:shd w:val="clear" w:color="auto" w:fill="C4EFCE"/>
            <w:vAlign w:val="center"/>
            <w:hideMark/>
          </w:tcPr>
          <w:p w14:paraId="59C3648C"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7F5301E" w14:textId="5FCA7618"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5443BFE5" w14:textId="7DF628DE" w:rsidR="00E040FD" w:rsidRDefault="00740D64">
            <w:pPr>
              <w:pStyle w:val="P68B1DB1-Normal8"/>
              <w:spacing w:after="0" w:line="240" w:lineRule="auto"/>
              <w:jc w:val="center"/>
              <w:rPr>
                <w:rFonts w:eastAsia="Times New Roman" w:cs="Calibri"/>
                <w:noProof/>
              </w:rPr>
            </w:pPr>
            <w:r>
              <w:rPr>
                <w:noProof/>
              </w:rPr>
              <w:t>24</w:t>
            </w:r>
          </w:p>
        </w:tc>
        <w:tc>
          <w:tcPr>
            <w:tcW w:w="897" w:type="dxa"/>
            <w:shd w:val="clear" w:color="auto" w:fill="C4EFCE"/>
            <w:vAlign w:val="center"/>
            <w:hideMark/>
          </w:tcPr>
          <w:p w14:paraId="46259B98" w14:textId="678AC6A1" w:rsidR="00E040FD" w:rsidRDefault="00740D64">
            <w:pPr>
              <w:pStyle w:val="P68B1DB1-Normal8"/>
              <w:spacing w:after="0" w:line="240" w:lineRule="auto"/>
              <w:jc w:val="center"/>
              <w:rPr>
                <w:rFonts w:eastAsia="Times New Roman" w:cs="Calibri"/>
                <w:noProof/>
              </w:rPr>
            </w:pPr>
            <w:r>
              <w:rPr>
                <w:noProof/>
              </w:rPr>
              <w:t>100</w:t>
            </w:r>
          </w:p>
        </w:tc>
        <w:tc>
          <w:tcPr>
            <w:tcW w:w="473" w:type="dxa"/>
            <w:shd w:val="clear" w:color="auto" w:fill="C4EFCE"/>
            <w:vAlign w:val="center"/>
            <w:hideMark/>
          </w:tcPr>
          <w:p w14:paraId="2BCEE32C" w14:textId="77777777" w:rsidR="00E040FD" w:rsidRDefault="00740D64">
            <w:pPr>
              <w:pStyle w:val="P68B1DB1-Normal8"/>
              <w:spacing w:after="0" w:line="240" w:lineRule="auto"/>
              <w:jc w:val="center"/>
              <w:rPr>
                <w:rFonts w:eastAsia="Times New Roman" w:cs="Calibri"/>
                <w:noProof/>
              </w:rPr>
            </w:pPr>
            <w:r>
              <w:rPr>
                <w:noProof/>
              </w:rPr>
              <w:t>KVARTAL 4</w:t>
            </w:r>
          </w:p>
        </w:tc>
        <w:tc>
          <w:tcPr>
            <w:tcW w:w="625" w:type="dxa"/>
            <w:shd w:val="clear" w:color="auto" w:fill="C4EFCE"/>
            <w:vAlign w:val="center"/>
            <w:hideMark/>
          </w:tcPr>
          <w:p w14:paraId="3AEDD75E" w14:textId="77777777" w:rsidR="00E040FD" w:rsidRDefault="00740D64">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hideMark/>
          </w:tcPr>
          <w:p w14:paraId="516BF675" w14:textId="77777777" w:rsidR="00E040FD" w:rsidRDefault="00740D64">
            <w:pPr>
              <w:pStyle w:val="P68B1DB1-Normal8"/>
              <w:spacing w:after="0" w:line="240" w:lineRule="auto"/>
              <w:jc w:val="both"/>
              <w:rPr>
                <w:rFonts w:eastAsia="Times New Roman" w:cs="Calibri"/>
                <w:noProof/>
              </w:rPr>
            </w:pPr>
            <w:r>
              <w:rPr>
                <w:noProof/>
              </w:rPr>
              <w:t xml:space="preserve">Antal insatser, inklusive urbanisering av mark vid behov, med slutförda arbeten för att öka det subventionerade bostadsbeståndet. </w:t>
            </w:r>
          </w:p>
          <w:p w14:paraId="35DAC105" w14:textId="77777777" w:rsidR="00E040FD" w:rsidRDefault="00740D64">
            <w:pPr>
              <w:pStyle w:val="P68B1DB1-Normal8"/>
              <w:spacing w:after="0" w:line="240" w:lineRule="auto"/>
              <w:jc w:val="both"/>
              <w:rPr>
                <w:rFonts w:eastAsia="Times New Roman" w:cs="Calibri"/>
                <w:noProof/>
              </w:rPr>
            </w:pPr>
            <w:r>
              <w:rPr>
                <w:noProof/>
              </w:rPr>
              <w:t>Om det rör sig om nybyggnation ska nya byggnader ha ett primärenergibehov som är minst 20 % lägre än kraven för nära-nollenergibyggnader.</w:t>
            </w:r>
          </w:p>
          <w:p w14:paraId="38B842FC" w14:textId="0042F4F2" w:rsidR="00E040FD" w:rsidRDefault="00740D64">
            <w:pPr>
              <w:pStyle w:val="P68B1DB1-Normal8"/>
              <w:spacing w:after="0" w:line="240" w:lineRule="auto"/>
              <w:jc w:val="both"/>
              <w:rPr>
                <w:rFonts w:eastAsia="Times New Roman" w:cs="Calibri"/>
                <w:noProof/>
              </w:rPr>
            </w:pPr>
            <w:r>
              <w:rPr>
                <w:noProof/>
              </w:rPr>
              <w:t>Bostäderna har en genomsnittlig storlek på cirka 120 kvadratmeter.</w:t>
            </w:r>
          </w:p>
        </w:tc>
      </w:tr>
      <w:tr w:rsidR="00E040FD" w14:paraId="25FEA8B5" w14:textId="77777777">
        <w:trPr>
          <w:trHeight w:val="831"/>
        </w:trPr>
        <w:tc>
          <w:tcPr>
            <w:tcW w:w="1134" w:type="dxa"/>
            <w:shd w:val="clear" w:color="auto" w:fill="C5EFCE"/>
            <w:vAlign w:val="center"/>
            <w:hideMark/>
          </w:tcPr>
          <w:p w14:paraId="4DF650DD" w14:textId="77777777" w:rsidR="00E040FD" w:rsidRDefault="00740D64">
            <w:pPr>
              <w:pStyle w:val="P68B1DB1-Normal7"/>
              <w:spacing w:after="0" w:line="240" w:lineRule="auto"/>
              <w:jc w:val="center"/>
              <w:rPr>
                <w:rFonts w:eastAsia="Times New Roman" w:cs="Calibri"/>
                <w:noProof/>
              </w:rPr>
            </w:pPr>
            <w:r>
              <w:rPr>
                <w:noProof/>
              </w:rPr>
              <w:t>2.18</w:t>
            </w:r>
          </w:p>
        </w:tc>
        <w:tc>
          <w:tcPr>
            <w:tcW w:w="1304" w:type="dxa"/>
            <w:shd w:val="clear" w:color="auto" w:fill="C4EFCE"/>
            <w:vAlign w:val="center"/>
            <w:hideMark/>
          </w:tcPr>
          <w:p w14:paraId="7D8900A1" w14:textId="77777777" w:rsidR="00E040FD" w:rsidRDefault="00740D6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0BEA123C" w14:textId="77777777" w:rsidR="00E040FD" w:rsidRDefault="00740D6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2DCA3115" w14:textId="77777777" w:rsidR="00E040FD" w:rsidRDefault="00740D64">
            <w:pPr>
              <w:pStyle w:val="P68B1DB1-Normal8"/>
              <w:spacing w:after="0" w:line="240" w:lineRule="auto"/>
              <w:jc w:val="center"/>
              <w:rPr>
                <w:rFonts w:eastAsia="Times New Roman" w:cs="Calibri"/>
                <w:noProof/>
              </w:rPr>
            </w:pPr>
            <w:r>
              <w:rPr>
                <w:noProof/>
              </w:rPr>
              <w:t>Insatser i det offentliga bostadsbeståndet i den autonoma regionen Azorerna – renovering</w:t>
            </w:r>
          </w:p>
        </w:tc>
        <w:tc>
          <w:tcPr>
            <w:tcW w:w="1355" w:type="dxa"/>
            <w:shd w:val="clear" w:color="auto" w:fill="C4EFCE"/>
            <w:vAlign w:val="center"/>
            <w:hideMark/>
          </w:tcPr>
          <w:p w14:paraId="40C9CFB1" w14:textId="77777777" w:rsidR="00E040FD" w:rsidRDefault="00740D6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193183B5" w14:textId="752160E4" w:rsidR="00E040FD" w:rsidRDefault="00740D64">
            <w:pPr>
              <w:pStyle w:val="P68B1DB1-Normal8"/>
              <w:spacing w:after="0" w:line="240" w:lineRule="auto"/>
              <w:jc w:val="center"/>
              <w:rPr>
                <w:rFonts w:eastAsia="Times New Roman" w:cs="Calibri"/>
                <w:noProof/>
              </w:rPr>
            </w:pPr>
            <w:r>
              <w:rPr>
                <w:noProof/>
              </w:rPr>
              <w:t>Antal</w:t>
            </w:r>
          </w:p>
        </w:tc>
        <w:tc>
          <w:tcPr>
            <w:tcW w:w="1134" w:type="dxa"/>
            <w:shd w:val="clear" w:color="auto" w:fill="C4EFCE"/>
            <w:vAlign w:val="center"/>
            <w:hideMark/>
          </w:tcPr>
          <w:p w14:paraId="1B967865" w14:textId="51F3039A" w:rsidR="00E040FD" w:rsidRDefault="00740D64">
            <w:pPr>
              <w:pStyle w:val="P68B1DB1-Normal8"/>
              <w:spacing w:after="0" w:line="240" w:lineRule="auto"/>
              <w:jc w:val="center"/>
              <w:rPr>
                <w:rFonts w:eastAsia="Times New Roman" w:cs="Calibri"/>
                <w:noProof/>
              </w:rPr>
            </w:pPr>
            <w:r>
              <w:rPr>
                <w:noProof/>
              </w:rPr>
              <w:t>101</w:t>
            </w:r>
          </w:p>
        </w:tc>
        <w:tc>
          <w:tcPr>
            <w:tcW w:w="897" w:type="dxa"/>
            <w:shd w:val="clear" w:color="auto" w:fill="C4EFCE"/>
            <w:vAlign w:val="center"/>
            <w:hideMark/>
          </w:tcPr>
          <w:p w14:paraId="769572A9" w14:textId="49DD8B07" w:rsidR="00E040FD" w:rsidRDefault="00740D64">
            <w:pPr>
              <w:pStyle w:val="P68B1DB1-Normal8"/>
              <w:spacing w:after="0" w:line="240" w:lineRule="auto"/>
              <w:jc w:val="center"/>
              <w:rPr>
                <w:rFonts w:eastAsia="Times New Roman" w:cs="Calibri"/>
                <w:noProof/>
              </w:rPr>
            </w:pPr>
            <w:r>
              <w:rPr>
                <w:noProof/>
              </w:rPr>
              <w:t>602</w:t>
            </w:r>
          </w:p>
        </w:tc>
        <w:tc>
          <w:tcPr>
            <w:tcW w:w="473" w:type="dxa"/>
            <w:shd w:val="clear" w:color="auto" w:fill="C4EFCE"/>
            <w:vAlign w:val="center"/>
            <w:hideMark/>
          </w:tcPr>
          <w:p w14:paraId="5E5CB188" w14:textId="77777777" w:rsidR="00E040FD" w:rsidRDefault="00740D64">
            <w:pPr>
              <w:pStyle w:val="P68B1DB1-Normal8"/>
              <w:spacing w:after="0" w:line="240" w:lineRule="auto"/>
              <w:jc w:val="center"/>
              <w:rPr>
                <w:rFonts w:eastAsia="Times New Roman" w:cs="Calibri"/>
                <w:noProof/>
              </w:rPr>
            </w:pPr>
            <w:r>
              <w:rPr>
                <w:noProof/>
              </w:rPr>
              <w:t>KVARTAL 4</w:t>
            </w:r>
          </w:p>
        </w:tc>
        <w:tc>
          <w:tcPr>
            <w:tcW w:w="625" w:type="dxa"/>
            <w:shd w:val="clear" w:color="auto" w:fill="C4EFCE"/>
            <w:vAlign w:val="center"/>
            <w:hideMark/>
          </w:tcPr>
          <w:p w14:paraId="25139D3A" w14:textId="77777777" w:rsidR="00E040FD" w:rsidRDefault="00740D64">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hideMark/>
          </w:tcPr>
          <w:p w14:paraId="7C838658" w14:textId="2AF73229" w:rsidR="00E040FD" w:rsidRDefault="00740D64">
            <w:pPr>
              <w:pStyle w:val="P68B1DB1-Normal8"/>
              <w:spacing w:after="0" w:line="240" w:lineRule="auto"/>
              <w:jc w:val="both"/>
              <w:rPr>
                <w:rFonts w:eastAsia="Times New Roman" w:cs="Calibri"/>
                <w:noProof/>
              </w:rPr>
            </w:pPr>
            <w:r>
              <w:rPr>
                <w:noProof/>
              </w:rPr>
              <w:t xml:space="preserve">Investeringen omfattar renovering eller färdigställande av byggnader och lägenheter, mätt i antalet insatser. </w:t>
            </w:r>
          </w:p>
          <w:p w14:paraId="5CC5DAB9" w14:textId="0CE72A03" w:rsidR="00E040FD" w:rsidRDefault="00740D64">
            <w:pPr>
              <w:pStyle w:val="P68B1DB1-Normal8"/>
              <w:spacing w:after="0" w:line="240" w:lineRule="auto"/>
              <w:jc w:val="both"/>
              <w:rPr>
                <w:rFonts w:eastAsia="Times New Roman" w:cs="Calibri"/>
                <w:noProof/>
              </w:rPr>
            </w:pPr>
            <w:r>
              <w:rPr>
                <w:noProof/>
              </w:rPr>
              <w:t>Interventionerna kan omfatta följande:</w:t>
            </w:r>
          </w:p>
          <w:p w14:paraId="2D64D5AE" w14:textId="684C0690" w:rsidR="00E040FD" w:rsidRDefault="00740D64">
            <w:pPr>
              <w:pStyle w:val="P68B1DB1-Normal8"/>
              <w:spacing w:after="0" w:line="240" w:lineRule="auto"/>
              <w:jc w:val="both"/>
              <w:rPr>
                <w:rFonts w:eastAsia="Times New Roman" w:cs="Calibri"/>
                <w:noProof/>
              </w:rPr>
            </w:pPr>
            <w:r>
              <w:rPr>
                <w:noProof/>
              </w:rPr>
              <w:t xml:space="preserve">— ombyggnad av offentliga byggnader som inte är avsedda för bostäder till bostäder, </w:t>
            </w:r>
          </w:p>
          <w:p w14:paraId="10665253" w14:textId="532B6F1F" w:rsidR="00E040FD" w:rsidRDefault="00740D64">
            <w:pPr>
              <w:pStyle w:val="P68B1DB1-Normal8"/>
              <w:spacing w:after="0" w:line="240" w:lineRule="auto"/>
              <w:jc w:val="both"/>
              <w:rPr>
                <w:rFonts w:eastAsia="Times New Roman" w:cs="Calibri"/>
                <w:noProof/>
              </w:rPr>
            </w:pPr>
            <w:r>
              <w:rPr>
                <w:noProof/>
              </w:rPr>
              <w:t xml:space="preserve">— operationalisering av en plan för att främja ungdomsuthyrning (t.ex. omvandling av lokal inkvartering – Alojamento Local – till långtidsuthyrning, rehabilitering av stadskärnor). </w:t>
            </w:r>
          </w:p>
          <w:p w14:paraId="4070F306" w14:textId="0A1C2EF3" w:rsidR="00E040FD" w:rsidRDefault="00740D64">
            <w:pPr>
              <w:pStyle w:val="P68B1DB1-Normal8"/>
              <w:spacing w:after="0" w:line="240" w:lineRule="auto"/>
              <w:jc w:val="both"/>
              <w:rPr>
                <w:rFonts w:eastAsia="Times New Roman" w:cs="Calibri"/>
                <w:noProof/>
              </w:rPr>
            </w:pPr>
            <w:r>
              <w:rPr>
                <w:noProof/>
              </w:rPr>
              <w:t>— Ekonomiskt stöd till ombyggnad av skadade sociala byggnader (Bairros Sociais)</w:t>
            </w:r>
          </w:p>
          <w:p w14:paraId="482801D9" w14:textId="77777777" w:rsidR="00E040FD" w:rsidRDefault="00740D64">
            <w:pPr>
              <w:pStyle w:val="P68B1DB1-Normal8"/>
              <w:spacing w:after="0" w:line="240" w:lineRule="auto"/>
              <w:jc w:val="both"/>
              <w:rPr>
                <w:rFonts w:eastAsia="Times New Roman" w:cs="Calibri"/>
                <w:noProof/>
              </w:rPr>
            </w:pPr>
            <w:r>
              <w:rPr>
                <w:noProof/>
              </w:rPr>
              <w:t>renovering av allmännyttiga bostäder för att uppfylla gällande bostadslagstiftning, främst energieffektivitetskrav.</w:t>
            </w:r>
          </w:p>
          <w:p w14:paraId="41DBC569" w14:textId="77777777" w:rsidR="00E040FD" w:rsidRDefault="00740D64">
            <w:pPr>
              <w:pStyle w:val="P68B1DB1-Normal8"/>
              <w:spacing w:after="0" w:line="240" w:lineRule="auto"/>
              <w:jc w:val="both"/>
              <w:rPr>
                <w:rFonts w:eastAsia="Times New Roman" w:cs="Calibri"/>
                <w:noProof/>
              </w:rPr>
            </w:pPr>
            <w:r>
              <w:rPr>
                <w:noProof/>
              </w:rPr>
              <w:t>Energieffektivitetsrenoveringar ska i genomsnitt leda till en renovering av minst medelstor omfattning enligt definitionen i kommissionens rekommendation om byggnadsrenovering (EU) 2019/786.</w:t>
            </w:r>
          </w:p>
          <w:p w14:paraId="27313658" w14:textId="77777777" w:rsidR="00E040FD" w:rsidRDefault="00740D64">
            <w:pPr>
              <w:pStyle w:val="P68B1DB1-Normal8"/>
              <w:spacing w:after="0" w:line="240" w:lineRule="auto"/>
              <w:jc w:val="both"/>
              <w:rPr>
                <w:rFonts w:eastAsia="Times New Roman" w:cs="Calibri"/>
                <w:noProof/>
              </w:rPr>
            </w:pPr>
            <w:r>
              <w:rPr>
                <w:noProof/>
              </w:rPr>
              <w:t>De berörda bostäderna har en genomsnittlig storlek på cirka 100 kvadratmeter.</w:t>
            </w:r>
          </w:p>
        </w:tc>
      </w:tr>
      <w:tr w:rsidR="00E040FD" w14:paraId="347B37FF" w14:textId="77777777">
        <w:trPr>
          <w:trHeight w:val="1897"/>
        </w:trPr>
        <w:tc>
          <w:tcPr>
            <w:tcW w:w="1134" w:type="dxa"/>
            <w:shd w:val="clear" w:color="auto" w:fill="C4EFCE"/>
            <w:vAlign w:val="center"/>
          </w:tcPr>
          <w:p w14:paraId="55D5B2CB" w14:textId="77777777" w:rsidR="00E040FD" w:rsidRDefault="00740D64">
            <w:pPr>
              <w:pStyle w:val="P68B1DB1-Normal7"/>
              <w:spacing w:after="0" w:line="240" w:lineRule="auto"/>
              <w:jc w:val="center"/>
              <w:rPr>
                <w:rFonts w:eastAsia="Times New Roman" w:cs="Calibri"/>
                <w:noProof/>
              </w:rPr>
            </w:pPr>
            <w:r>
              <w:rPr>
                <w:noProof/>
              </w:rPr>
              <w:t>2.19</w:t>
            </w:r>
          </w:p>
        </w:tc>
        <w:tc>
          <w:tcPr>
            <w:tcW w:w="1304" w:type="dxa"/>
            <w:shd w:val="clear" w:color="auto" w:fill="C4EFCE"/>
            <w:vAlign w:val="center"/>
          </w:tcPr>
          <w:p w14:paraId="02390AF0" w14:textId="77777777" w:rsidR="00E040FD" w:rsidRDefault="00740D64">
            <w:pPr>
              <w:pStyle w:val="P68B1DB1-Normal8"/>
              <w:spacing w:after="0" w:line="240" w:lineRule="auto"/>
              <w:jc w:val="center"/>
              <w:rPr>
                <w:rFonts w:eastAsia="Times New Roman" w:cs="Calibri"/>
                <w:noProof/>
              </w:rPr>
            </w:pPr>
            <w:r>
              <w:rPr>
                <w:noProof/>
              </w:rPr>
              <w:t>RE-C02-r04</w:t>
            </w:r>
          </w:p>
        </w:tc>
        <w:tc>
          <w:tcPr>
            <w:tcW w:w="1077" w:type="dxa"/>
            <w:shd w:val="clear" w:color="auto" w:fill="C4EFCE"/>
            <w:vAlign w:val="center"/>
          </w:tcPr>
          <w:p w14:paraId="61654FF5" w14:textId="77777777" w:rsidR="00E040FD" w:rsidRDefault="00740D64">
            <w:pPr>
              <w:pStyle w:val="P68B1DB1-Normal8"/>
              <w:spacing w:after="0" w:line="240" w:lineRule="auto"/>
              <w:jc w:val="center"/>
              <w:rPr>
                <w:rFonts w:eastAsia="Times New Roman" w:cs="Calibri"/>
                <w:noProof/>
              </w:rPr>
            </w:pPr>
            <w:r>
              <w:rPr>
                <w:noProof/>
              </w:rPr>
              <w:t>M</w:t>
            </w:r>
          </w:p>
        </w:tc>
        <w:tc>
          <w:tcPr>
            <w:tcW w:w="2026" w:type="dxa"/>
            <w:shd w:val="clear" w:color="auto" w:fill="C4EFCE"/>
            <w:vAlign w:val="center"/>
          </w:tcPr>
          <w:p w14:paraId="06B961BF" w14:textId="77777777" w:rsidR="00E040FD" w:rsidRDefault="00740D64">
            <w:pPr>
              <w:pStyle w:val="P68B1DB1-Normal9"/>
              <w:spacing w:after="0" w:line="240" w:lineRule="auto"/>
              <w:rPr>
                <w:rFonts w:eastAsia="Times New Roman" w:cs="Calibri"/>
                <w:noProof/>
                <w:sz w:val="16"/>
              </w:rPr>
            </w:pPr>
            <w:r>
              <w:rPr>
                <w:noProof/>
                <w:sz w:val="16"/>
              </w:rPr>
              <w:t>Ikraftträdande av lagdekretet om godkännande av den rättsliga ramen för den nationella brådskande och tillfälliga</w:t>
            </w:r>
            <w:r>
              <w:rPr>
                <w:noProof/>
              </w:rPr>
              <w:t xml:space="preserve"> </w:t>
            </w:r>
            <w:r>
              <w:rPr>
                <w:noProof/>
                <w:sz w:val="16"/>
              </w:rPr>
              <w:t>bostadsplanen</w:t>
            </w:r>
          </w:p>
        </w:tc>
        <w:tc>
          <w:tcPr>
            <w:tcW w:w="1355" w:type="dxa"/>
            <w:shd w:val="clear" w:color="auto" w:fill="C4EFCE"/>
            <w:vAlign w:val="center"/>
          </w:tcPr>
          <w:p w14:paraId="10E78A8C" w14:textId="77777777" w:rsidR="00E040FD" w:rsidRDefault="00740D64">
            <w:pPr>
              <w:pStyle w:val="P68B1DB1-Normal8"/>
              <w:spacing w:after="0" w:line="240" w:lineRule="auto"/>
              <w:rPr>
                <w:rFonts w:eastAsia="Times New Roman" w:cs="Calibri"/>
                <w:noProof/>
              </w:rPr>
            </w:pPr>
            <w:r>
              <w:rPr>
                <w:noProof/>
              </w:rPr>
              <w:t>Ikraftträdande av lagdekretet</w:t>
            </w:r>
          </w:p>
        </w:tc>
        <w:tc>
          <w:tcPr>
            <w:tcW w:w="1021" w:type="dxa"/>
            <w:shd w:val="clear" w:color="auto" w:fill="C4EFCE"/>
            <w:vAlign w:val="center"/>
          </w:tcPr>
          <w:p w14:paraId="1DBACC24" w14:textId="1C8EF36E" w:rsidR="00E040FD" w:rsidRDefault="00E040FD">
            <w:pPr>
              <w:spacing w:after="0" w:line="240" w:lineRule="auto"/>
              <w:jc w:val="center"/>
              <w:rPr>
                <w:rFonts w:ascii="Calibri" w:eastAsia="Times New Roman" w:hAnsi="Calibri" w:cs="Calibri"/>
                <w:noProof/>
                <w:sz w:val="16"/>
              </w:rPr>
            </w:pPr>
          </w:p>
        </w:tc>
        <w:tc>
          <w:tcPr>
            <w:tcW w:w="1134" w:type="dxa"/>
            <w:shd w:val="clear" w:color="auto" w:fill="C4EFCE"/>
            <w:vAlign w:val="center"/>
          </w:tcPr>
          <w:p w14:paraId="22364C29" w14:textId="331D8C51" w:rsidR="00E040FD" w:rsidRDefault="00E040FD">
            <w:pPr>
              <w:spacing w:after="0" w:line="240" w:lineRule="auto"/>
              <w:jc w:val="center"/>
              <w:rPr>
                <w:rFonts w:ascii="Calibri" w:eastAsia="Times New Roman" w:hAnsi="Calibri" w:cs="Calibri"/>
                <w:noProof/>
                <w:sz w:val="16"/>
              </w:rPr>
            </w:pPr>
          </w:p>
        </w:tc>
        <w:tc>
          <w:tcPr>
            <w:tcW w:w="897" w:type="dxa"/>
            <w:shd w:val="clear" w:color="auto" w:fill="C4EFCE"/>
            <w:vAlign w:val="center"/>
          </w:tcPr>
          <w:p w14:paraId="18147486" w14:textId="0F9CD299" w:rsidR="00E040FD" w:rsidRDefault="00E040FD">
            <w:pPr>
              <w:spacing w:after="0" w:line="240" w:lineRule="auto"/>
              <w:jc w:val="center"/>
              <w:rPr>
                <w:rFonts w:ascii="Calibri" w:eastAsia="Times New Roman" w:hAnsi="Calibri" w:cs="Calibri"/>
                <w:noProof/>
                <w:sz w:val="16"/>
              </w:rPr>
            </w:pPr>
          </w:p>
        </w:tc>
        <w:tc>
          <w:tcPr>
            <w:tcW w:w="473" w:type="dxa"/>
            <w:shd w:val="clear" w:color="auto" w:fill="C4EFCE"/>
            <w:vAlign w:val="center"/>
          </w:tcPr>
          <w:p w14:paraId="63C6F1EC" w14:textId="77777777" w:rsidR="00E040FD" w:rsidRDefault="00740D64">
            <w:pPr>
              <w:pStyle w:val="P68B1DB1-Normal8"/>
              <w:spacing w:after="0" w:line="240" w:lineRule="auto"/>
              <w:rPr>
                <w:rFonts w:eastAsia="Times New Roman" w:cs="Calibri"/>
                <w:noProof/>
              </w:rPr>
            </w:pPr>
            <w:r>
              <w:rPr>
                <w:noProof/>
              </w:rPr>
              <w:t>KVARTAL 2</w:t>
            </w:r>
          </w:p>
        </w:tc>
        <w:tc>
          <w:tcPr>
            <w:tcW w:w="625" w:type="dxa"/>
            <w:shd w:val="clear" w:color="auto" w:fill="C4EFCE"/>
            <w:vAlign w:val="center"/>
          </w:tcPr>
          <w:p w14:paraId="623BE23E" w14:textId="77777777" w:rsidR="00E040FD" w:rsidRDefault="00740D64">
            <w:pPr>
              <w:pStyle w:val="P68B1DB1-Normal8"/>
              <w:spacing w:after="0" w:line="240" w:lineRule="auto"/>
              <w:rPr>
                <w:rFonts w:eastAsia="Times New Roman" w:cs="Calibri"/>
                <w:noProof/>
              </w:rPr>
            </w:pPr>
            <w:r>
              <w:rPr>
                <w:noProof/>
              </w:rPr>
              <w:t>2021</w:t>
            </w:r>
          </w:p>
        </w:tc>
        <w:tc>
          <w:tcPr>
            <w:tcW w:w="4969" w:type="dxa"/>
            <w:shd w:val="clear" w:color="auto" w:fill="C4EFCE"/>
            <w:vAlign w:val="center"/>
          </w:tcPr>
          <w:p w14:paraId="2E6359DD" w14:textId="77777777" w:rsidR="00E040FD" w:rsidRDefault="00740D64">
            <w:pPr>
              <w:pStyle w:val="P68B1DB1-Normal8"/>
              <w:spacing w:after="0" w:line="240" w:lineRule="auto"/>
              <w:jc w:val="both"/>
              <w:rPr>
                <w:rFonts w:eastAsia="Times New Roman" w:cs="Calibri"/>
                <w:noProof/>
              </w:rPr>
            </w:pPr>
            <w:r>
              <w:rPr>
                <w:noProof/>
              </w:rPr>
              <w:t>I lagdekretet fastställs planens och bostadsbeståndets struktur, särskilt vad gäller stödberättigade stödmottagare, bostadslösningar och finansieringsmodell. Vid sidan av den rättsliga ramen ska den nationella bostadsplanen läggas fram för och godkännas av regeringen, som ska omfatta den strategiska planeringen av de bostadslösningar som ska främjas och det stöd som krävs för detta ändamål, beroende på lokala behov och särdrag samt socioterritoriell sammanhållning.</w:t>
            </w:r>
          </w:p>
        </w:tc>
      </w:tr>
      <w:tr w:rsidR="00E040FD" w14:paraId="4A43709F" w14:textId="77777777">
        <w:trPr>
          <w:trHeight w:val="982"/>
        </w:trPr>
        <w:tc>
          <w:tcPr>
            <w:tcW w:w="1134" w:type="dxa"/>
            <w:shd w:val="clear" w:color="auto" w:fill="C4EFCE"/>
            <w:vAlign w:val="center"/>
          </w:tcPr>
          <w:p w14:paraId="4CC0270E" w14:textId="60006A58" w:rsidR="00E040FD" w:rsidRDefault="00740D64">
            <w:pPr>
              <w:pStyle w:val="P68B1DB1-Normal11"/>
              <w:spacing w:after="0" w:line="240" w:lineRule="auto"/>
              <w:jc w:val="center"/>
              <w:rPr>
                <w:rFonts w:eastAsia="Times New Roman" w:cstheme="minorHAnsi"/>
                <w:noProof/>
              </w:rPr>
            </w:pPr>
            <w:r>
              <w:rPr>
                <w:noProof/>
              </w:rPr>
              <w:t>2.30</w:t>
            </w:r>
          </w:p>
        </w:tc>
        <w:tc>
          <w:tcPr>
            <w:tcW w:w="1304" w:type="dxa"/>
            <w:shd w:val="clear" w:color="auto" w:fill="C4EFCE"/>
            <w:vAlign w:val="center"/>
          </w:tcPr>
          <w:p w14:paraId="02A729EB" w14:textId="0AFCA7AF" w:rsidR="00E040FD" w:rsidRDefault="00740D64">
            <w:pPr>
              <w:pStyle w:val="P68B1DB1-Normal12"/>
              <w:spacing w:after="0" w:line="240" w:lineRule="auto"/>
              <w:jc w:val="center"/>
              <w:rPr>
                <w:rFonts w:eastAsia="Times New Roman" w:cstheme="minorHAnsi"/>
                <w:noProof/>
              </w:rPr>
            </w:pPr>
            <w:r>
              <w:rPr>
                <w:noProof/>
              </w:rPr>
              <w:t>RE-C02-i07-RAA</w:t>
            </w:r>
          </w:p>
        </w:tc>
        <w:tc>
          <w:tcPr>
            <w:tcW w:w="1077" w:type="dxa"/>
            <w:shd w:val="clear" w:color="auto" w:fill="C4EFCE"/>
            <w:vAlign w:val="center"/>
          </w:tcPr>
          <w:p w14:paraId="61FFCA13" w14:textId="7B8D2070" w:rsidR="00E040FD" w:rsidRDefault="00740D64">
            <w:pPr>
              <w:pStyle w:val="P68B1DB1-Normal12"/>
              <w:spacing w:after="0" w:line="240" w:lineRule="auto"/>
              <w:jc w:val="center"/>
              <w:rPr>
                <w:rFonts w:eastAsia="Times New Roman" w:cstheme="minorHAnsi"/>
                <w:noProof/>
              </w:rPr>
            </w:pPr>
            <w:r>
              <w:rPr>
                <w:noProof/>
              </w:rPr>
              <w:t>T</w:t>
            </w:r>
          </w:p>
        </w:tc>
        <w:tc>
          <w:tcPr>
            <w:tcW w:w="2026" w:type="dxa"/>
            <w:shd w:val="clear" w:color="auto" w:fill="C4EFCE"/>
            <w:vAlign w:val="center"/>
          </w:tcPr>
          <w:p w14:paraId="2CF83377" w14:textId="702263B8" w:rsidR="00E040FD" w:rsidRDefault="00740D64">
            <w:pPr>
              <w:pStyle w:val="P68B1DB1-Normal12"/>
              <w:spacing w:after="0" w:line="240" w:lineRule="auto"/>
              <w:rPr>
                <w:rFonts w:eastAsia="Times New Roman" w:cstheme="minorHAnsi"/>
                <w:noProof/>
              </w:rPr>
            </w:pPr>
            <w:r>
              <w:rPr>
                <w:noProof/>
              </w:rPr>
              <w:t>Infrastruktur för skiften</w:t>
            </w:r>
          </w:p>
        </w:tc>
        <w:tc>
          <w:tcPr>
            <w:tcW w:w="1355" w:type="dxa"/>
            <w:shd w:val="clear" w:color="auto" w:fill="C4EFCE"/>
            <w:vAlign w:val="center"/>
          </w:tcPr>
          <w:p w14:paraId="48DB30AD" w14:textId="77777777" w:rsidR="00E040FD" w:rsidRDefault="00E040FD">
            <w:pPr>
              <w:spacing w:after="0" w:line="240" w:lineRule="auto"/>
              <w:rPr>
                <w:rFonts w:eastAsia="Times New Roman" w:cstheme="minorHAnsi"/>
                <w:noProof/>
                <w:sz w:val="16"/>
              </w:rPr>
            </w:pPr>
          </w:p>
        </w:tc>
        <w:tc>
          <w:tcPr>
            <w:tcW w:w="1021" w:type="dxa"/>
            <w:shd w:val="clear" w:color="auto" w:fill="C4EFCE"/>
            <w:vAlign w:val="center"/>
          </w:tcPr>
          <w:p w14:paraId="1BE72B86" w14:textId="72586D92" w:rsidR="00E040FD" w:rsidRDefault="00740D64">
            <w:pPr>
              <w:pStyle w:val="P68B1DB1-Normal12"/>
              <w:spacing w:after="0" w:line="240" w:lineRule="auto"/>
              <w:jc w:val="center"/>
              <w:rPr>
                <w:rFonts w:eastAsia="Times New Roman" w:cstheme="minorHAnsi"/>
                <w:noProof/>
              </w:rPr>
            </w:pPr>
            <w:r>
              <w:rPr>
                <w:noProof/>
              </w:rPr>
              <w:t>Antal</w:t>
            </w:r>
          </w:p>
        </w:tc>
        <w:tc>
          <w:tcPr>
            <w:tcW w:w="1134" w:type="dxa"/>
            <w:shd w:val="clear" w:color="auto" w:fill="C4EFCE"/>
            <w:vAlign w:val="center"/>
          </w:tcPr>
          <w:p w14:paraId="0E7D82E2" w14:textId="45707140" w:rsidR="00E040FD" w:rsidRDefault="00740D64">
            <w:pPr>
              <w:pStyle w:val="P68B1DB1-Normal12"/>
              <w:spacing w:after="0" w:line="240" w:lineRule="auto"/>
              <w:jc w:val="center"/>
              <w:rPr>
                <w:rFonts w:eastAsia="Times New Roman" w:cstheme="minorHAnsi"/>
                <w:noProof/>
              </w:rPr>
            </w:pPr>
            <w:r>
              <w:rPr>
                <w:noProof/>
              </w:rPr>
              <w:t>0</w:t>
            </w:r>
          </w:p>
        </w:tc>
        <w:tc>
          <w:tcPr>
            <w:tcW w:w="897" w:type="dxa"/>
            <w:shd w:val="clear" w:color="auto" w:fill="C4EFCE"/>
            <w:vAlign w:val="center"/>
          </w:tcPr>
          <w:p w14:paraId="0012CB5B" w14:textId="05B57DCB" w:rsidR="00E040FD" w:rsidRDefault="00740D64">
            <w:pPr>
              <w:pStyle w:val="P68B1DB1-Normal12"/>
              <w:spacing w:after="0" w:line="240" w:lineRule="auto"/>
              <w:jc w:val="center"/>
              <w:rPr>
                <w:rFonts w:eastAsia="Times New Roman" w:cstheme="minorHAnsi"/>
                <w:noProof/>
              </w:rPr>
            </w:pPr>
            <w:r>
              <w:rPr>
                <w:noProof/>
              </w:rPr>
              <w:t>145</w:t>
            </w:r>
          </w:p>
        </w:tc>
        <w:tc>
          <w:tcPr>
            <w:tcW w:w="473" w:type="dxa"/>
            <w:shd w:val="clear" w:color="auto" w:fill="C4EFCE"/>
            <w:vAlign w:val="center"/>
          </w:tcPr>
          <w:p w14:paraId="6C101ED3" w14:textId="1EA78A8C" w:rsidR="00E040FD" w:rsidRDefault="00740D64">
            <w:pPr>
              <w:pStyle w:val="P68B1DB1-Normal12"/>
              <w:spacing w:after="0" w:line="240" w:lineRule="auto"/>
              <w:rPr>
                <w:rFonts w:eastAsia="Times New Roman" w:cstheme="minorHAnsi"/>
                <w:noProof/>
              </w:rPr>
            </w:pPr>
            <w:r>
              <w:rPr>
                <w:noProof/>
              </w:rPr>
              <w:t>KVARTAL 2</w:t>
            </w:r>
          </w:p>
        </w:tc>
        <w:tc>
          <w:tcPr>
            <w:tcW w:w="625" w:type="dxa"/>
            <w:shd w:val="clear" w:color="auto" w:fill="C4EFCE"/>
            <w:vAlign w:val="center"/>
          </w:tcPr>
          <w:p w14:paraId="417B6A68" w14:textId="1C7AE05F" w:rsidR="00E040FD" w:rsidRDefault="00740D64">
            <w:pPr>
              <w:pStyle w:val="P68B1DB1-Normal12"/>
              <w:spacing w:after="0" w:line="240" w:lineRule="auto"/>
              <w:rPr>
                <w:rFonts w:eastAsia="Times New Roman" w:cstheme="minorHAnsi"/>
                <w:noProof/>
              </w:rPr>
            </w:pPr>
            <w:r>
              <w:rPr>
                <w:noProof/>
              </w:rPr>
              <w:t>2026</w:t>
            </w:r>
          </w:p>
        </w:tc>
        <w:tc>
          <w:tcPr>
            <w:tcW w:w="4969" w:type="dxa"/>
            <w:shd w:val="clear" w:color="auto" w:fill="C4EFCE"/>
            <w:vAlign w:val="center"/>
          </w:tcPr>
          <w:p w14:paraId="36ADF2AC" w14:textId="5E49F17C" w:rsidR="00E040FD" w:rsidRDefault="00740D64">
            <w:pPr>
              <w:pStyle w:val="P68B1DB1-Normal12"/>
              <w:spacing w:after="0" w:line="240" w:lineRule="auto"/>
              <w:jc w:val="both"/>
              <w:rPr>
                <w:rFonts w:eastAsia="Times New Roman" w:cstheme="minorHAnsi"/>
                <w:noProof/>
              </w:rPr>
            </w:pPr>
            <w:r>
              <w:rPr>
                <w:noProof/>
              </w:rPr>
              <w:t>Antal skiften med infrastruktur som skapats eller förbättrats och tilldelats utvalda sökande, efter ett urvalsförfarande som fastställde villkoren och kraven för urval. Ungdomar ska prioriteras, i enlighet med beskrivningen av investeringen.</w:t>
            </w:r>
          </w:p>
        </w:tc>
      </w:tr>
      <w:tr w:rsidR="00E040FD" w14:paraId="01719C1D" w14:textId="77777777">
        <w:trPr>
          <w:trHeight w:val="981"/>
        </w:trPr>
        <w:tc>
          <w:tcPr>
            <w:tcW w:w="1134" w:type="dxa"/>
            <w:shd w:val="clear" w:color="auto" w:fill="C4EFCE"/>
            <w:vAlign w:val="center"/>
          </w:tcPr>
          <w:p w14:paraId="364FFF3B" w14:textId="22B6B22B" w:rsidR="00E040FD" w:rsidRDefault="00740D64">
            <w:pPr>
              <w:pStyle w:val="P68B1DB1-Normal11"/>
              <w:spacing w:after="0" w:line="240" w:lineRule="auto"/>
              <w:jc w:val="center"/>
              <w:rPr>
                <w:rFonts w:cstheme="minorHAnsi"/>
                <w:noProof/>
              </w:rPr>
            </w:pPr>
            <w:r>
              <w:rPr>
                <w:noProof/>
              </w:rPr>
              <w:t>2.31</w:t>
            </w:r>
          </w:p>
        </w:tc>
        <w:tc>
          <w:tcPr>
            <w:tcW w:w="1304" w:type="dxa"/>
            <w:shd w:val="clear" w:color="auto" w:fill="C4EFCE"/>
            <w:vAlign w:val="center"/>
          </w:tcPr>
          <w:p w14:paraId="35FF57B8" w14:textId="021904BB" w:rsidR="00E040FD" w:rsidRDefault="00740D64">
            <w:pPr>
              <w:pStyle w:val="P68B1DB1-Normal12"/>
              <w:spacing w:after="0" w:line="240" w:lineRule="auto"/>
              <w:jc w:val="center"/>
              <w:rPr>
                <w:rFonts w:cstheme="minorHAnsi"/>
                <w:noProof/>
              </w:rPr>
            </w:pPr>
            <w:r>
              <w:rPr>
                <w:noProof/>
              </w:rPr>
              <w:t>RE-C02-i08-RAA</w:t>
            </w:r>
          </w:p>
        </w:tc>
        <w:tc>
          <w:tcPr>
            <w:tcW w:w="1077" w:type="dxa"/>
            <w:shd w:val="clear" w:color="auto" w:fill="C4EFCE"/>
            <w:vAlign w:val="center"/>
          </w:tcPr>
          <w:p w14:paraId="1FD50D28" w14:textId="3A075D13" w:rsidR="00E040FD" w:rsidRDefault="00740D64">
            <w:pPr>
              <w:pStyle w:val="P68B1DB1-Normal12"/>
              <w:spacing w:after="0" w:line="240" w:lineRule="auto"/>
              <w:jc w:val="center"/>
              <w:rPr>
                <w:rFonts w:cstheme="minorHAnsi"/>
                <w:noProof/>
              </w:rPr>
            </w:pPr>
            <w:r>
              <w:rPr>
                <w:noProof/>
              </w:rPr>
              <w:t>T</w:t>
            </w:r>
          </w:p>
        </w:tc>
        <w:tc>
          <w:tcPr>
            <w:tcW w:w="2026" w:type="dxa"/>
            <w:shd w:val="clear" w:color="auto" w:fill="C4EFCE"/>
            <w:vAlign w:val="center"/>
          </w:tcPr>
          <w:p w14:paraId="4B666CCE" w14:textId="478A7D51" w:rsidR="00E040FD" w:rsidRDefault="00740D64">
            <w:pPr>
              <w:pStyle w:val="P68B1DB1-Normal12"/>
              <w:spacing w:after="0" w:line="240" w:lineRule="auto"/>
              <w:rPr>
                <w:rFonts w:cstheme="minorHAnsi"/>
                <w:noProof/>
              </w:rPr>
            </w:pPr>
            <w:r>
              <w:rPr>
                <w:noProof/>
              </w:rPr>
              <w:t>Förstärkning av beståndet av subventionerade bostäder i den autonoma regionen Azorerna – bostäder uppförda</w:t>
            </w:r>
          </w:p>
        </w:tc>
        <w:tc>
          <w:tcPr>
            <w:tcW w:w="1355" w:type="dxa"/>
            <w:shd w:val="clear" w:color="auto" w:fill="C4EFCE"/>
            <w:vAlign w:val="center"/>
          </w:tcPr>
          <w:p w14:paraId="3368FA4C" w14:textId="77777777" w:rsidR="00E040FD" w:rsidRDefault="00E040FD">
            <w:pPr>
              <w:spacing w:after="0" w:line="240" w:lineRule="auto"/>
              <w:rPr>
                <w:rFonts w:eastAsia="Times New Roman" w:cstheme="minorHAnsi"/>
                <w:noProof/>
                <w:sz w:val="16"/>
              </w:rPr>
            </w:pPr>
          </w:p>
        </w:tc>
        <w:tc>
          <w:tcPr>
            <w:tcW w:w="1021" w:type="dxa"/>
            <w:shd w:val="clear" w:color="auto" w:fill="C4EFCE"/>
            <w:vAlign w:val="center"/>
          </w:tcPr>
          <w:p w14:paraId="5D56F8D2" w14:textId="26F656FB" w:rsidR="00E040FD" w:rsidRDefault="00740D64">
            <w:pPr>
              <w:pStyle w:val="P68B1DB1-Normal12"/>
              <w:spacing w:after="0" w:line="240" w:lineRule="auto"/>
              <w:jc w:val="center"/>
              <w:rPr>
                <w:rFonts w:cstheme="minorHAnsi"/>
                <w:noProof/>
              </w:rPr>
            </w:pPr>
            <w:r>
              <w:rPr>
                <w:noProof/>
              </w:rPr>
              <w:t>Antal</w:t>
            </w:r>
          </w:p>
        </w:tc>
        <w:tc>
          <w:tcPr>
            <w:tcW w:w="1134" w:type="dxa"/>
            <w:shd w:val="clear" w:color="auto" w:fill="C4EFCE"/>
            <w:vAlign w:val="center"/>
          </w:tcPr>
          <w:p w14:paraId="6C946781" w14:textId="5373AAC2" w:rsidR="00E040FD" w:rsidRDefault="00740D64">
            <w:pPr>
              <w:pStyle w:val="P68B1DB1-Normal12"/>
              <w:spacing w:after="0" w:line="240" w:lineRule="auto"/>
              <w:jc w:val="center"/>
              <w:rPr>
                <w:rFonts w:cstheme="minorHAnsi"/>
                <w:noProof/>
              </w:rPr>
            </w:pPr>
            <w:r>
              <w:rPr>
                <w:noProof/>
              </w:rPr>
              <w:t>0</w:t>
            </w:r>
          </w:p>
        </w:tc>
        <w:tc>
          <w:tcPr>
            <w:tcW w:w="897" w:type="dxa"/>
            <w:shd w:val="clear" w:color="auto" w:fill="C4EFCE"/>
            <w:vAlign w:val="center"/>
          </w:tcPr>
          <w:p w14:paraId="1453AA31" w14:textId="176AAA92" w:rsidR="00E040FD" w:rsidRDefault="00740D64">
            <w:pPr>
              <w:pStyle w:val="P68B1DB1-Normal12"/>
              <w:spacing w:after="0" w:line="240" w:lineRule="auto"/>
              <w:jc w:val="center"/>
              <w:rPr>
                <w:rFonts w:cstheme="minorHAnsi"/>
                <w:noProof/>
              </w:rPr>
            </w:pPr>
            <w:r>
              <w:rPr>
                <w:noProof/>
              </w:rPr>
              <w:t>126</w:t>
            </w:r>
          </w:p>
        </w:tc>
        <w:tc>
          <w:tcPr>
            <w:tcW w:w="473" w:type="dxa"/>
            <w:shd w:val="clear" w:color="auto" w:fill="C4EFCE"/>
            <w:vAlign w:val="center"/>
          </w:tcPr>
          <w:p w14:paraId="68B4C3AF" w14:textId="721E7190" w:rsidR="00E040FD" w:rsidRDefault="00740D64">
            <w:pPr>
              <w:pStyle w:val="P68B1DB1-Normal12"/>
              <w:spacing w:after="0" w:line="240" w:lineRule="auto"/>
              <w:rPr>
                <w:rFonts w:cstheme="minorHAnsi"/>
                <w:noProof/>
              </w:rPr>
            </w:pPr>
            <w:r>
              <w:rPr>
                <w:noProof/>
              </w:rPr>
              <w:t>KVARTAL 4</w:t>
            </w:r>
          </w:p>
        </w:tc>
        <w:tc>
          <w:tcPr>
            <w:tcW w:w="625" w:type="dxa"/>
            <w:shd w:val="clear" w:color="auto" w:fill="C4EFCE"/>
            <w:vAlign w:val="center"/>
          </w:tcPr>
          <w:p w14:paraId="79C3FF04" w14:textId="14F788F1" w:rsidR="00E040FD" w:rsidRDefault="00740D64">
            <w:pPr>
              <w:pStyle w:val="P68B1DB1-Normal12"/>
              <w:spacing w:after="0" w:line="240" w:lineRule="auto"/>
              <w:rPr>
                <w:rFonts w:cstheme="minorHAnsi"/>
                <w:noProof/>
              </w:rPr>
            </w:pPr>
            <w:r>
              <w:rPr>
                <w:noProof/>
              </w:rPr>
              <w:t>2025</w:t>
            </w:r>
          </w:p>
        </w:tc>
        <w:tc>
          <w:tcPr>
            <w:tcW w:w="4969" w:type="dxa"/>
            <w:shd w:val="clear" w:color="auto" w:fill="C4EFCE"/>
            <w:vAlign w:val="center"/>
          </w:tcPr>
          <w:p w14:paraId="6F1B329D" w14:textId="70FC1EBF" w:rsidR="00E040FD" w:rsidRDefault="00740D64">
            <w:pPr>
              <w:pStyle w:val="P68B1DB1-Normal12"/>
              <w:spacing w:after="0" w:line="240" w:lineRule="auto"/>
              <w:jc w:val="both"/>
              <w:rPr>
                <w:rFonts w:cstheme="minorHAnsi"/>
                <w:noProof/>
              </w:rPr>
            </w:pPr>
            <w:r>
              <w:rPr>
                <w:noProof/>
              </w:rPr>
              <w:t xml:space="preserve">Antal färdigbyggda bostäder. Nya byggnader ska ha ett primärenergibehov som är minst 20 % lägre än kraven för nära-nollenergibyggnader. Den genomsnittliga storleken på bostäderna är cirka 101 kvadratmeter. </w:t>
            </w:r>
          </w:p>
        </w:tc>
      </w:tr>
    </w:tbl>
    <w:p w14:paraId="4EA37B94" w14:textId="77777777" w:rsidR="00E040FD" w:rsidRDefault="00E040FD">
      <w:pPr>
        <w:spacing w:before="40" w:after="0" w:line="259" w:lineRule="auto"/>
        <w:jc w:val="both"/>
        <w:rPr>
          <w:rFonts w:ascii="Times New Roman" w:eastAsiaTheme="minorEastAsia" w:hAnsi="Times New Roman" w:cs="Times New Roman"/>
          <w:b/>
          <w:noProof/>
          <w:sz w:val="24"/>
        </w:rPr>
      </w:pPr>
    </w:p>
    <w:p w14:paraId="5E20B4D8" w14:textId="77777777" w:rsidR="00E040FD" w:rsidRDefault="00E040FD">
      <w:pPr>
        <w:spacing w:before="40" w:after="0" w:line="259" w:lineRule="auto"/>
        <w:jc w:val="both"/>
        <w:rPr>
          <w:rFonts w:ascii="Times New Roman" w:eastAsiaTheme="minorEastAsia" w:hAnsi="Times New Roman" w:cs="Times New Roman"/>
          <w:b/>
          <w:noProof/>
          <w:sz w:val="24"/>
        </w:rPr>
      </w:pPr>
    </w:p>
    <w:p w14:paraId="097E5357" w14:textId="77777777" w:rsidR="00E040FD" w:rsidRDefault="00E040FD">
      <w:pPr>
        <w:spacing w:before="40" w:after="0" w:line="259" w:lineRule="auto"/>
        <w:jc w:val="both"/>
        <w:rPr>
          <w:rFonts w:ascii="Times New Roman" w:eastAsiaTheme="minorEastAsia" w:hAnsi="Times New Roman" w:cs="Times New Roman"/>
          <w:b/>
          <w:noProof/>
          <w:sz w:val="24"/>
        </w:rPr>
      </w:pPr>
    </w:p>
    <w:p w14:paraId="4E113063" w14:textId="77777777" w:rsidR="00E040FD" w:rsidRDefault="00E040FD">
      <w:pPr>
        <w:spacing w:before="40" w:after="0" w:line="259" w:lineRule="auto"/>
        <w:jc w:val="both"/>
        <w:rPr>
          <w:rFonts w:ascii="Times New Roman" w:eastAsiaTheme="minorEastAsia" w:hAnsi="Times New Roman" w:cs="Times New Roman"/>
          <w:b/>
          <w:noProof/>
          <w:sz w:val="24"/>
        </w:rPr>
        <w:sectPr w:rsidR="00E040FD" w:rsidSect="00E00EDD">
          <w:headerReference w:type="even" r:id="rId54"/>
          <w:headerReference w:type="default" r:id="rId55"/>
          <w:footerReference w:type="even" r:id="rId56"/>
          <w:footerReference w:type="default" r:id="rId57"/>
          <w:headerReference w:type="first" r:id="rId58"/>
          <w:footerReference w:type="first" r:id="rId59"/>
          <w:pgSz w:w="16839" w:h="11907" w:orient="landscape"/>
          <w:pgMar w:top="1134" w:right="1134" w:bottom="1134" w:left="1134" w:header="567" w:footer="567" w:gutter="0"/>
          <w:cols w:space="720"/>
          <w:docGrid w:linePitch="360"/>
        </w:sectPr>
      </w:pPr>
    </w:p>
    <w:p w14:paraId="047A1851" w14:textId="77777777" w:rsidR="00E040FD" w:rsidRDefault="00E040FD">
      <w:pPr>
        <w:spacing w:before="40" w:after="0" w:line="259" w:lineRule="auto"/>
        <w:jc w:val="both"/>
        <w:rPr>
          <w:rFonts w:ascii="Times New Roman" w:eastAsiaTheme="minorEastAsia" w:hAnsi="Times New Roman" w:cs="Times New Roman"/>
          <w:noProof/>
          <w:sz w:val="24"/>
        </w:rPr>
      </w:pPr>
    </w:p>
    <w:p w14:paraId="5B038070" w14:textId="77777777" w:rsidR="00E040FD" w:rsidRDefault="00740D64">
      <w:pPr>
        <w:pStyle w:val="P68B1DB1-Normal3"/>
        <w:spacing w:before="40" w:after="0" w:line="259" w:lineRule="auto"/>
        <w:ind w:left="130" w:firstLine="720"/>
        <w:jc w:val="both"/>
        <w:outlineLvl w:val="2"/>
        <w:rPr>
          <w:rFonts w:eastAsiaTheme="minorEastAsia" w:cs="Times New Roman"/>
          <w:noProof/>
        </w:rPr>
      </w:pPr>
      <w:r>
        <w:rPr>
          <w:noProof/>
        </w:rPr>
        <w:t>B.3 Beskrivning av reformerna och investeringarna för lånet</w:t>
      </w:r>
    </w:p>
    <w:p w14:paraId="30633E8D" w14:textId="77777777" w:rsidR="00E040FD" w:rsidRDefault="00740D64">
      <w:pPr>
        <w:pStyle w:val="P68B1DB1-Normal5"/>
        <w:spacing w:before="240" w:after="0" w:line="259" w:lineRule="auto"/>
        <w:ind w:left="851"/>
        <w:jc w:val="both"/>
        <w:outlineLvl w:val="3"/>
        <w:rPr>
          <w:rFonts w:eastAsiaTheme="minorEastAsia" w:cs="Times New Roman"/>
          <w:b/>
          <w:noProof/>
        </w:rPr>
      </w:pPr>
      <w:r>
        <w:rPr>
          <w:noProof/>
        </w:rPr>
        <w:t>Investering RE-C02-i05: Offentligt subventionerade bostäder till rimliga priser</w:t>
      </w:r>
    </w:p>
    <w:p w14:paraId="6A637658" w14:textId="77777777" w:rsidR="00E040FD" w:rsidRDefault="00740D64">
      <w:pPr>
        <w:pStyle w:val="P68B1DB1-Normal4"/>
        <w:keepNext/>
        <w:spacing w:before="40" w:after="0" w:line="259" w:lineRule="auto"/>
        <w:jc w:val="both"/>
        <w:rPr>
          <w:rFonts w:eastAsia="Times New Roman" w:cs="Times New Roman"/>
          <w:noProof/>
        </w:rPr>
      </w:pPr>
      <w:r>
        <w:rPr>
          <w:noProof/>
        </w:rPr>
        <w:t xml:space="preserve">Syftet med investeringen är att reagera på den nuvarande bostadsprisutvecklingen i förhållande till de portugisiska hushållens inkomstnivåer, särskilt i stora stadsmiljöer, genom att tillhandahålla ett offentligt bostadslager som kan hyras till överkomliga priser för specifika målgrupper. </w:t>
      </w:r>
    </w:p>
    <w:p w14:paraId="04C006FB" w14:textId="77777777" w:rsidR="00E040FD" w:rsidRDefault="00740D64">
      <w:pPr>
        <w:pStyle w:val="P68B1DB1-Normal4"/>
        <w:keepNext/>
        <w:spacing w:before="40" w:after="0" w:line="259" w:lineRule="auto"/>
        <w:jc w:val="both"/>
        <w:rPr>
          <w:rFonts w:eastAsia="Times New Roman" w:cs="Times New Roman"/>
          <w:noProof/>
        </w:rPr>
      </w:pPr>
      <w:r>
        <w:rPr>
          <w:noProof/>
        </w:rPr>
        <w:t xml:space="preserve">Investeringen ska bestå av uppförande, inklusive förvärv, av nya byggnader och renovering av offentliga bostäder för att tillhandahålla 6 800 bostäder och därpå följande hyra till överkomliga priser för de angivna målgrupperna. </w:t>
      </w:r>
    </w:p>
    <w:p w14:paraId="55D88C12"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30 juni 2026.</w:t>
      </w:r>
    </w:p>
    <w:p w14:paraId="6F8273EA" w14:textId="77777777" w:rsidR="00E040FD" w:rsidRDefault="00740D64">
      <w:pPr>
        <w:pStyle w:val="P68B1DB1-Normal5"/>
        <w:spacing w:before="240" w:after="0" w:line="259" w:lineRule="auto"/>
        <w:ind w:left="851"/>
        <w:jc w:val="both"/>
        <w:outlineLvl w:val="3"/>
        <w:rPr>
          <w:rFonts w:eastAsiaTheme="minorEastAsia" w:cs="Times New Roman"/>
          <w:noProof/>
        </w:rPr>
      </w:pPr>
      <w:r>
        <w:rPr>
          <w:noProof/>
        </w:rPr>
        <w:t>Investering RE-C02-i06: Boende för studenter till rimliga priser</w:t>
      </w:r>
    </w:p>
    <w:p w14:paraId="7AA5CEFE"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investering är att öka det nationella utbudet av studentbostäder till rimliga priser, eftersom detta fortfarande är ett av de största hindren för tillgång till högre utbildning. Dessa bostäder ska bidra till att minska de direkta kostnaderna för studenter och deras familjer, med särskilt fokus på de mest socialt och ekonomiskt utsatta studenterna. Det befintliga utbudet stöder endast en liten andel (cirka 10 %) av studenterna i behov av boende, mot bakgrund av en markant ökning av boendekostnaderna, särskilt i de största tätorterna, där högskolorna är koncentrerade. </w:t>
      </w:r>
    </w:p>
    <w:p w14:paraId="4602D132" w14:textId="51E322E5" w:rsidR="00E040FD" w:rsidRDefault="00740D64">
      <w:pPr>
        <w:pStyle w:val="P68B1DB1-Normal4"/>
        <w:keepNext/>
        <w:spacing w:before="40" w:after="0" w:line="259" w:lineRule="auto"/>
        <w:jc w:val="both"/>
        <w:rPr>
          <w:rFonts w:eastAsiaTheme="minorEastAsia" w:cs="Times New Roman"/>
          <w:noProof/>
        </w:rPr>
      </w:pPr>
      <w:r>
        <w:rPr>
          <w:noProof/>
        </w:rPr>
        <w:t>Investeringen ska bestå i att tillhandahålla 18 000 nya och renoverade bäddar genom uppförande av nya byggnader, renovering av befintliga byggnader och modernisering och utbyggnad av befintliga studentboenden för prioriterad användning av studenterna. Dessutom, och först när studenternas behov har tillgodosetts, kan sängar också ställas till förfogande för forskare, lärare och annan personal vid högre utbildningsanstalter, särskilt inom ramen för nationell eller internationell rörlighet, bland annat inom Erasmus +, nätverk av Europauniversitet och andra internationella rörlighetsavtal med den portugisiska staten.</w:t>
      </w:r>
    </w:p>
    <w:p w14:paraId="75204CCB" w14:textId="77777777" w:rsidR="00E040FD" w:rsidRDefault="00740D64">
      <w:pPr>
        <w:pStyle w:val="P68B1DB1-Normal4"/>
        <w:keepNext/>
        <w:spacing w:before="40" w:after="0" w:line="259" w:lineRule="auto"/>
        <w:jc w:val="both"/>
        <w:rPr>
          <w:rFonts w:eastAsia="Times New Roman" w:cs="Times New Roman"/>
          <w:noProof/>
        </w:rPr>
      </w:pPr>
      <w:r>
        <w:rPr>
          <w:noProof/>
        </w:rPr>
        <w:t xml:space="preserve">Investeringen ska vara genomförd senast den 31 mars 2026. </w:t>
      </w:r>
    </w:p>
    <w:p w14:paraId="1558FB4C" w14:textId="1B1EAE65" w:rsidR="00E040FD" w:rsidRDefault="00740D64">
      <w:pPr>
        <w:pStyle w:val="P68B1DB1-Normal5"/>
        <w:spacing w:before="240" w:after="0" w:line="259" w:lineRule="auto"/>
        <w:ind w:left="851"/>
        <w:jc w:val="both"/>
        <w:outlineLvl w:val="3"/>
        <w:rPr>
          <w:rFonts w:eastAsiaTheme="minorEastAsia" w:cs="Times New Roman"/>
          <w:noProof/>
        </w:rPr>
      </w:pPr>
      <w:bookmarkStart w:id="4" w:name="_Hlk143873116"/>
      <w:r>
        <w:rPr>
          <w:noProof/>
        </w:rPr>
        <w:t>Investering RE-C02-i09: Utökad åtgärd: Stödprogram för tillgång till bostäder (lån)</w:t>
      </w:r>
    </w:p>
    <w:p w14:paraId="11AD560D" w14:textId="5F5C3FC8" w:rsidR="00E040FD" w:rsidRDefault="00740D64">
      <w:pPr>
        <w:pStyle w:val="P68B1DB1-Normal4"/>
        <w:keepNext/>
        <w:spacing w:before="40" w:after="0" w:line="259" w:lineRule="auto"/>
        <w:jc w:val="both"/>
        <w:rPr>
          <w:rFonts w:eastAsiaTheme="minorEastAsia" w:cs="Times New Roman"/>
          <w:noProof/>
        </w:rPr>
      </w:pPr>
      <w:r>
        <w:rPr>
          <w:noProof/>
        </w:rPr>
        <w:t>Syftet med investeringen är att öka investeringarna RE-C02 – i01: Stödprogram för tillgång till bostäder, inom ramen för komponent 2. Den utökade delen av åtgärden ska öka antalet bostäder som tillhandahålls hushållen.</w:t>
      </w:r>
    </w:p>
    <w:p w14:paraId="41CADB9F"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30 juni 2026.</w:t>
      </w:r>
    </w:p>
    <w:bookmarkEnd w:id="4"/>
    <w:p w14:paraId="3A847D52" w14:textId="77777777" w:rsidR="00E040FD" w:rsidRDefault="00E040FD">
      <w:pPr>
        <w:keepNext/>
        <w:spacing w:before="40" w:after="0" w:line="259" w:lineRule="auto"/>
        <w:jc w:val="both"/>
        <w:rPr>
          <w:rFonts w:ascii="Times New Roman" w:eastAsia="Times New Roman" w:hAnsi="Times New Roman" w:cs="Times New Roman"/>
          <w:noProof/>
          <w:sz w:val="24"/>
        </w:rPr>
      </w:pPr>
    </w:p>
    <w:p w14:paraId="0CBADF13" w14:textId="77777777" w:rsidR="00E040FD" w:rsidRDefault="00E040FD">
      <w:pPr>
        <w:spacing w:before="40" w:after="0" w:line="259" w:lineRule="auto"/>
        <w:ind w:left="130" w:firstLine="720"/>
        <w:jc w:val="both"/>
        <w:outlineLvl w:val="2"/>
        <w:rPr>
          <w:rFonts w:ascii="Times New Roman" w:eastAsiaTheme="minorEastAsia" w:hAnsi="Times New Roman" w:cs="Times New Roman"/>
          <w:b/>
          <w:noProof/>
          <w:sz w:val="24"/>
          <w:u w:val="single"/>
        </w:rPr>
        <w:sectPr w:rsidR="00E040FD" w:rsidSect="00E00EDD">
          <w:headerReference w:type="even" r:id="rId60"/>
          <w:headerReference w:type="default" r:id="rId61"/>
          <w:footerReference w:type="even" r:id="rId62"/>
          <w:footerReference w:type="default" r:id="rId63"/>
          <w:headerReference w:type="first" r:id="rId64"/>
          <w:footerReference w:type="first" r:id="rId65"/>
          <w:pgSz w:w="11907" w:h="16839"/>
          <w:pgMar w:top="1134" w:right="1134" w:bottom="1134" w:left="1134" w:header="567" w:footer="567" w:gutter="0"/>
          <w:cols w:space="720"/>
          <w:docGrid w:linePitch="360"/>
        </w:sectPr>
      </w:pPr>
    </w:p>
    <w:p w14:paraId="780C899B" w14:textId="77777777" w:rsidR="00E040FD" w:rsidRDefault="00740D64">
      <w:pPr>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B.4 </w:t>
      </w:r>
      <w:r>
        <w:rPr>
          <w:noProof/>
        </w:rPr>
        <w:tab/>
      </w:r>
      <w:r>
        <w:rPr>
          <w:rFonts w:ascii="Times New Roman" w:hAnsi="Times New Roman"/>
          <w:b/>
          <w:noProof/>
          <w:sz w:val="24"/>
          <w:u w:val="single"/>
        </w:rPr>
        <w:t>Delmål, mål, indikatorer och tidsplan för övervakning och genomförande av lånet</w:t>
      </w:r>
    </w:p>
    <w:p w14:paraId="1407F7DF" w14:textId="77777777" w:rsidR="00E040FD" w:rsidRDefault="00E040FD">
      <w:pPr>
        <w:spacing w:before="40" w:after="0" w:line="259" w:lineRule="auto"/>
        <w:jc w:val="both"/>
        <w:rPr>
          <w:rFonts w:ascii="Times New Roman" w:eastAsiaTheme="minorEastAsia" w:hAnsi="Times New Roman" w:cs="Times New Roman"/>
          <w:noProof/>
          <w:sz w:val="24"/>
        </w:rPr>
      </w:pPr>
    </w:p>
    <w:tbl>
      <w:tblPr>
        <w:tblW w:w="149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259"/>
        <w:gridCol w:w="1119"/>
        <w:gridCol w:w="1677"/>
        <w:gridCol w:w="1258"/>
        <w:gridCol w:w="981"/>
        <w:gridCol w:w="980"/>
        <w:gridCol w:w="701"/>
        <w:gridCol w:w="561"/>
        <w:gridCol w:w="700"/>
        <w:gridCol w:w="4606"/>
      </w:tblGrid>
      <w:tr w:rsidR="00E040FD" w14:paraId="4C665869" w14:textId="77777777">
        <w:trPr>
          <w:trHeight w:val="910"/>
          <w:tblHeader/>
        </w:trPr>
        <w:tc>
          <w:tcPr>
            <w:tcW w:w="1121" w:type="dxa"/>
            <w:vMerge w:val="restart"/>
            <w:shd w:val="clear" w:color="auto" w:fill="BDD6EE"/>
            <w:vAlign w:val="center"/>
            <w:hideMark/>
          </w:tcPr>
          <w:p w14:paraId="10BCE388"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59" w:type="dxa"/>
            <w:vMerge w:val="restart"/>
            <w:shd w:val="clear" w:color="auto" w:fill="BDD6EE"/>
            <w:vAlign w:val="center"/>
            <w:hideMark/>
          </w:tcPr>
          <w:p w14:paraId="397190C1"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19" w:type="dxa"/>
            <w:vMerge w:val="restart"/>
            <w:shd w:val="clear" w:color="auto" w:fill="BDD6EE"/>
            <w:vAlign w:val="center"/>
            <w:hideMark/>
          </w:tcPr>
          <w:p w14:paraId="42500290" w14:textId="77777777" w:rsidR="00E040FD" w:rsidRDefault="00740D64">
            <w:pPr>
              <w:pStyle w:val="P68B1DB1-Normal6"/>
              <w:spacing w:after="0" w:line="240" w:lineRule="auto"/>
              <w:jc w:val="center"/>
              <w:rPr>
                <w:rFonts w:eastAsia="Times New Roman" w:cs="Times New Roman"/>
                <w:noProof/>
              </w:rPr>
            </w:pPr>
            <w:r>
              <w:rPr>
                <w:noProof/>
              </w:rPr>
              <w:t>Milementon/</w:t>
            </w:r>
          </w:p>
          <w:p w14:paraId="54CB065E" w14:textId="127F2F46" w:rsidR="00E040FD" w:rsidRDefault="00740D64">
            <w:pPr>
              <w:pStyle w:val="P68B1DB1-Normal6"/>
              <w:spacing w:after="0" w:line="240" w:lineRule="auto"/>
              <w:jc w:val="center"/>
              <w:rPr>
                <w:rFonts w:eastAsia="Times New Roman" w:cs="Times New Roman"/>
                <w:noProof/>
              </w:rPr>
            </w:pPr>
            <w:r>
              <w:rPr>
                <w:noProof/>
              </w:rPr>
              <w:t>Mål</w:t>
            </w:r>
          </w:p>
        </w:tc>
        <w:tc>
          <w:tcPr>
            <w:tcW w:w="1677" w:type="dxa"/>
            <w:vMerge w:val="restart"/>
            <w:shd w:val="clear" w:color="auto" w:fill="BDD6EE"/>
            <w:vAlign w:val="center"/>
            <w:hideMark/>
          </w:tcPr>
          <w:p w14:paraId="0BC01E37"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58" w:type="dxa"/>
            <w:vMerge w:val="restart"/>
            <w:shd w:val="clear" w:color="auto" w:fill="BDD6EE"/>
            <w:vAlign w:val="center"/>
            <w:hideMark/>
          </w:tcPr>
          <w:p w14:paraId="6453E431"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662" w:type="dxa"/>
            <w:gridSpan w:val="3"/>
            <w:shd w:val="clear" w:color="auto" w:fill="BDD6EE"/>
            <w:vAlign w:val="center"/>
            <w:hideMark/>
          </w:tcPr>
          <w:p w14:paraId="01661F32"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61" w:type="dxa"/>
            <w:gridSpan w:val="2"/>
            <w:shd w:val="clear" w:color="auto" w:fill="BDD6EE"/>
            <w:vAlign w:val="center"/>
            <w:hideMark/>
          </w:tcPr>
          <w:p w14:paraId="45C76A26"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4606" w:type="dxa"/>
            <w:vMerge w:val="restart"/>
            <w:shd w:val="clear" w:color="auto" w:fill="BDD6EE"/>
            <w:noWrap/>
            <w:vAlign w:val="center"/>
            <w:hideMark/>
          </w:tcPr>
          <w:p w14:paraId="0E401B5C"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5F9D413E" w14:textId="77777777">
        <w:trPr>
          <w:trHeight w:val="470"/>
          <w:tblHeader/>
        </w:trPr>
        <w:tc>
          <w:tcPr>
            <w:tcW w:w="1121" w:type="dxa"/>
            <w:vMerge/>
            <w:vAlign w:val="center"/>
            <w:hideMark/>
          </w:tcPr>
          <w:p w14:paraId="0D5A92A2" w14:textId="77777777" w:rsidR="00E040FD" w:rsidRDefault="00E040FD">
            <w:pPr>
              <w:spacing w:after="0" w:line="240" w:lineRule="auto"/>
              <w:rPr>
                <w:rFonts w:ascii="Times New Roman" w:eastAsia="Times New Roman" w:hAnsi="Times New Roman" w:cs="Times New Roman"/>
                <w:b/>
                <w:noProof/>
                <w:sz w:val="18"/>
              </w:rPr>
            </w:pPr>
          </w:p>
        </w:tc>
        <w:tc>
          <w:tcPr>
            <w:tcW w:w="1259" w:type="dxa"/>
            <w:vMerge/>
            <w:vAlign w:val="center"/>
            <w:hideMark/>
          </w:tcPr>
          <w:p w14:paraId="66B80633" w14:textId="77777777" w:rsidR="00E040FD" w:rsidRDefault="00E040FD">
            <w:pPr>
              <w:spacing w:after="0" w:line="240" w:lineRule="auto"/>
              <w:rPr>
                <w:rFonts w:ascii="Times New Roman" w:eastAsia="Times New Roman" w:hAnsi="Times New Roman" w:cs="Times New Roman"/>
                <w:b/>
                <w:noProof/>
                <w:sz w:val="18"/>
              </w:rPr>
            </w:pPr>
          </w:p>
        </w:tc>
        <w:tc>
          <w:tcPr>
            <w:tcW w:w="1119" w:type="dxa"/>
            <w:vMerge/>
            <w:vAlign w:val="center"/>
            <w:hideMark/>
          </w:tcPr>
          <w:p w14:paraId="3CD2B8F4" w14:textId="5872AC7C" w:rsidR="00E040FD" w:rsidRDefault="00E040FD">
            <w:pPr>
              <w:spacing w:after="0" w:line="240" w:lineRule="auto"/>
              <w:jc w:val="center"/>
              <w:rPr>
                <w:rFonts w:ascii="Times New Roman" w:eastAsia="Times New Roman" w:hAnsi="Times New Roman" w:cs="Times New Roman"/>
                <w:b/>
                <w:noProof/>
                <w:sz w:val="18"/>
              </w:rPr>
            </w:pPr>
          </w:p>
        </w:tc>
        <w:tc>
          <w:tcPr>
            <w:tcW w:w="1677" w:type="dxa"/>
            <w:vMerge/>
            <w:vAlign w:val="center"/>
            <w:hideMark/>
          </w:tcPr>
          <w:p w14:paraId="7B0E4E17" w14:textId="77777777" w:rsidR="00E040FD" w:rsidRDefault="00E040FD">
            <w:pPr>
              <w:spacing w:after="0" w:line="240" w:lineRule="auto"/>
              <w:rPr>
                <w:rFonts w:ascii="Times New Roman" w:eastAsia="Times New Roman" w:hAnsi="Times New Roman" w:cs="Times New Roman"/>
                <w:b/>
                <w:noProof/>
                <w:sz w:val="18"/>
              </w:rPr>
            </w:pPr>
          </w:p>
        </w:tc>
        <w:tc>
          <w:tcPr>
            <w:tcW w:w="1258" w:type="dxa"/>
            <w:vMerge/>
            <w:vAlign w:val="center"/>
            <w:hideMark/>
          </w:tcPr>
          <w:p w14:paraId="6ED6C64F" w14:textId="77777777" w:rsidR="00E040FD" w:rsidRDefault="00E040FD">
            <w:pPr>
              <w:spacing w:after="0" w:line="240" w:lineRule="auto"/>
              <w:rPr>
                <w:rFonts w:ascii="Times New Roman" w:eastAsia="Times New Roman" w:hAnsi="Times New Roman" w:cs="Times New Roman"/>
                <w:b/>
                <w:noProof/>
                <w:sz w:val="18"/>
              </w:rPr>
            </w:pPr>
          </w:p>
        </w:tc>
        <w:tc>
          <w:tcPr>
            <w:tcW w:w="981" w:type="dxa"/>
            <w:shd w:val="clear" w:color="auto" w:fill="BDD6EE"/>
            <w:vAlign w:val="center"/>
            <w:hideMark/>
          </w:tcPr>
          <w:p w14:paraId="4082AB93"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80" w:type="dxa"/>
            <w:shd w:val="clear" w:color="auto" w:fill="BDD6EE"/>
            <w:vAlign w:val="center"/>
            <w:hideMark/>
          </w:tcPr>
          <w:p w14:paraId="6FFD0F60"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701" w:type="dxa"/>
            <w:shd w:val="clear" w:color="auto" w:fill="BDD6EE"/>
            <w:vAlign w:val="center"/>
            <w:hideMark/>
          </w:tcPr>
          <w:p w14:paraId="5A43C212"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1" w:type="dxa"/>
            <w:shd w:val="clear" w:color="auto" w:fill="BDD6EE"/>
            <w:vAlign w:val="center"/>
            <w:hideMark/>
          </w:tcPr>
          <w:p w14:paraId="74791177" w14:textId="77777777" w:rsidR="00E040FD" w:rsidRDefault="00740D64">
            <w:pPr>
              <w:pStyle w:val="P68B1DB1-Normal6"/>
              <w:spacing w:after="0" w:line="240" w:lineRule="auto"/>
              <w:jc w:val="center"/>
              <w:rPr>
                <w:rFonts w:eastAsia="Times New Roman" w:cs="Times New Roman"/>
                <w:noProof/>
              </w:rPr>
            </w:pPr>
            <w:r>
              <w:rPr>
                <w:noProof/>
              </w:rPr>
              <w:t>Q</w:t>
            </w:r>
          </w:p>
        </w:tc>
        <w:tc>
          <w:tcPr>
            <w:tcW w:w="700" w:type="dxa"/>
            <w:shd w:val="clear" w:color="auto" w:fill="BDD6EE"/>
            <w:vAlign w:val="center"/>
            <w:hideMark/>
          </w:tcPr>
          <w:p w14:paraId="639FF5C5" w14:textId="77777777" w:rsidR="00E040FD" w:rsidRDefault="00740D64">
            <w:pPr>
              <w:pStyle w:val="P68B1DB1-Normal6"/>
              <w:spacing w:after="0" w:line="240" w:lineRule="auto"/>
              <w:jc w:val="center"/>
              <w:rPr>
                <w:rFonts w:eastAsia="Times New Roman" w:cs="Times New Roman"/>
                <w:noProof/>
              </w:rPr>
            </w:pPr>
            <w:r>
              <w:rPr>
                <w:noProof/>
              </w:rPr>
              <w:t>Året</w:t>
            </w:r>
          </w:p>
        </w:tc>
        <w:tc>
          <w:tcPr>
            <w:tcW w:w="4606" w:type="dxa"/>
            <w:vMerge/>
            <w:vAlign w:val="center"/>
            <w:hideMark/>
          </w:tcPr>
          <w:p w14:paraId="0AA46401" w14:textId="77777777" w:rsidR="00E040FD" w:rsidRDefault="00E040FD">
            <w:pPr>
              <w:spacing w:after="0" w:line="240" w:lineRule="auto"/>
              <w:rPr>
                <w:rFonts w:ascii="Times New Roman" w:eastAsia="Times New Roman" w:hAnsi="Times New Roman" w:cs="Times New Roman"/>
                <w:b/>
                <w:noProof/>
                <w:sz w:val="18"/>
              </w:rPr>
            </w:pPr>
          </w:p>
        </w:tc>
      </w:tr>
      <w:tr w:rsidR="00E040FD" w14:paraId="6365BE4E" w14:textId="77777777">
        <w:trPr>
          <w:trHeight w:val="1260"/>
        </w:trPr>
        <w:tc>
          <w:tcPr>
            <w:tcW w:w="1121" w:type="dxa"/>
            <w:shd w:val="clear" w:color="auto" w:fill="C4EFCE"/>
            <w:vAlign w:val="center"/>
            <w:hideMark/>
          </w:tcPr>
          <w:p w14:paraId="2EDCE149" w14:textId="77777777" w:rsidR="00E040FD" w:rsidRDefault="00740D64">
            <w:pPr>
              <w:pStyle w:val="P68B1DB1-Normal7"/>
              <w:spacing w:after="0" w:line="240" w:lineRule="auto"/>
              <w:jc w:val="center"/>
              <w:rPr>
                <w:rFonts w:eastAsia="Times New Roman" w:cs="Calibri"/>
                <w:noProof/>
              </w:rPr>
            </w:pPr>
            <w:r>
              <w:rPr>
                <w:noProof/>
              </w:rPr>
              <w:t>2.20</w:t>
            </w:r>
          </w:p>
        </w:tc>
        <w:tc>
          <w:tcPr>
            <w:tcW w:w="1259" w:type="dxa"/>
            <w:shd w:val="clear" w:color="auto" w:fill="C4EFCE"/>
            <w:vAlign w:val="center"/>
            <w:hideMark/>
          </w:tcPr>
          <w:p w14:paraId="6ABB675D" w14:textId="77777777" w:rsidR="00E040FD" w:rsidRDefault="00740D6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32793D51" w14:textId="77777777" w:rsidR="00E040FD" w:rsidRDefault="00740D6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03220CB" w14:textId="5E5D9102" w:rsidR="00E040FD" w:rsidRDefault="00740D64">
            <w:pPr>
              <w:pStyle w:val="P68B1DB1-Normal8"/>
              <w:spacing w:after="0" w:line="240" w:lineRule="auto"/>
              <w:jc w:val="center"/>
              <w:rPr>
                <w:rFonts w:eastAsia="Times New Roman" w:cs="Calibri"/>
                <w:noProof/>
              </w:rPr>
            </w:pPr>
            <w:r>
              <w:rPr>
                <w:noProof/>
              </w:rPr>
              <w:t>Offentliga bostäder till överkomliga priser – bostäder med påbörjat arbete (byggda med hög energieffektivitet eller som renoverats med förbättrad energiprestanda)</w:t>
            </w:r>
          </w:p>
        </w:tc>
        <w:tc>
          <w:tcPr>
            <w:tcW w:w="1258" w:type="dxa"/>
            <w:shd w:val="clear" w:color="auto" w:fill="C4EFCE"/>
            <w:vAlign w:val="center"/>
            <w:hideMark/>
          </w:tcPr>
          <w:p w14:paraId="4E20F9D1" w14:textId="77777777" w:rsidR="00E040FD" w:rsidRDefault="00740D6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621C9A52" w14:textId="77777777" w:rsidR="00E040FD" w:rsidRDefault="00740D64">
            <w:pPr>
              <w:pStyle w:val="P68B1DB1-Normal8"/>
              <w:spacing w:after="0" w:line="240" w:lineRule="auto"/>
              <w:jc w:val="center"/>
              <w:rPr>
                <w:rFonts w:eastAsia="Times New Roman" w:cs="Calibri"/>
                <w:noProof/>
              </w:rPr>
            </w:pPr>
            <w:r>
              <w:rPr>
                <w:noProof/>
              </w:rPr>
              <w:t xml:space="preserve">Antal </w:t>
            </w:r>
          </w:p>
        </w:tc>
        <w:tc>
          <w:tcPr>
            <w:tcW w:w="980" w:type="dxa"/>
            <w:shd w:val="clear" w:color="auto" w:fill="C4EFCE"/>
            <w:vAlign w:val="center"/>
            <w:hideMark/>
          </w:tcPr>
          <w:p w14:paraId="7E591BFE" w14:textId="77777777" w:rsidR="00E040FD" w:rsidRDefault="00740D64">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3B93E82B" w14:textId="77777777" w:rsidR="00E040FD" w:rsidRDefault="00740D64">
            <w:pPr>
              <w:pStyle w:val="P68B1DB1-Normal8"/>
              <w:spacing w:after="0" w:line="240" w:lineRule="auto"/>
              <w:jc w:val="center"/>
              <w:rPr>
                <w:rFonts w:eastAsia="Times New Roman" w:cs="Calibri"/>
                <w:noProof/>
              </w:rPr>
            </w:pPr>
            <w:r>
              <w:rPr>
                <w:noProof/>
              </w:rPr>
              <w:t>520</w:t>
            </w:r>
          </w:p>
        </w:tc>
        <w:tc>
          <w:tcPr>
            <w:tcW w:w="561" w:type="dxa"/>
            <w:shd w:val="clear" w:color="auto" w:fill="C4EFCE"/>
            <w:vAlign w:val="center"/>
            <w:hideMark/>
          </w:tcPr>
          <w:p w14:paraId="343E8E11" w14:textId="77777777" w:rsidR="00E040FD" w:rsidRDefault="00740D64">
            <w:pPr>
              <w:pStyle w:val="P68B1DB1-Normal8"/>
              <w:spacing w:after="0" w:line="240" w:lineRule="auto"/>
              <w:jc w:val="center"/>
              <w:rPr>
                <w:rFonts w:eastAsia="Times New Roman" w:cs="Calibri"/>
                <w:noProof/>
              </w:rPr>
            </w:pPr>
            <w:r>
              <w:rPr>
                <w:noProof/>
              </w:rPr>
              <w:t>KVARTAL 3</w:t>
            </w:r>
          </w:p>
        </w:tc>
        <w:tc>
          <w:tcPr>
            <w:tcW w:w="700" w:type="dxa"/>
            <w:shd w:val="clear" w:color="auto" w:fill="C4EFCE"/>
            <w:vAlign w:val="center"/>
            <w:hideMark/>
          </w:tcPr>
          <w:p w14:paraId="5EDCF0D9" w14:textId="77777777" w:rsidR="00E040FD" w:rsidRDefault="00740D64">
            <w:pPr>
              <w:pStyle w:val="P68B1DB1-Normal8"/>
              <w:spacing w:after="0" w:line="240" w:lineRule="auto"/>
              <w:jc w:val="center"/>
              <w:rPr>
                <w:rFonts w:eastAsia="Times New Roman" w:cs="Calibri"/>
                <w:noProof/>
              </w:rPr>
            </w:pPr>
            <w:r>
              <w:rPr>
                <w:noProof/>
              </w:rPr>
              <w:t>2022</w:t>
            </w:r>
          </w:p>
        </w:tc>
        <w:tc>
          <w:tcPr>
            <w:tcW w:w="4606" w:type="dxa"/>
            <w:shd w:val="clear" w:color="auto" w:fill="C4EFCE"/>
            <w:vAlign w:val="center"/>
            <w:hideMark/>
          </w:tcPr>
          <w:p w14:paraId="5D10AA65" w14:textId="77777777" w:rsidR="00E040FD" w:rsidRDefault="00740D64">
            <w:pPr>
              <w:pStyle w:val="P68B1DB1-Normal8"/>
              <w:spacing w:after="0" w:line="240" w:lineRule="auto"/>
              <w:jc w:val="both"/>
              <w:rPr>
                <w:rFonts w:eastAsia="Times New Roman" w:cs="Calibri"/>
                <w:noProof/>
              </w:rPr>
            </w:pPr>
            <w:r>
              <w:rPr>
                <w:noProof/>
              </w:rPr>
              <w:t>Antal bostäder för vilka arbetet inleds efter anbudsförfarandet och undertecknandet av ett kontrakt. Om det rör sig om nybyggnation ska nya byggnader ha ett primärenergibehov som är minst 20 % lägre än kraven för nära-nollenergibyggnader.</w:t>
            </w:r>
          </w:p>
        </w:tc>
      </w:tr>
      <w:tr w:rsidR="00E040FD" w14:paraId="33B4307F" w14:textId="77777777">
        <w:trPr>
          <w:trHeight w:val="1066"/>
        </w:trPr>
        <w:tc>
          <w:tcPr>
            <w:tcW w:w="1121" w:type="dxa"/>
            <w:shd w:val="clear" w:color="auto" w:fill="C4EFCE"/>
            <w:vAlign w:val="center"/>
            <w:hideMark/>
          </w:tcPr>
          <w:p w14:paraId="0EA394FE" w14:textId="77777777" w:rsidR="00E040FD" w:rsidRDefault="00740D64">
            <w:pPr>
              <w:pStyle w:val="P68B1DB1-Normal7"/>
              <w:spacing w:after="0" w:line="240" w:lineRule="auto"/>
              <w:jc w:val="center"/>
              <w:rPr>
                <w:rFonts w:eastAsia="Times New Roman" w:cs="Calibri"/>
                <w:noProof/>
              </w:rPr>
            </w:pPr>
            <w:r>
              <w:rPr>
                <w:noProof/>
              </w:rPr>
              <w:t>2.21</w:t>
            </w:r>
          </w:p>
        </w:tc>
        <w:tc>
          <w:tcPr>
            <w:tcW w:w="1259" w:type="dxa"/>
            <w:shd w:val="clear" w:color="auto" w:fill="C4EFCE"/>
            <w:vAlign w:val="center"/>
            <w:hideMark/>
          </w:tcPr>
          <w:p w14:paraId="34979C95" w14:textId="77777777" w:rsidR="00E040FD" w:rsidRDefault="00740D6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375EBE78" w14:textId="77777777" w:rsidR="00E040FD" w:rsidRDefault="00740D6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8BDE03A" w14:textId="7879BBFF" w:rsidR="00E040FD" w:rsidRDefault="00740D64">
            <w:pPr>
              <w:pStyle w:val="P68B1DB1-Normal8"/>
              <w:spacing w:after="0" w:line="240" w:lineRule="auto"/>
              <w:jc w:val="center"/>
              <w:rPr>
                <w:rFonts w:eastAsia="Times New Roman" w:cs="Calibri"/>
                <w:noProof/>
              </w:rPr>
            </w:pPr>
            <w:r>
              <w:rPr>
                <w:noProof/>
              </w:rPr>
              <w:t>Offentliga bostäder till överkomliga priser – bostäder med påbörjat arbete (byggda med hög energieffektivitet eller som renoverats med förbättrad energiprestanda)</w:t>
            </w:r>
          </w:p>
        </w:tc>
        <w:tc>
          <w:tcPr>
            <w:tcW w:w="1258" w:type="dxa"/>
            <w:shd w:val="clear" w:color="auto" w:fill="C4EFCE"/>
            <w:vAlign w:val="center"/>
            <w:hideMark/>
          </w:tcPr>
          <w:p w14:paraId="374FFAB8" w14:textId="77777777" w:rsidR="00E040FD" w:rsidRDefault="00740D6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2524308" w14:textId="77777777" w:rsidR="00E040FD" w:rsidRDefault="00740D64">
            <w:pPr>
              <w:pStyle w:val="P68B1DB1-Normal8"/>
              <w:spacing w:after="0" w:line="240" w:lineRule="auto"/>
              <w:jc w:val="center"/>
              <w:rPr>
                <w:rFonts w:eastAsia="Times New Roman" w:cs="Calibri"/>
                <w:noProof/>
              </w:rPr>
            </w:pPr>
            <w:r>
              <w:rPr>
                <w:noProof/>
              </w:rPr>
              <w:t xml:space="preserve">Antal </w:t>
            </w:r>
          </w:p>
        </w:tc>
        <w:tc>
          <w:tcPr>
            <w:tcW w:w="980" w:type="dxa"/>
            <w:shd w:val="clear" w:color="auto" w:fill="C4EFCE"/>
            <w:vAlign w:val="center"/>
            <w:hideMark/>
          </w:tcPr>
          <w:p w14:paraId="78E249BE" w14:textId="77777777" w:rsidR="00E040FD" w:rsidRDefault="00740D64">
            <w:pPr>
              <w:pStyle w:val="P68B1DB1-Normal8"/>
              <w:spacing w:after="0" w:line="240" w:lineRule="auto"/>
              <w:jc w:val="center"/>
              <w:rPr>
                <w:rFonts w:eastAsia="Times New Roman" w:cs="Calibri"/>
                <w:noProof/>
              </w:rPr>
            </w:pPr>
            <w:r>
              <w:rPr>
                <w:noProof/>
              </w:rPr>
              <w:t>520</w:t>
            </w:r>
          </w:p>
        </w:tc>
        <w:tc>
          <w:tcPr>
            <w:tcW w:w="701" w:type="dxa"/>
            <w:shd w:val="clear" w:color="auto" w:fill="C4EFCE"/>
            <w:vAlign w:val="center"/>
            <w:hideMark/>
          </w:tcPr>
          <w:p w14:paraId="1C33F4F0" w14:textId="11BE8C74" w:rsidR="00E040FD" w:rsidRDefault="00740D64">
            <w:pPr>
              <w:pStyle w:val="P68B1DB1-Normal8"/>
              <w:spacing w:after="0" w:line="240" w:lineRule="auto"/>
              <w:jc w:val="center"/>
              <w:rPr>
                <w:rFonts w:eastAsia="Calibri" w:cs="Calibri"/>
                <w:noProof/>
              </w:rPr>
            </w:pPr>
            <w:r>
              <w:rPr>
                <w:noProof/>
              </w:rPr>
              <w:t>1400</w:t>
            </w:r>
          </w:p>
        </w:tc>
        <w:tc>
          <w:tcPr>
            <w:tcW w:w="561" w:type="dxa"/>
            <w:shd w:val="clear" w:color="auto" w:fill="C4EFCE"/>
            <w:vAlign w:val="center"/>
            <w:hideMark/>
          </w:tcPr>
          <w:p w14:paraId="104858DB" w14:textId="77777777" w:rsidR="00E040FD" w:rsidRDefault="00740D64">
            <w:pPr>
              <w:pStyle w:val="P68B1DB1-Normal8"/>
              <w:spacing w:after="0" w:line="240" w:lineRule="auto"/>
              <w:jc w:val="center"/>
              <w:rPr>
                <w:rFonts w:eastAsia="Times New Roman" w:cs="Calibri"/>
                <w:noProof/>
              </w:rPr>
            </w:pPr>
            <w:r>
              <w:rPr>
                <w:noProof/>
              </w:rPr>
              <w:t>KVARTAL 3</w:t>
            </w:r>
          </w:p>
        </w:tc>
        <w:tc>
          <w:tcPr>
            <w:tcW w:w="700" w:type="dxa"/>
            <w:shd w:val="clear" w:color="auto" w:fill="C4EFCE"/>
            <w:vAlign w:val="center"/>
            <w:hideMark/>
          </w:tcPr>
          <w:p w14:paraId="42858FD7" w14:textId="77777777" w:rsidR="00E040FD" w:rsidRDefault="00740D64">
            <w:pPr>
              <w:pStyle w:val="P68B1DB1-Normal8"/>
              <w:spacing w:after="0" w:line="240" w:lineRule="auto"/>
              <w:jc w:val="center"/>
              <w:rPr>
                <w:rFonts w:eastAsia="Times New Roman" w:cs="Calibri"/>
                <w:noProof/>
              </w:rPr>
            </w:pPr>
            <w:r>
              <w:rPr>
                <w:noProof/>
              </w:rPr>
              <w:t>2024</w:t>
            </w:r>
          </w:p>
        </w:tc>
        <w:tc>
          <w:tcPr>
            <w:tcW w:w="4606" w:type="dxa"/>
            <w:shd w:val="clear" w:color="auto" w:fill="C4EFCE"/>
            <w:vAlign w:val="center"/>
            <w:hideMark/>
          </w:tcPr>
          <w:p w14:paraId="18EC137C" w14:textId="77777777" w:rsidR="00E040FD" w:rsidRDefault="00740D64">
            <w:pPr>
              <w:pStyle w:val="P68B1DB1-Normal8"/>
              <w:spacing w:after="0" w:line="240" w:lineRule="auto"/>
              <w:jc w:val="both"/>
              <w:rPr>
                <w:rFonts w:eastAsia="Times New Roman" w:cs="Calibri"/>
                <w:noProof/>
              </w:rPr>
            </w:pPr>
            <w:r>
              <w:rPr>
                <w:noProof/>
              </w:rPr>
              <w:t>Antal bostäder för vilka arbetet inleds efter anbudsförfarandet och undertecknandet av ett kontrakt. Om det rör sig om nybyggnation ska nya byggnader ha ett primärenergibehov som är minst 20 % lägre än kraven för nära-nollenergibyggnader.</w:t>
            </w:r>
          </w:p>
        </w:tc>
      </w:tr>
      <w:tr w:rsidR="00E040FD" w14:paraId="367756BF" w14:textId="77777777">
        <w:trPr>
          <w:trHeight w:val="1050"/>
        </w:trPr>
        <w:tc>
          <w:tcPr>
            <w:tcW w:w="1121" w:type="dxa"/>
            <w:shd w:val="clear" w:color="auto" w:fill="C4EFCE"/>
            <w:vAlign w:val="center"/>
            <w:hideMark/>
          </w:tcPr>
          <w:p w14:paraId="06EC68F7" w14:textId="77777777" w:rsidR="00E040FD" w:rsidRDefault="00740D64">
            <w:pPr>
              <w:pStyle w:val="P68B1DB1-Normal7"/>
              <w:spacing w:after="0" w:line="240" w:lineRule="auto"/>
              <w:jc w:val="center"/>
              <w:rPr>
                <w:rFonts w:eastAsia="Times New Roman" w:cs="Calibri"/>
                <w:noProof/>
              </w:rPr>
            </w:pPr>
            <w:r>
              <w:rPr>
                <w:noProof/>
              </w:rPr>
              <w:t>2.22</w:t>
            </w:r>
          </w:p>
        </w:tc>
        <w:tc>
          <w:tcPr>
            <w:tcW w:w="1259" w:type="dxa"/>
            <w:shd w:val="clear" w:color="auto" w:fill="C4EFCE"/>
            <w:vAlign w:val="center"/>
            <w:hideMark/>
          </w:tcPr>
          <w:p w14:paraId="36837DB5" w14:textId="77777777" w:rsidR="00E040FD" w:rsidRDefault="00740D6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D7A6883" w14:textId="77777777" w:rsidR="00E040FD" w:rsidRDefault="00740D6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0C0848AD" w14:textId="599D6981" w:rsidR="00E040FD" w:rsidRDefault="00740D64">
            <w:pPr>
              <w:pStyle w:val="P68B1DB1-Normal8"/>
              <w:spacing w:after="0" w:line="240" w:lineRule="auto"/>
              <w:jc w:val="center"/>
              <w:rPr>
                <w:rFonts w:eastAsia="Times New Roman" w:cs="Calibri"/>
                <w:noProof/>
              </w:rPr>
            </w:pPr>
            <w:r>
              <w:rPr>
                <w:noProof/>
              </w:rPr>
              <w:t>Offentliga bostäder till överkomliga priser – Tilldelade bostäder (byggda med hög energieffektivitet eller som renoverats med förbättrad energiprestanda)</w:t>
            </w:r>
          </w:p>
        </w:tc>
        <w:tc>
          <w:tcPr>
            <w:tcW w:w="1258" w:type="dxa"/>
            <w:shd w:val="clear" w:color="auto" w:fill="C4EFCE"/>
            <w:vAlign w:val="center"/>
            <w:hideMark/>
          </w:tcPr>
          <w:p w14:paraId="34D8DBA8" w14:textId="77777777" w:rsidR="00E040FD" w:rsidRDefault="00740D6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7E6F8874" w14:textId="77777777" w:rsidR="00E040FD" w:rsidRDefault="00740D64">
            <w:pPr>
              <w:pStyle w:val="P68B1DB1-Normal8"/>
              <w:spacing w:after="0" w:line="240" w:lineRule="auto"/>
              <w:jc w:val="center"/>
              <w:rPr>
                <w:rFonts w:eastAsia="Times New Roman" w:cs="Calibri"/>
                <w:noProof/>
              </w:rPr>
            </w:pPr>
            <w:r>
              <w:rPr>
                <w:noProof/>
              </w:rPr>
              <w:t xml:space="preserve">Antal </w:t>
            </w:r>
          </w:p>
        </w:tc>
        <w:tc>
          <w:tcPr>
            <w:tcW w:w="980" w:type="dxa"/>
            <w:shd w:val="clear" w:color="auto" w:fill="C4EFCE"/>
            <w:vAlign w:val="center"/>
            <w:hideMark/>
          </w:tcPr>
          <w:p w14:paraId="17D2D4D6" w14:textId="77777777" w:rsidR="00E040FD" w:rsidRDefault="00740D64">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0E3BD19D" w14:textId="561EE8C6" w:rsidR="00E040FD" w:rsidRDefault="00740D64">
            <w:pPr>
              <w:pStyle w:val="P68B1DB1-Normal8"/>
              <w:spacing w:after="0" w:line="240" w:lineRule="auto"/>
              <w:jc w:val="center"/>
              <w:rPr>
                <w:rFonts w:eastAsia="Calibri" w:cs="Calibri"/>
                <w:noProof/>
              </w:rPr>
            </w:pPr>
            <w:r>
              <w:rPr>
                <w:noProof/>
              </w:rPr>
              <w:t>520</w:t>
            </w:r>
          </w:p>
        </w:tc>
        <w:tc>
          <w:tcPr>
            <w:tcW w:w="561" w:type="dxa"/>
            <w:shd w:val="clear" w:color="auto" w:fill="C4EFCE"/>
            <w:vAlign w:val="center"/>
            <w:hideMark/>
          </w:tcPr>
          <w:p w14:paraId="27E52C88" w14:textId="77777777" w:rsidR="00E040FD" w:rsidRDefault="00740D64">
            <w:pPr>
              <w:pStyle w:val="P68B1DB1-Normal8"/>
              <w:spacing w:after="0" w:line="240" w:lineRule="auto"/>
              <w:jc w:val="center"/>
              <w:rPr>
                <w:rFonts w:eastAsia="Times New Roman" w:cs="Calibri"/>
                <w:noProof/>
              </w:rPr>
            </w:pPr>
            <w:r>
              <w:rPr>
                <w:noProof/>
              </w:rPr>
              <w:t>KVARTAL 3</w:t>
            </w:r>
          </w:p>
        </w:tc>
        <w:tc>
          <w:tcPr>
            <w:tcW w:w="700" w:type="dxa"/>
            <w:shd w:val="clear" w:color="auto" w:fill="C4EFCE"/>
            <w:vAlign w:val="center"/>
            <w:hideMark/>
          </w:tcPr>
          <w:p w14:paraId="1DEA3599" w14:textId="77777777" w:rsidR="00E040FD" w:rsidRDefault="00740D64">
            <w:pPr>
              <w:pStyle w:val="P68B1DB1-Normal8"/>
              <w:spacing w:after="0" w:line="240" w:lineRule="auto"/>
              <w:jc w:val="center"/>
              <w:rPr>
                <w:rFonts w:eastAsia="Times New Roman" w:cs="Calibri"/>
                <w:noProof/>
              </w:rPr>
            </w:pPr>
            <w:r>
              <w:rPr>
                <w:noProof/>
              </w:rPr>
              <w:t>2024</w:t>
            </w:r>
          </w:p>
        </w:tc>
        <w:tc>
          <w:tcPr>
            <w:tcW w:w="4606" w:type="dxa"/>
            <w:shd w:val="clear" w:color="auto" w:fill="C4EFCE"/>
            <w:vAlign w:val="center"/>
            <w:hideMark/>
          </w:tcPr>
          <w:p w14:paraId="3D170067" w14:textId="77777777" w:rsidR="00E040FD" w:rsidRDefault="00740D64">
            <w:pPr>
              <w:pStyle w:val="P68B1DB1-Normal8"/>
              <w:spacing w:after="0" w:line="240" w:lineRule="auto"/>
              <w:jc w:val="both"/>
              <w:rPr>
                <w:rFonts w:eastAsia="Times New Roman" w:cs="Calibri"/>
                <w:noProof/>
              </w:rPr>
            </w:pPr>
            <w:r>
              <w:rPr>
                <w:noProof/>
              </w:rPr>
              <w:t>Antal levererade bostäder till stödberättigade hushåll via bostadsbytet till överkomligt pris (DL 82/2020 av den 2 oktober) eller genom kommunalt program. Överkomliga bostäder definieras som de bostäder som ställs till förfogande i enlighet med accesshyresprogrammet, inrättat genom lagdekret nr 68/2019 av den 22 maj, inom ramen för det hyressystem som inrättats genom lag nr 81/2014 av den 19 december, i dess ändrade lydelse, till systemet med villkorade hyror, som infördes genom lag nr 80/2014 av den 19 december, av systemet med kontrollerade kostnader, som regleras genom ministerförordning nr 65/2019 av den 19 februari, eller särskilda kommunala program. Om det rör sig om nybyggnation ska nya byggnader ha ett primärenergibehov som är minst 20 % lägre än kraven för nära-nollenergibyggnader.</w:t>
            </w:r>
          </w:p>
        </w:tc>
      </w:tr>
      <w:tr w:rsidR="00E040FD" w14:paraId="3D12978B" w14:textId="77777777">
        <w:trPr>
          <w:trHeight w:val="1050"/>
        </w:trPr>
        <w:tc>
          <w:tcPr>
            <w:tcW w:w="1121" w:type="dxa"/>
            <w:shd w:val="clear" w:color="auto" w:fill="C4EFCE"/>
            <w:vAlign w:val="center"/>
            <w:hideMark/>
          </w:tcPr>
          <w:p w14:paraId="1C8AA54B" w14:textId="77777777" w:rsidR="00E040FD" w:rsidRDefault="00740D64">
            <w:pPr>
              <w:pStyle w:val="P68B1DB1-Normal7"/>
              <w:spacing w:after="0" w:line="240" w:lineRule="auto"/>
              <w:jc w:val="center"/>
              <w:rPr>
                <w:rFonts w:eastAsia="Times New Roman" w:cs="Calibri"/>
                <w:noProof/>
              </w:rPr>
            </w:pPr>
            <w:r>
              <w:rPr>
                <w:noProof/>
              </w:rPr>
              <w:t>2.23</w:t>
            </w:r>
          </w:p>
        </w:tc>
        <w:tc>
          <w:tcPr>
            <w:tcW w:w="1259" w:type="dxa"/>
            <w:shd w:val="clear" w:color="auto" w:fill="C4EFCE"/>
            <w:vAlign w:val="center"/>
            <w:hideMark/>
          </w:tcPr>
          <w:p w14:paraId="0DF3ED6A" w14:textId="77777777" w:rsidR="00E040FD" w:rsidRDefault="00740D6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1E7B3B4" w14:textId="77777777" w:rsidR="00E040FD" w:rsidRDefault="00740D6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10E5E313" w14:textId="292E0959" w:rsidR="00E040FD" w:rsidRDefault="00740D64">
            <w:pPr>
              <w:pStyle w:val="P68B1DB1-Normal8"/>
              <w:spacing w:after="0" w:line="240" w:lineRule="auto"/>
              <w:jc w:val="center"/>
              <w:rPr>
                <w:rFonts w:eastAsia="Times New Roman" w:cs="Calibri"/>
                <w:noProof/>
              </w:rPr>
            </w:pPr>
            <w:r>
              <w:rPr>
                <w:noProof/>
              </w:rPr>
              <w:t>Offentliga bostäder till överkomliga priser – Tilldelade bostäder (byggda med hög energieffektivitet eller som renoverats med förbättrad energiprestanda)</w:t>
            </w:r>
          </w:p>
        </w:tc>
        <w:tc>
          <w:tcPr>
            <w:tcW w:w="1258" w:type="dxa"/>
            <w:shd w:val="clear" w:color="auto" w:fill="C4EFCE"/>
            <w:vAlign w:val="center"/>
            <w:hideMark/>
          </w:tcPr>
          <w:p w14:paraId="5E450BD8" w14:textId="77777777" w:rsidR="00E040FD" w:rsidRDefault="00740D6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9E4434D" w14:textId="77777777" w:rsidR="00E040FD" w:rsidRDefault="00740D64">
            <w:pPr>
              <w:pStyle w:val="P68B1DB1-Normal8"/>
              <w:spacing w:after="0" w:line="240" w:lineRule="auto"/>
              <w:jc w:val="center"/>
              <w:rPr>
                <w:rFonts w:eastAsia="Times New Roman" w:cs="Calibri"/>
                <w:noProof/>
              </w:rPr>
            </w:pPr>
            <w:r>
              <w:rPr>
                <w:noProof/>
              </w:rPr>
              <w:t xml:space="preserve">Antal </w:t>
            </w:r>
          </w:p>
        </w:tc>
        <w:tc>
          <w:tcPr>
            <w:tcW w:w="980" w:type="dxa"/>
            <w:shd w:val="clear" w:color="auto" w:fill="C4EFCE"/>
            <w:vAlign w:val="center"/>
            <w:hideMark/>
          </w:tcPr>
          <w:p w14:paraId="64F68EAD" w14:textId="7AD4DB54" w:rsidR="00E040FD" w:rsidRDefault="00740D64">
            <w:pPr>
              <w:pStyle w:val="P68B1DB1-Normal8"/>
              <w:spacing w:after="0" w:line="240" w:lineRule="auto"/>
              <w:jc w:val="center"/>
              <w:rPr>
                <w:rFonts w:eastAsia="Calibri" w:cs="Calibri"/>
                <w:noProof/>
              </w:rPr>
            </w:pPr>
            <w:r>
              <w:rPr>
                <w:noProof/>
              </w:rPr>
              <w:t>520</w:t>
            </w:r>
          </w:p>
        </w:tc>
        <w:tc>
          <w:tcPr>
            <w:tcW w:w="701" w:type="dxa"/>
            <w:shd w:val="clear" w:color="auto" w:fill="C4EFCE"/>
            <w:vAlign w:val="center"/>
            <w:hideMark/>
          </w:tcPr>
          <w:p w14:paraId="61CC7B68" w14:textId="52EF18D4" w:rsidR="00E040FD" w:rsidRDefault="00740D64">
            <w:pPr>
              <w:pStyle w:val="P68B1DB1-Normal8"/>
              <w:spacing w:after="0" w:line="240" w:lineRule="auto"/>
              <w:jc w:val="center"/>
              <w:rPr>
                <w:rFonts w:eastAsia="Calibri" w:cs="Calibri"/>
                <w:noProof/>
              </w:rPr>
            </w:pPr>
            <w:r>
              <w:rPr>
                <w:noProof/>
              </w:rPr>
              <w:t>1400</w:t>
            </w:r>
          </w:p>
        </w:tc>
        <w:tc>
          <w:tcPr>
            <w:tcW w:w="561" w:type="dxa"/>
            <w:shd w:val="clear" w:color="auto" w:fill="C4EFCE"/>
            <w:vAlign w:val="center"/>
            <w:hideMark/>
          </w:tcPr>
          <w:p w14:paraId="7CA72895" w14:textId="77777777" w:rsidR="00E040FD" w:rsidRDefault="00740D64">
            <w:pPr>
              <w:pStyle w:val="P68B1DB1-Normal8"/>
              <w:spacing w:after="0" w:line="240" w:lineRule="auto"/>
              <w:jc w:val="center"/>
              <w:rPr>
                <w:rFonts w:eastAsia="Times New Roman" w:cs="Calibri"/>
                <w:noProof/>
              </w:rPr>
            </w:pPr>
            <w:r>
              <w:rPr>
                <w:noProof/>
              </w:rPr>
              <w:t>KVARTAL 3</w:t>
            </w:r>
          </w:p>
        </w:tc>
        <w:tc>
          <w:tcPr>
            <w:tcW w:w="700" w:type="dxa"/>
            <w:shd w:val="clear" w:color="auto" w:fill="C4EFCE"/>
            <w:vAlign w:val="center"/>
            <w:hideMark/>
          </w:tcPr>
          <w:p w14:paraId="33CCDA3C" w14:textId="77777777" w:rsidR="00E040FD" w:rsidRDefault="00740D64">
            <w:pPr>
              <w:pStyle w:val="P68B1DB1-Normal8"/>
              <w:spacing w:after="0" w:line="240" w:lineRule="auto"/>
              <w:jc w:val="center"/>
              <w:rPr>
                <w:rFonts w:eastAsia="Times New Roman" w:cs="Calibri"/>
                <w:noProof/>
              </w:rPr>
            </w:pPr>
            <w:r>
              <w:rPr>
                <w:noProof/>
              </w:rPr>
              <w:t>2025</w:t>
            </w:r>
          </w:p>
        </w:tc>
        <w:tc>
          <w:tcPr>
            <w:tcW w:w="4606" w:type="dxa"/>
            <w:shd w:val="clear" w:color="auto" w:fill="C4EFCE"/>
            <w:vAlign w:val="center"/>
            <w:hideMark/>
          </w:tcPr>
          <w:p w14:paraId="54DCFE3F" w14:textId="77777777" w:rsidR="00E040FD" w:rsidRDefault="00740D64">
            <w:pPr>
              <w:pStyle w:val="P68B1DB1-Normal8"/>
              <w:spacing w:after="0" w:line="240" w:lineRule="auto"/>
              <w:jc w:val="both"/>
              <w:rPr>
                <w:rFonts w:eastAsia="Times New Roman" w:cs="Calibri"/>
                <w:noProof/>
              </w:rPr>
            </w:pPr>
            <w:r>
              <w:rPr>
                <w:noProof/>
              </w:rPr>
              <w:t>Antal levererade bostäder till stödberättigade hushåll via bostadsbytet till överkomligt pris (DL 82/2020 av den 2 oktober) eller genom kommunalt program. Överkomliga bostäder definieras som de bostäder som ställs till förfogande i enlighet med accesshyresprogrammet, inrättat genom lagdekret nr 68/2019 av den 22 maj, inom ramen för det hyressystem som inrättats genom lag nr 81/2014 av den 19 december, i dess ändrade lydelse, till systemet med villkorade hyror, som infördes genom lag nr 80/2014 av den 19 december, av systemet med kontrollerade kostnader, som regleras genom ministerförordning nr 65/2019 av den 19 februari, eller särskilda kommunala program. Om det rör sig om nybyggnation ska nya byggnader ha ett primärenergibehov som är minst 20 % lägre än kraven för nära-nollenergibyggnader.</w:t>
            </w:r>
          </w:p>
        </w:tc>
      </w:tr>
      <w:tr w:rsidR="00E040FD" w14:paraId="609C4778" w14:textId="77777777">
        <w:trPr>
          <w:trHeight w:val="1050"/>
        </w:trPr>
        <w:tc>
          <w:tcPr>
            <w:tcW w:w="1121" w:type="dxa"/>
            <w:shd w:val="clear" w:color="auto" w:fill="C4EFCE"/>
            <w:vAlign w:val="center"/>
            <w:hideMark/>
          </w:tcPr>
          <w:p w14:paraId="30CCA252" w14:textId="77777777" w:rsidR="00E040FD" w:rsidRDefault="00740D64">
            <w:pPr>
              <w:pStyle w:val="P68B1DB1-Normal7"/>
              <w:spacing w:after="0" w:line="240" w:lineRule="auto"/>
              <w:jc w:val="center"/>
              <w:rPr>
                <w:rFonts w:eastAsia="Times New Roman" w:cs="Calibri"/>
                <w:noProof/>
              </w:rPr>
            </w:pPr>
            <w:r>
              <w:rPr>
                <w:noProof/>
              </w:rPr>
              <w:t>2.24</w:t>
            </w:r>
          </w:p>
        </w:tc>
        <w:tc>
          <w:tcPr>
            <w:tcW w:w="1259" w:type="dxa"/>
            <w:shd w:val="clear" w:color="auto" w:fill="C4EFCE"/>
            <w:vAlign w:val="center"/>
            <w:hideMark/>
          </w:tcPr>
          <w:p w14:paraId="357BE13B" w14:textId="77777777" w:rsidR="00E040FD" w:rsidRDefault="00740D6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C7C6C2C" w14:textId="77777777" w:rsidR="00E040FD" w:rsidRDefault="00740D6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C4EC8B8" w14:textId="7569987A" w:rsidR="00E040FD" w:rsidRDefault="00740D64">
            <w:pPr>
              <w:pStyle w:val="P68B1DB1-Normal8"/>
              <w:spacing w:after="0" w:line="240" w:lineRule="auto"/>
              <w:jc w:val="center"/>
              <w:rPr>
                <w:rFonts w:eastAsia="Times New Roman" w:cs="Calibri"/>
                <w:noProof/>
              </w:rPr>
            </w:pPr>
            <w:r>
              <w:rPr>
                <w:noProof/>
              </w:rPr>
              <w:t>Offentliga bostäder till överkomliga priser – Tilldelade bostäder (byggda med hög energieffektivitet eller som renoverats med förbättrad energiprestanda)</w:t>
            </w:r>
          </w:p>
        </w:tc>
        <w:tc>
          <w:tcPr>
            <w:tcW w:w="1258" w:type="dxa"/>
            <w:shd w:val="clear" w:color="auto" w:fill="C4EFCE"/>
            <w:vAlign w:val="center"/>
            <w:hideMark/>
          </w:tcPr>
          <w:p w14:paraId="75773B0B" w14:textId="77777777" w:rsidR="00E040FD" w:rsidRDefault="00740D6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7A210D1A" w14:textId="77777777" w:rsidR="00E040FD" w:rsidRDefault="00740D64">
            <w:pPr>
              <w:pStyle w:val="P68B1DB1-Normal8"/>
              <w:spacing w:after="0" w:line="240" w:lineRule="auto"/>
              <w:jc w:val="center"/>
              <w:rPr>
                <w:rFonts w:eastAsia="Times New Roman" w:cs="Calibri"/>
                <w:noProof/>
              </w:rPr>
            </w:pPr>
            <w:r>
              <w:rPr>
                <w:noProof/>
              </w:rPr>
              <w:t xml:space="preserve">Antal </w:t>
            </w:r>
          </w:p>
        </w:tc>
        <w:tc>
          <w:tcPr>
            <w:tcW w:w="980" w:type="dxa"/>
            <w:shd w:val="clear" w:color="auto" w:fill="C4EFCE"/>
            <w:vAlign w:val="center"/>
            <w:hideMark/>
          </w:tcPr>
          <w:p w14:paraId="6100A53D" w14:textId="39986BD6" w:rsidR="00E040FD" w:rsidRDefault="00740D64">
            <w:pPr>
              <w:pStyle w:val="P68B1DB1-Normal8"/>
              <w:spacing w:after="0" w:line="240" w:lineRule="auto"/>
              <w:jc w:val="center"/>
              <w:rPr>
                <w:rFonts w:eastAsia="Calibri" w:cs="Calibri"/>
                <w:noProof/>
              </w:rPr>
            </w:pPr>
            <w:r>
              <w:rPr>
                <w:noProof/>
              </w:rPr>
              <w:t>1400</w:t>
            </w:r>
          </w:p>
        </w:tc>
        <w:tc>
          <w:tcPr>
            <w:tcW w:w="701" w:type="dxa"/>
            <w:shd w:val="clear" w:color="auto" w:fill="C4EFCE"/>
            <w:vAlign w:val="center"/>
            <w:hideMark/>
          </w:tcPr>
          <w:p w14:paraId="70D00CAB" w14:textId="77777777" w:rsidR="00E040FD" w:rsidRDefault="00740D64">
            <w:pPr>
              <w:pStyle w:val="P68B1DB1-Normal8"/>
              <w:spacing w:after="0" w:line="240" w:lineRule="auto"/>
              <w:jc w:val="center"/>
              <w:rPr>
                <w:rFonts w:eastAsia="Times New Roman" w:cs="Calibri"/>
                <w:noProof/>
              </w:rPr>
            </w:pPr>
            <w:r>
              <w:rPr>
                <w:noProof/>
              </w:rPr>
              <w:t>6 800</w:t>
            </w:r>
          </w:p>
        </w:tc>
        <w:tc>
          <w:tcPr>
            <w:tcW w:w="561" w:type="dxa"/>
            <w:shd w:val="clear" w:color="auto" w:fill="C4EFCE"/>
            <w:vAlign w:val="center"/>
            <w:hideMark/>
          </w:tcPr>
          <w:p w14:paraId="7882F175" w14:textId="77777777" w:rsidR="00E040FD" w:rsidRDefault="00740D64">
            <w:pPr>
              <w:pStyle w:val="P68B1DB1-Normal8"/>
              <w:spacing w:after="0" w:line="240" w:lineRule="auto"/>
              <w:jc w:val="center"/>
              <w:rPr>
                <w:rFonts w:eastAsia="Times New Roman" w:cs="Calibri"/>
                <w:noProof/>
              </w:rPr>
            </w:pPr>
            <w:r>
              <w:rPr>
                <w:noProof/>
              </w:rPr>
              <w:t>KVARTAL 2</w:t>
            </w:r>
          </w:p>
        </w:tc>
        <w:tc>
          <w:tcPr>
            <w:tcW w:w="700" w:type="dxa"/>
            <w:shd w:val="clear" w:color="auto" w:fill="C4EFCE"/>
            <w:vAlign w:val="center"/>
            <w:hideMark/>
          </w:tcPr>
          <w:p w14:paraId="527600BA" w14:textId="77777777" w:rsidR="00E040FD" w:rsidRDefault="00740D64">
            <w:pPr>
              <w:pStyle w:val="P68B1DB1-Normal8"/>
              <w:spacing w:after="0" w:line="240" w:lineRule="auto"/>
              <w:jc w:val="center"/>
              <w:rPr>
                <w:rFonts w:eastAsia="Times New Roman" w:cs="Calibri"/>
                <w:noProof/>
              </w:rPr>
            </w:pPr>
            <w:r>
              <w:rPr>
                <w:noProof/>
              </w:rPr>
              <w:t>2026</w:t>
            </w:r>
          </w:p>
        </w:tc>
        <w:tc>
          <w:tcPr>
            <w:tcW w:w="4606" w:type="dxa"/>
            <w:shd w:val="clear" w:color="auto" w:fill="C4EFCE"/>
            <w:vAlign w:val="center"/>
            <w:hideMark/>
          </w:tcPr>
          <w:p w14:paraId="1406B6B7" w14:textId="77777777" w:rsidR="00E040FD" w:rsidRDefault="00740D64">
            <w:pPr>
              <w:pStyle w:val="P68B1DB1-Normal8"/>
              <w:spacing w:after="0" w:line="240" w:lineRule="auto"/>
              <w:jc w:val="both"/>
              <w:rPr>
                <w:rFonts w:eastAsia="Times New Roman" w:cs="Calibri"/>
                <w:noProof/>
              </w:rPr>
            </w:pPr>
            <w:r>
              <w:rPr>
                <w:noProof/>
              </w:rPr>
              <w:t>Antal levererade bostäder till stödberättigade hushåll via bostadsbytet till överkomligt pris (DL 82/2020 av den 2 oktober) eller genom kommunalt program. Överkomliga bostäder definieras som de bostäder som ställs till förfogande i enlighet med accesshyresprogrammet, inrättat genom lagdekret nr 68/2019 av den 22 maj, inom ramen för det hyressystem som inrättats genom lag nr 81/2014 av den 19 december, i dess ändrade lydelse, till systemet med villkorade hyror, som infördes genom lag nr 80/2014 av den 19 december, av systemet med kontrollerade kostnader, som regleras genom ministerförordning nr 65/2019 av den 19 februari, eller särskilda kommunala program. Om det rör sig om nybyggnation ska nya byggnader ha ett primärenergibehov som är minst 20 % lägre än kraven för nära-nollenergibyggnader.</w:t>
            </w:r>
          </w:p>
        </w:tc>
      </w:tr>
      <w:tr w:rsidR="00E040FD" w14:paraId="0C0D0EA3" w14:textId="77777777">
        <w:trPr>
          <w:trHeight w:val="2254"/>
        </w:trPr>
        <w:tc>
          <w:tcPr>
            <w:tcW w:w="1121" w:type="dxa"/>
            <w:shd w:val="clear" w:color="auto" w:fill="C4EFCE"/>
            <w:vAlign w:val="center"/>
            <w:hideMark/>
          </w:tcPr>
          <w:p w14:paraId="4DFAE66D" w14:textId="77777777" w:rsidR="00E040FD" w:rsidRDefault="00740D64">
            <w:pPr>
              <w:pStyle w:val="P68B1DB1-Normal7"/>
              <w:spacing w:after="0" w:line="240" w:lineRule="auto"/>
              <w:jc w:val="center"/>
              <w:rPr>
                <w:rFonts w:eastAsia="Times New Roman" w:cs="Calibri"/>
                <w:noProof/>
              </w:rPr>
            </w:pPr>
            <w:r>
              <w:rPr>
                <w:noProof/>
              </w:rPr>
              <w:t>2.25</w:t>
            </w:r>
          </w:p>
        </w:tc>
        <w:tc>
          <w:tcPr>
            <w:tcW w:w="1259" w:type="dxa"/>
            <w:shd w:val="clear" w:color="auto" w:fill="C4EFCE"/>
            <w:vAlign w:val="center"/>
            <w:hideMark/>
          </w:tcPr>
          <w:p w14:paraId="2D66C9F3" w14:textId="77777777" w:rsidR="00E040FD" w:rsidRDefault="00740D64">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5B5E4DC3" w14:textId="77777777" w:rsidR="00E040FD" w:rsidRDefault="00740D6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05985C2" w14:textId="52462DC9" w:rsidR="00E040FD" w:rsidRDefault="00740D64">
            <w:pPr>
              <w:pStyle w:val="P68B1DB1-Normal8"/>
              <w:spacing w:after="0" w:line="240" w:lineRule="auto"/>
              <w:jc w:val="center"/>
              <w:rPr>
                <w:rFonts w:eastAsia="Times New Roman" w:cs="Calibri"/>
                <w:noProof/>
              </w:rPr>
            </w:pPr>
            <w:r>
              <w:rPr>
                <w:noProof/>
              </w:rPr>
              <w:t>Studentbostäder till rimliga kostnader – antal studentboenden med anbudsinfordringar</w:t>
            </w:r>
          </w:p>
        </w:tc>
        <w:tc>
          <w:tcPr>
            <w:tcW w:w="1258" w:type="dxa"/>
            <w:shd w:val="clear" w:color="auto" w:fill="C4EFCE"/>
            <w:vAlign w:val="center"/>
            <w:hideMark/>
          </w:tcPr>
          <w:p w14:paraId="456D3B11" w14:textId="77777777" w:rsidR="00E040FD" w:rsidRDefault="00740D6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0A7FE1FB" w14:textId="77777777" w:rsidR="00E040FD" w:rsidRDefault="00740D64">
            <w:pPr>
              <w:pStyle w:val="P68B1DB1-Normal8"/>
              <w:spacing w:after="0" w:line="240" w:lineRule="auto"/>
              <w:jc w:val="center"/>
              <w:rPr>
                <w:rFonts w:eastAsia="Times New Roman" w:cs="Calibri"/>
                <w:noProof/>
              </w:rPr>
            </w:pPr>
            <w:r>
              <w:rPr>
                <w:noProof/>
              </w:rPr>
              <w:t xml:space="preserve">Antal </w:t>
            </w:r>
          </w:p>
        </w:tc>
        <w:tc>
          <w:tcPr>
            <w:tcW w:w="980" w:type="dxa"/>
            <w:shd w:val="clear" w:color="auto" w:fill="C4EFCE"/>
            <w:vAlign w:val="center"/>
            <w:hideMark/>
          </w:tcPr>
          <w:p w14:paraId="670D15C0" w14:textId="77777777" w:rsidR="00E040FD" w:rsidRDefault="00740D64">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7C085019" w14:textId="77777777" w:rsidR="00E040FD" w:rsidRDefault="00740D64">
            <w:pPr>
              <w:pStyle w:val="P68B1DB1-Normal8"/>
              <w:spacing w:after="0" w:line="240" w:lineRule="auto"/>
              <w:jc w:val="center"/>
              <w:rPr>
                <w:rFonts w:eastAsia="Times New Roman" w:cs="Calibri"/>
                <w:noProof/>
              </w:rPr>
            </w:pPr>
            <w:r>
              <w:rPr>
                <w:noProof/>
              </w:rPr>
              <w:t>7000</w:t>
            </w:r>
          </w:p>
        </w:tc>
        <w:tc>
          <w:tcPr>
            <w:tcW w:w="561" w:type="dxa"/>
            <w:shd w:val="clear" w:color="auto" w:fill="C4EFCE"/>
            <w:vAlign w:val="center"/>
            <w:hideMark/>
          </w:tcPr>
          <w:p w14:paraId="65F5B7C1" w14:textId="77777777" w:rsidR="00E040FD" w:rsidRDefault="00740D64">
            <w:pPr>
              <w:pStyle w:val="P68B1DB1-Normal8"/>
              <w:spacing w:after="0" w:line="240" w:lineRule="auto"/>
              <w:jc w:val="center"/>
              <w:rPr>
                <w:rFonts w:eastAsia="Times New Roman" w:cs="Calibri"/>
                <w:noProof/>
              </w:rPr>
            </w:pPr>
            <w:r>
              <w:rPr>
                <w:noProof/>
              </w:rPr>
              <w:t>KVARTAL 3</w:t>
            </w:r>
          </w:p>
        </w:tc>
        <w:tc>
          <w:tcPr>
            <w:tcW w:w="700" w:type="dxa"/>
            <w:shd w:val="clear" w:color="auto" w:fill="C4EFCE"/>
            <w:vAlign w:val="center"/>
            <w:hideMark/>
          </w:tcPr>
          <w:p w14:paraId="1E975DE1" w14:textId="77777777" w:rsidR="00E040FD" w:rsidRDefault="00740D64">
            <w:pPr>
              <w:pStyle w:val="P68B1DB1-Normal8"/>
              <w:spacing w:after="0" w:line="240" w:lineRule="auto"/>
              <w:jc w:val="center"/>
              <w:rPr>
                <w:rFonts w:eastAsia="Times New Roman" w:cs="Calibri"/>
                <w:noProof/>
              </w:rPr>
            </w:pPr>
            <w:r>
              <w:rPr>
                <w:noProof/>
              </w:rPr>
              <w:t>2022</w:t>
            </w:r>
          </w:p>
        </w:tc>
        <w:tc>
          <w:tcPr>
            <w:tcW w:w="4606" w:type="dxa"/>
            <w:shd w:val="clear" w:color="auto" w:fill="C4EFCE"/>
            <w:vAlign w:val="center"/>
            <w:hideMark/>
          </w:tcPr>
          <w:p w14:paraId="2FF93065" w14:textId="787D3203" w:rsidR="00E040FD" w:rsidRDefault="00740D64">
            <w:pPr>
              <w:pStyle w:val="P68B1DB1-Normal8"/>
              <w:spacing w:after="0" w:line="240" w:lineRule="auto"/>
              <w:jc w:val="both"/>
              <w:rPr>
                <w:rFonts w:eastAsia="Times New Roman" w:cs="Calibri"/>
                <w:noProof/>
              </w:rPr>
            </w:pPr>
            <w:r>
              <w:rPr>
                <w:noProof/>
              </w:rPr>
              <w:t>Antal nya och renoverade inkvarteringsplatser för i första hand studenter inom högre utbildning för vilka offentliga upphandlingar har inletts.</w:t>
            </w:r>
          </w:p>
          <w:p w14:paraId="05C25A40" w14:textId="77777777" w:rsidR="00E040FD" w:rsidRDefault="00740D64">
            <w:pPr>
              <w:pStyle w:val="P68B1DB1-Normal8"/>
              <w:spacing w:after="0" w:line="240" w:lineRule="auto"/>
              <w:jc w:val="both"/>
              <w:rPr>
                <w:rFonts w:eastAsia="Times New Roman" w:cs="Calibri"/>
                <w:noProof/>
              </w:rPr>
            </w:pPr>
            <w:r>
              <w:rPr>
                <w:noProof/>
              </w:rPr>
              <w:t>Nya byggnader ska ha ett primärenergibehov som är minst 20 % lägre än kraven för nära-nollenergibyggnader. Energieffektivitetsrenoveringar ska i genomsnitt leda till en renovering av minst medelstor omfattning enligt definitionen i kommissionens rekommendation om byggnadsrenovering (EU) 2019/786.</w:t>
            </w:r>
          </w:p>
        </w:tc>
      </w:tr>
      <w:tr w:rsidR="00E040FD" w14:paraId="0D33B44C" w14:textId="77777777">
        <w:trPr>
          <w:trHeight w:val="543"/>
        </w:trPr>
        <w:tc>
          <w:tcPr>
            <w:tcW w:w="1121" w:type="dxa"/>
            <w:shd w:val="clear" w:color="auto" w:fill="C4EFCE"/>
            <w:vAlign w:val="center"/>
            <w:hideMark/>
          </w:tcPr>
          <w:p w14:paraId="6BF73E55" w14:textId="77777777" w:rsidR="00E040FD" w:rsidRDefault="00740D64">
            <w:pPr>
              <w:pStyle w:val="P68B1DB1-Normal7"/>
              <w:spacing w:after="0" w:line="240" w:lineRule="auto"/>
              <w:jc w:val="center"/>
              <w:rPr>
                <w:rFonts w:eastAsia="Times New Roman" w:cs="Calibri"/>
                <w:noProof/>
              </w:rPr>
            </w:pPr>
            <w:r>
              <w:rPr>
                <w:noProof/>
              </w:rPr>
              <w:t>2.26</w:t>
            </w:r>
          </w:p>
        </w:tc>
        <w:tc>
          <w:tcPr>
            <w:tcW w:w="1259" w:type="dxa"/>
            <w:shd w:val="clear" w:color="auto" w:fill="C4EFCE"/>
            <w:vAlign w:val="center"/>
            <w:hideMark/>
          </w:tcPr>
          <w:p w14:paraId="071F28C9" w14:textId="77777777" w:rsidR="00E040FD" w:rsidRDefault="00740D64">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516C5BB2" w14:textId="77777777" w:rsidR="00E040FD" w:rsidRDefault="00740D6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50689BD" w14:textId="77777777" w:rsidR="00E040FD" w:rsidRDefault="00740D64">
            <w:pPr>
              <w:pStyle w:val="P68B1DB1-Normal8"/>
              <w:spacing w:after="0" w:line="240" w:lineRule="auto"/>
              <w:jc w:val="center"/>
              <w:rPr>
                <w:rFonts w:eastAsia="Times New Roman" w:cs="Calibri"/>
                <w:noProof/>
              </w:rPr>
            </w:pPr>
            <w:r>
              <w:rPr>
                <w:noProof/>
              </w:rPr>
              <w:t xml:space="preserve">Studenternas boende till rimliga kostnader </w:t>
            </w:r>
          </w:p>
        </w:tc>
        <w:tc>
          <w:tcPr>
            <w:tcW w:w="1258" w:type="dxa"/>
            <w:shd w:val="clear" w:color="auto" w:fill="C4EFCE"/>
            <w:vAlign w:val="center"/>
            <w:hideMark/>
          </w:tcPr>
          <w:p w14:paraId="26DEFBD7" w14:textId="77777777" w:rsidR="00E040FD" w:rsidRDefault="00740D6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53703B53" w14:textId="77777777" w:rsidR="00E040FD" w:rsidRDefault="00740D64">
            <w:pPr>
              <w:pStyle w:val="P68B1DB1-Normal8"/>
              <w:spacing w:after="0" w:line="240" w:lineRule="auto"/>
              <w:jc w:val="center"/>
              <w:rPr>
                <w:rFonts w:eastAsia="Times New Roman" w:cs="Calibri"/>
                <w:noProof/>
              </w:rPr>
            </w:pPr>
            <w:r>
              <w:rPr>
                <w:noProof/>
              </w:rPr>
              <w:t xml:space="preserve">Antal </w:t>
            </w:r>
          </w:p>
        </w:tc>
        <w:tc>
          <w:tcPr>
            <w:tcW w:w="980" w:type="dxa"/>
            <w:shd w:val="clear" w:color="auto" w:fill="C4EFCE"/>
            <w:vAlign w:val="center"/>
            <w:hideMark/>
          </w:tcPr>
          <w:p w14:paraId="13A0BF4A" w14:textId="77777777" w:rsidR="00E040FD" w:rsidRDefault="00740D64">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18D72F16" w14:textId="276DBD05" w:rsidR="00E040FD" w:rsidRDefault="00740D64">
            <w:pPr>
              <w:pStyle w:val="P68B1DB1-Normal8"/>
              <w:spacing w:after="0" w:line="240" w:lineRule="auto"/>
              <w:jc w:val="center"/>
              <w:rPr>
                <w:rFonts w:eastAsia="Times New Roman" w:cs="Calibri"/>
                <w:noProof/>
              </w:rPr>
            </w:pPr>
            <w:r>
              <w:rPr>
                <w:noProof/>
              </w:rPr>
              <w:t>7 200</w:t>
            </w:r>
          </w:p>
        </w:tc>
        <w:tc>
          <w:tcPr>
            <w:tcW w:w="561" w:type="dxa"/>
            <w:shd w:val="clear" w:color="auto" w:fill="C4EFCE"/>
            <w:vAlign w:val="center"/>
            <w:hideMark/>
          </w:tcPr>
          <w:p w14:paraId="1236111F" w14:textId="77777777" w:rsidR="00E040FD" w:rsidRDefault="00740D64">
            <w:pPr>
              <w:pStyle w:val="P68B1DB1-Normal8"/>
              <w:spacing w:after="0" w:line="240" w:lineRule="auto"/>
              <w:jc w:val="center"/>
              <w:rPr>
                <w:rFonts w:eastAsia="Times New Roman" w:cs="Calibri"/>
                <w:noProof/>
              </w:rPr>
            </w:pPr>
            <w:r>
              <w:rPr>
                <w:noProof/>
              </w:rPr>
              <w:t>KVARTAL 3</w:t>
            </w:r>
          </w:p>
        </w:tc>
        <w:tc>
          <w:tcPr>
            <w:tcW w:w="700" w:type="dxa"/>
            <w:shd w:val="clear" w:color="auto" w:fill="C4EFCE"/>
            <w:vAlign w:val="center"/>
            <w:hideMark/>
          </w:tcPr>
          <w:p w14:paraId="3F3B9998" w14:textId="37F93F36" w:rsidR="00E040FD" w:rsidRDefault="00740D64">
            <w:pPr>
              <w:pStyle w:val="P68B1DB1-Normal8"/>
              <w:spacing w:after="0" w:line="240" w:lineRule="auto"/>
              <w:jc w:val="both"/>
              <w:rPr>
                <w:rFonts w:eastAsia="Times New Roman" w:cs="Calibri"/>
                <w:noProof/>
              </w:rPr>
            </w:pPr>
            <w:r>
              <w:rPr>
                <w:noProof/>
              </w:rPr>
              <w:t>2024</w:t>
            </w:r>
          </w:p>
        </w:tc>
        <w:tc>
          <w:tcPr>
            <w:tcW w:w="4606" w:type="dxa"/>
            <w:shd w:val="clear" w:color="auto" w:fill="C4EFCE"/>
            <w:vAlign w:val="center"/>
            <w:hideMark/>
          </w:tcPr>
          <w:p w14:paraId="778022FF" w14:textId="62E05FA1" w:rsidR="00E040FD" w:rsidRDefault="00740D64">
            <w:pPr>
              <w:pStyle w:val="P68B1DB1-Normal8"/>
              <w:spacing w:after="0" w:line="240" w:lineRule="auto"/>
              <w:jc w:val="both"/>
              <w:rPr>
                <w:rFonts w:eastAsia="Times New Roman" w:cs="Calibri"/>
                <w:noProof/>
              </w:rPr>
            </w:pPr>
            <w:r>
              <w:rPr>
                <w:noProof/>
              </w:rPr>
              <w:t xml:space="preserve">Antal nya och renoverade platser som i första hand görs tillgängliga för studenter inom högre utbildning i stadsbyggnader eller blandade byggnader som helt eller delvis är avsedda för tillfälliga bostäder av studenter som studerar på en annan plats än sin hemvist och behöver inkvartering i syfte att bedriva högre utbildning, inbegripet studentbostäder för högre utbildning, som nödvändigtvis omfattar sovrum, badrum, kök och måltider och kan omfatta studieplatser och inkvartering, parkering och utrustning. </w:t>
            </w:r>
          </w:p>
          <w:p w14:paraId="6C80330F" w14:textId="606400D0" w:rsidR="00E040FD" w:rsidRDefault="00740D64">
            <w:pPr>
              <w:pStyle w:val="P68B1DB1-Normal8"/>
              <w:spacing w:after="0" w:line="240" w:lineRule="auto"/>
              <w:jc w:val="both"/>
              <w:rPr>
                <w:rFonts w:eastAsia="Times New Roman" w:cs="Calibri"/>
                <w:noProof/>
              </w:rPr>
            </w:pPr>
            <w:r>
              <w:rPr>
                <w:noProof/>
              </w:rPr>
              <w:t>Nya byggnader ska ha ett primärenergibehov som är minst 20 % lägre än kraven för nära-nollenergibyggnader. Energieffektivitetsrenoveringar ska i genomsnitt leda till en renovering av minst medelstor omfattning enligt definitionen i kommissionens rekommendation om byggnadsrenovering (EU) 2019/786.</w:t>
            </w:r>
          </w:p>
        </w:tc>
      </w:tr>
      <w:tr w:rsidR="00E040FD" w14:paraId="6E7A4C44" w14:textId="77777777">
        <w:trPr>
          <w:trHeight w:val="543"/>
        </w:trPr>
        <w:tc>
          <w:tcPr>
            <w:tcW w:w="1121" w:type="dxa"/>
            <w:shd w:val="clear" w:color="auto" w:fill="C4EFCE"/>
            <w:vAlign w:val="center"/>
            <w:hideMark/>
          </w:tcPr>
          <w:p w14:paraId="2FE553C4" w14:textId="77777777" w:rsidR="00E040FD" w:rsidRDefault="00740D64">
            <w:pPr>
              <w:pStyle w:val="P68B1DB1-Normal7"/>
              <w:spacing w:after="0" w:line="240" w:lineRule="auto"/>
              <w:jc w:val="center"/>
              <w:rPr>
                <w:rFonts w:eastAsia="Times New Roman" w:cs="Calibri"/>
                <w:noProof/>
              </w:rPr>
            </w:pPr>
            <w:r>
              <w:rPr>
                <w:noProof/>
              </w:rPr>
              <w:t>2.27</w:t>
            </w:r>
          </w:p>
        </w:tc>
        <w:tc>
          <w:tcPr>
            <w:tcW w:w="1259" w:type="dxa"/>
            <w:shd w:val="clear" w:color="auto" w:fill="C4EFCE"/>
            <w:vAlign w:val="center"/>
            <w:hideMark/>
          </w:tcPr>
          <w:p w14:paraId="0BCB48BE" w14:textId="77777777" w:rsidR="00E040FD" w:rsidRDefault="00740D64">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10B25FE4" w14:textId="77777777" w:rsidR="00E040FD" w:rsidRDefault="00740D6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26157084" w14:textId="77777777" w:rsidR="00E040FD" w:rsidRDefault="00740D64">
            <w:pPr>
              <w:pStyle w:val="P68B1DB1-Normal8"/>
              <w:spacing w:after="0" w:line="240" w:lineRule="auto"/>
              <w:jc w:val="center"/>
              <w:rPr>
                <w:rFonts w:eastAsia="Times New Roman" w:cs="Calibri"/>
                <w:noProof/>
              </w:rPr>
            </w:pPr>
            <w:r>
              <w:rPr>
                <w:noProof/>
              </w:rPr>
              <w:t xml:space="preserve">Studenternas boende till rimliga kostnader </w:t>
            </w:r>
          </w:p>
        </w:tc>
        <w:tc>
          <w:tcPr>
            <w:tcW w:w="1258" w:type="dxa"/>
            <w:shd w:val="clear" w:color="auto" w:fill="C4EFCE"/>
            <w:vAlign w:val="center"/>
            <w:hideMark/>
          </w:tcPr>
          <w:p w14:paraId="1F8A44C2" w14:textId="77777777" w:rsidR="00E040FD" w:rsidRDefault="00740D6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67C80EC" w14:textId="77777777" w:rsidR="00E040FD" w:rsidRDefault="00740D64">
            <w:pPr>
              <w:pStyle w:val="P68B1DB1-Normal8"/>
              <w:spacing w:after="0" w:line="240" w:lineRule="auto"/>
              <w:jc w:val="center"/>
              <w:rPr>
                <w:rFonts w:eastAsia="Times New Roman" w:cs="Calibri"/>
                <w:noProof/>
              </w:rPr>
            </w:pPr>
            <w:r>
              <w:rPr>
                <w:noProof/>
              </w:rPr>
              <w:t>Antal</w:t>
            </w:r>
          </w:p>
        </w:tc>
        <w:tc>
          <w:tcPr>
            <w:tcW w:w="980" w:type="dxa"/>
            <w:shd w:val="clear" w:color="auto" w:fill="C4EFCE"/>
            <w:vAlign w:val="center"/>
            <w:hideMark/>
          </w:tcPr>
          <w:p w14:paraId="416AAB49" w14:textId="54C17EC0" w:rsidR="00E040FD" w:rsidRDefault="00740D64">
            <w:pPr>
              <w:pStyle w:val="P68B1DB1-Normal8"/>
              <w:spacing w:after="0" w:line="240" w:lineRule="auto"/>
              <w:jc w:val="center"/>
              <w:rPr>
                <w:rFonts w:eastAsia="Times New Roman" w:cs="Calibri"/>
                <w:noProof/>
              </w:rPr>
            </w:pPr>
            <w:r>
              <w:rPr>
                <w:noProof/>
              </w:rPr>
              <w:t>7 200</w:t>
            </w:r>
          </w:p>
        </w:tc>
        <w:tc>
          <w:tcPr>
            <w:tcW w:w="701" w:type="dxa"/>
            <w:shd w:val="clear" w:color="auto" w:fill="C4EFCE"/>
            <w:vAlign w:val="center"/>
            <w:hideMark/>
          </w:tcPr>
          <w:p w14:paraId="3439E949" w14:textId="1E287A32" w:rsidR="00E040FD" w:rsidRDefault="00740D64">
            <w:pPr>
              <w:pStyle w:val="P68B1DB1-Normal8"/>
              <w:spacing w:after="0" w:line="240" w:lineRule="auto"/>
              <w:jc w:val="center"/>
              <w:rPr>
                <w:rFonts w:eastAsia="Times New Roman" w:cs="Calibri"/>
                <w:noProof/>
              </w:rPr>
            </w:pPr>
            <w:r>
              <w:rPr>
                <w:noProof/>
              </w:rPr>
              <w:t>13 300</w:t>
            </w:r>
          </w:p>
        </w:tc>
        <w:tc>
          <w:tcPr>
            <w:tcW w:w="561" w:type="dxa"/>
            <w:shd w:val="clear" w:color="auto" w:fill="C4EFCE"/>
            <w:vAlign w:val="center"/>
            <w:hideMark/>
          </w:tcPr>
          <w:p w14:paraId="2CB76039" w14:textId="77777777" w:rsidR="00E040FD" w:rsidRDefault="00740D64">
            <w:pPr>
              <w:pStyle w:val="P68B1DB1-Normal8"/>
              <w:spacing w:after="0" w:line="240" w:lineRule="auto"/>
              <w:jc w:val="center"/>
              <w:rPr>
                <w:rFonts w:eastAsia="Times New Roman" w:cs="Calibri"/>
                <w:noProof/>
              </w:rPr>
            </w:pPr>
            <w:r>
              <w:rPr>
                <w:noProof/>
              </w:rPr>
              <w:t>KVARTAL 3</w:t>
            </w:r>
          </w:p>
        </w:tc>
        <w:tc>
          <w:tcPr>
            <w:tcW w:w="700" w:type="dxa"/>
            <w:shd w:val="clear" w:color="auto" w:fill="C4EFCE"/>
            <w:vAlign w:val="center"/>
            <w:hideMark/>
          </w:tcPr>
          <w:p w14:paraId="11F34838" w14:textId="11E49FF7" w:rsidR="00E040FD" w:rsidRDefault="00740D64">
            <w:pPr>
              <w:pStyle w:val="P68B1DB1-Normal8"/>
              <w:spacing w:after="0" w:line="240" w:lineRule="auto"/>
              <w:jc w:val="center"/>
              <w:rPr>
                <w:rFonts w:eastAsia="Times New Roman" w:cs="Calibri"/>
                <w:noProof/>
              </w:rPr>
            </w:pPr>
            <w:r>
              <w:rPr>
                <w:noProof/>
              </w:rPr>
              <w:t>2025</w:t>
            </w:r>
          </w:p>
        </w:tc>
        <w:tc>
          <w:tcPr>
            <w:tcW w:w="4606" w:type="dxa"/>
            <w:shd w:val="clear" w:color="auto" w:fill="C4EFCE"/>
            <w:vAlign w:val="center"/>
            <w:hideMark/>
          </w:tcPr>
          <w:p w14:paraId="3D265A32" w14:textId="56C4574F" w:rsidR="00E040FD" w:rsidRDefault="00740D64">
            <w:pPr>
              <w:pStyle w:val="P68B1DB1-Normal8"/>
              <w:spacing w:after="0" w:line="240" w:lineRule="auto"/>
              <w:jc w:val="both"/>
              <w:rPr>
                <w:rFonts w:eastAsia="Times New Roman" w:cs="Calibri"/>
                <w:noProof/>
              </w:rPr>
            </w:pPr>
            <w:r>
              <w:rPr>
                <w:noProof/>
              </w:rPr>
              <w:t>Antal nya och renoverade platser som i första hand görs tillgängliga för studenter inom högre utbildning i stadsbyggnader eller blandade byggnader som helt eller delvis är avsedda för tillfälliga bostäder av studenter som studerar på en annan plats än sin hemvist och behöver inkvartering i syfte att bedriva högre utbildning, inbegripet studentbostäder inom högre utbildning, med nödvändighet i form av sovrum, badrum, kök och måltider, och kan omfatta studieplatser och inkvarteringsplatser, parkering och utrustning.</w:t>
            </w:r>
          </w:p>
          <w:p w14:paraId="035EFF71" w14:textId="77777777" w:rsidR="00E040FD" w:rsidRDefault="00740D64">
            <w:pPr>
              <w:pStyle w:val="P68B1DB1-Normal8"/>
              <w:spacing w:after="0" w:line="240" w:lineRule="auto"/>
              <w:jc w:val="both"/>
              <w:rPr>
                <w:rFonts w:eastAsia="Times New Roman" w:cs="Calibri"/>
                <w:noProof/>
              </w:rPr>
            </w:pPr>
            <w:r>
              <w:rPr>
                <w:noProof/>
              </w:rPr>
              <w:t>Nya byggnader ska ha ett primärenergibehov som är minst 20 % lägre än kraven för nära-nollenergibyggnader. Energieffektivitetsrenoveringar ska i genomsnitt leda till en renovering av minst medelstor omfattning enligt definitionen i kommissionens rekommendation om byggnadsrenovering (EU) 2019/786.</w:t>
            </w:r>
          </w:p>
        </w:tc>
      </w:tr>
      <w:tr w:rsidR="00E040FD" w14:paraId="3787F6D4" w14:textId="77777777">
        <w:trPr>
          <w:trHeight w:val="1050"/>
        </w:trPr>
        <w:tc>
          <w:tcPr>
            <w:tcW w:w="1121" w:type="dxa"/>
            <w:shd w:val="clear" w:color="auto" w:fill="C4EFCE"/>
            <w:vAlign w:val="center"/>
            <w:hideMark/>
          </w:tcPr>
          <w:p w14:paraId="64CCD213" w14:textId="77777777" w:rsidR="00E040FD" w:rsidRDefault="00740D64">
            <w:pPr>
              <w:pStyle w:val="P68B1DB1-Normal7"/>
              <w:spacing w:after="0" w:line="240" w:lineRule="auto"/>
              <w:jc w:val="center"/>
              <w:rPr>
                <w:rFonts w:eastAsia="Times New Roman" w:cs="Calibri"/>
                <w:noProof/>
              </w:rPr>
            </w:pPr>
            <w:r>
              <w:rPr>
                <w:noProof/>
              </w:rPr>
              <w:t>2.28</w:t>
            </w:r>
          </w:p>
        </w:tc>
        <w:tc>
          <w:tcPr>
            <w:tcW w:w="1259" w:type="dxa"/>
            <w:shd w:val="clear" w:color="auto" w:fill="C4EFCE"/>
            <w:vAlign w:val="center"/>
            <w:hideMark/>
          </w:tcPr>
          <w:p w14:paraId="20A40908" w14:textId="77777777" w:rsidR="00E040FD" w:rsidRDefault="00740D64">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4FFB417C" w14:textId="77777777" w:rsidR="00E040FD" w:rsidRDefault="00740D6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50C1A1F" w14:textId="77777777" w:rsidR="00E040FD" w:rsidRDefault="00740D64">
            <w:pPr>
              <w:pStyle w:val="P68B1DB1-Normal8"/>
              <w:spacing w:after="0" w:line="240" w:lineRule="auto"/>
              <w:jc w:val="center"/>
              <w:rPr>
                <w:rFonts w:eastAsia="Times New Roman" w:cs="Calibri"/>
                <w:noProof/>
              </w:rPr>
            </w:pPr>
            <w:r>
              <w:rPr>
                <w:noProof/>
              </w:rPr>
              <w:t xml:space="preserve">Studenternas boende till rimliga kostnader </w:t>
            </w:r>
          </w:p>
        </w:tc>
        <w:tc>
          <w:tcPr>
            <w:tcW w:w="1258" w:type="dxa"/>
            <w:shd w:val="clear" w:color="auto" w:fill="C4EFCE"/>
            <w:vAlign w:val="center"/>
            <w:hideMark/>
          </w:tcPr>
          <w:p w14:paraId="6C52FC90" w14:textId="77777777" w:rsidR="00E040FD" w:rsidRDefault="00740D6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46B01055" w14:textId="77777777" w:rsidR="00E040FD" w:rsidRDefault="00740D64">
            <w:pPr>
              <w:pStyle w:val="P68B1DB1-Normal8"/>
              <w:spacing w:after="0" w:line="240" w:lineRule="auto"/>
              <w:jc w:val="center"/>
              <w:rPr>
                <w:rFonts w:eastAsia="Times New Roman" w:cs="Calibri"/>
                <w:noProof/>
              </w:rPr>
            </w:pPr>
            <w:r>
              <w:rPr>
                <w:noProof/>
              </w:rPr>
              <w:t xml:space="preserve">Antal </w:t>
            </w:r>
          </w:p>
        </w:tc>
        <w:tc>
          <w:tcPr>
            <w:tcW w:w="980" w:type="dxa"/>
            <w:shd w:val="clear" w:color="auto" w:fill="C4EFCE"/>
            <w:vAlign w:val="center"/>
            <w:hideMark/>
          </w:tcPr>
          <w:p w14:paraId="6B6F55A2" w14:textId="430D0E78" w:rsidR="00E040FD" w:rsidRDefault="00740D64">
            <w:pPr>
              <w:pStyle w:val="P68B1DB1-Normal8"/>
              <w:spacing w:after="0" w:line="240" w:lineRule="auto"/>
              <w:jc w:val="center"/>
              <w:rPr>
                <w:rFonts w:eastAsia="Times New Roman" w:cs="Calibri"/>
                <w:noProof/>
              </w:rPr>
            </w:pPr>
            <w:r>
              <w:rPr>
                <w:noProof/>
              </w:rPr>
              <w:t>13 300</w:t>
            </w:r>
          </w:p>
        </w:tc>
        <w:tc>
          <w:tcPr>
            <w:tcW w:w="701" w:type="dxa"/>
            <w:shd w:val="clear" w:color="auto" w:fill="C4EFCE"/>
            <w:vAlign w:val="center"/>
            <w:hideMark/>
          </w:tcPr>
          <w:p w14:paraId="29351001" w14:textId="66F0DDA5" w:rsidR="00E040FD" w:rsidRDefault="00740D64">
            <w:pPr>
              <w:pStyle w:val="P68B1DB1-Normal8"/>
              <w:spacing w:after="0" w:line="240" w:lineRule="auto"/>
              <w:jc w:val="center"/>
              <w:rPr>
                <w:rFonts w:eastAsia="Times New Roman" w:cs="Calibri"/>
                <w:noProof/>
              </w:rPr>
            </w:pPr>
            <w:r>
              <w:rPr>
                <w:noProof/>
              </w:rPr>
              <w:t>18 000</w:t>
            </w:r>
          </w:p>
        </w:tc>
        <w:tc>
          <w:tcPr>
            <w:tcW w:w="561" w:type="dxa"/>
            <w:shd w:val="clear" w:color="auto" w:fill="C4EFCE"/>
            <w:vAlign w:val="center"/>
            <w:hideMark/>
          </w:tcPr>
          <w:p w14:paraId="73B3BC6B" w14:textId="77777777" w:rsidR="00E040FD" w:rsidRDefault="00740D64">
            <w:pPr>
              <w:pStyle w:val="P68B1DB1-Normal8"/>
              <w:spacing w:after="0" w:line="240" w:lineRule="auto"/>
              <w:jc w:val="center"/>
              <w:rPr>
                <w:rFonts w:eastAsia="Times New Roman" w:cs="Calibri"/>
                <w:noProof/>
              </w:rPr>
            </w:pPr>
            <w:r>
              <w:rPr>
                <w:noProof/>
              </w:rPr>
              <w:t>KVARTAL 1</w:t>
            </w:r>
          </w:p>
        </w:tc>
        <w:tc>
          <w:tcPr>
            <w:tcW w:w="700" w:type="dxa"/>
            <w:shd w:val="clear" w:color="auto" w:fill="C4EFCE"/>
            <w:vAlign w:val="center"/>
            <w:hideMark/>
          </w:tcPr>
          <w:p w14:paraId="51504EB4" w14:textId="77777777" w:rsidR="00E040FD" w:rsidRDefault="00740D64">
            <w:pPr>
              <w:pStyle w:val="P68B1DB1-Normal8"/>
              <w:spacing w:after="0" w:line="240" w:lineRule="auto"/>
              <w:jc w:val="center"/>
              <w:rPr>
                <w:rFonts w:eastAsia="Times New Roman" w:cs="Calibri"/>
                <w:noProof/>
              </w:rPr>
            </w:pPr>
            <w:r>
              <w:rPr>
                <w:noProof/>
              </w:rPr>
              <w:t>2026</w:t>
            </w:r>
          </w:p>
        </w:tc>
        <w:tc>
          <w:tcPr>
            <w:tcW w:w="4606" w:type="dxa"/>
            <w:shd w:val="clear" w:color="auto" w:fill="C4EFCE"/>
            <w:vAlign w:val="center"/>
            <w:hideMark/>
          </w:tcPr>
          <w:p w14:paraId="41184E03" w14:textId="7273E775" w:rsidR="00E040FD" w:rsidRDefault="00740D64">
            <w:pPr>
              <w:pStyle w:val="P68B1DB1-Normal8"/>
              <w:spacing w:after="0" w:line="240" w:lineRule="auto"/>
              <w:jc w:val="both"/>
              <w:rPr>
                <w:rFonts w:eastAsia="Times New Roman" w:cs="Calibri"/>
                <w:noProof/>
              </w:rPr>
            </w:pPr>
            <w:r>
              <w:rPr>
                <w:noProof/>
              </w:rPr>
              <w:t xml:space="preserve">Antal nya och renoverade platser som i första hand görs tillgängliga för studenter inom högre utbildning i stadsbyggnader eller blandade byggnader som helt eller delvis är avsedda för tillfälliga bostäder av studenter som studerar på en annan plats än sin hemvist och behöver inkvartering i syfte att bedriva högre utbildning, inbegripet studentbostäder inom högre utbildning, med nödvändighet i form av sovrum, badrum, kök och måltider, och kan omfatta studieplatser och inkvarteringsplatser, parkering och utrustning. </w:t>
            </w:r>
          </w:p>
          <w:p w14:paraId="10E836B8" w14:textId="26AC752F" w:rsidR="00E040FD" w:rsidRDefault="00740D64">
            <w:pPr>
              <w:pStyle w:val="P68B1DB1-Normal8"/>
              <w:spacing w:after="0" w:line="240" w:lineRule="auto"/>
              <w:jc w:val="both"/>
              <w:rPr>
                <w:rFonts w:eastAsia="Times New Roman" w:cs="Calibri"/>
                <w:noProof/>
              </w:rPr>
            </w:pPr>
            <w:r>
              <w:rPr>
                <w:noProof/>
              </w:rPr>
              <w:t>Nya byggnader ska ha ett primärenergibehov som är minst 20 % lägre än kraven för nära-nollenergibyggnader. Energieffektivitetsrenoveringar ska i genomsnitt leda till en renovering av minst medelstor omfattning enligt definitionen i kommissionens rekommendation om byggnadsrenovering (EU) 2019/786.</w:t>
            </w:r>
          </w:p>
        </w:tc>
      </w:tr>
      <w:tr w:rsidR="00E040FD" w14:paraId="60C698ED" w14:textId="77777777">
        <w:trPr>
          <w:trHeight w:val="1050"/>
        </w:trPr>
        <w:tc>
          <w:tcPr>
            <w:tcW w:w="1121" w:type="dxa"/>
            <w:shd w:val="clear" w:color="auto" w:fill="C4EFCE"/>
            <w:vAlign w:val="center"/>
          </w:tcPr>
          <w:p w14:paraId="4705E034" w14:textId="4AC666D2" w:rsidR="00E040FD" w:rsidRDefault="00740D64">
            <w:pPr>
              <w:pStyle w:val="P68B1DB1-Normal11"/>
              <w:spacing w:after="0" w:line="240" w:lineRule="auto"/>
              <w:jc w:val="center"/>
              <w:rPr>
                <w:rFonts w:eastAsia="Times New Roman" w:cstheme="minorHAnsi"/>
                <w:noProof/>
              </w:rPr>
            </w:pPr>
            <w:r>
              <w:rPr>
                <w:noProof/>
              </w:rPr>
              <w:t>2.32</w:t>
            </w:r>
          </w:p>
        </w:tc>
        <w:tc>
          <w:tcPr>
            <w:tcW w:w="1259" w:type="dxa"/>
            <w:shd w:val="clear" w:color="auto" w:fill="C4EFCE"/>
            <w:vAlign w:val="center"/>
          </w:tcPr>
          <w:p w14:paraId="4776F9DD" w14:textId="58DFAFA4" w:rsidR="00E040FD" w:rsidRDefault="00740D64">
            <w:pPr>
              <w:pStyle w:val="P68B1DB1-Normal12"/>
              <w:spacing w:after="0" w:line="240" w:lineRule="auto"/>
              <w:jc w:val="center"/>
              <w:rPr>
                <w:rFonts w:eastAsia="Times New Roman" w:cstheme="minorHAnsi"/>
                <w:noProof/>
              </w:rPr>
            </w:pPr>
            <w:r>
              <w:rPr>
                <w:noProof/>
              </w:rPr>
              <w:t>RE-C02-i09</w:t>
            </w:r>
          </w:p>
        </w:tc>
        <w:tc>
          <w:tcPr>
            <w:tcW w:w="1119" w:type="dxa"/>
            <w:shd w:val="clear" w:color="auto" w:fill="C4EFCE"/>
            <w:vAlign w:val="center"/>
          </w:tcPr>
          <w:p w14:paraId="3A5C7E5C" w14:textId="2BCC6FAF" w:rsidR="00E040FD" w:rsidRDefault="00740D64">
            <w:pPr>
              <w:pStyle w:val="P68B1DB1-Normal12"/>
              <w:spacing w:after="0" w:line="240" w:lineRule="auto"/>
              <w:jc w:val="center"/>
              <w:rPr>
                <w:rFonts w:eastAsia="Times New Roman" w:cstheme="minorHAnsi"/>
                <w:noProof/>
              </w:rPr>
            </w:pPr>
            <w:r>
              <w:rPr>
                <w:noProof/>
              </w:rPr>
              <w:t>T</w:t>
            </w:r>
          </w:p>
        </w:tc>
        <w:tc>
          <w:tcPr>
            <w:tcW w:w="1677" w:type="dxa"/>
            <w:shd w:val="clear" w:color="auto" w:fill="C4EFCE"/>
            <w:vAlign w:val="center"/>
          </w:tcPr>
          <w:p w14:paraId="0968588E" w14:textId="5CE5582D" w:rsidR="00E040FD" w:rsidRDefault="00740D64">
            <w:pPr>
              <w:pStyle w:val="P68B1DB1-Normal12"/>
              <w:spacing w:after="0" w:line="240" w:lineRule="auto"/>
              <w:jc w:val="center"/>
              <w:rPr>
                <w:rFonts w:eastAsia="Times New Roman" w:cstheme="minorHAnsi"/>
                <w:noProof/>
              </w:rPr>
            </w:pPr>
            <w:r>
              <w:rPr>
                <w:noProof/>
              </w:rPr>
              <w:t>Stödprogram för tillgång till bostäder (lån) – köpta, byggda (hög energieffektivitet) eller renoverade (med förbättrad energiprestanda) bostäder som tillhandahålls hushållen</w:t>
            </w:r>
          </w:p>
        </w:tc>
        <w:tc>
          <w:tcPr>
            <w:tcW w:w="1258" w:type="dxa"/>
            <w:shd w:val="clear" w:color="auto" w:fill="C4EFCE"/>
            <w:vAlign w:val="center"/>
          </w:tcPr>
          <w:p w14:paraId="0319FDDB" w14:textId="77777777" w:rsidR="00E040FD" w:rsidRDefault="00E040FD">
            <w:pPr>
              <w:spacing w:after="0" w:line="240" w:lineRule="auto"/>
              <w:jc w:val="center"/>
              <w:rPr>
                <w:rFonts w:eastAsia="Times New Roman" w:cstheme="minorHAnsi"/>
                <w:noProof/>
                <w:sz w:val="16"/>
              </w:rPr>
            </w:pPr>
          </w:p>
        </w:tc>
        <w:tc>
          <w:tcPr>
            <w:tcW w:w="981" w:type="dxa"/>
            <w:shd w:val="clear" w:color="auto" w:fill="C4EFCE"/>
            <w:vAlign w:val="center"/>
          </w:tcPr>
          <w:p w14:paraId="172C6BDD" w14:textId="4AB1B921" w:rsidR="00E040FD" w:rsidRDefault="00740D64">
            <w:pPr>
              <w:pStyle w:val="P68B1DB1-Normal12"/>
              <w:spacing w:after="0" w:line="240" w:lineRule="auto"/>
              <w:jc w:val="center"/>
              <w:rPr>
                <w:rFonts w:eastAsia="Times New Roman" w:cstheme="minorHAnsi"/>
                <w:noProof/>
              </w:rPr>
            </w:pPr>
            <w:r>
              <w:rPr>
                <w:noProof/>
              </w:rPr>
              <w:t>Antal</w:t>
            </w:r>
          </w:p>
        </w:tc>
        <w:tc>
          <w:tcPr>
            <w:tcW w:w="980" w:type="dxa"/>
            <w:shd w:val="clear" w:color="auto" w:fill="C4EFCE"/>
            <w:vAlign w:val="center"/>
          </w:tcPr>
          <w:p w14:paraId="1E32C4B2" w14:textId="13724816" w:rsidR="00E040FD" w:rsidRDefault="00740D64">
            <w:pPr>
              <w:pStyle w:val="P68B1DB1-Normal12"/>
              <w:spacing w:after="0" w:line="240" w:lineRule="auto"/>
              <w:jc w:val="center"/>
              <w:rPr>
                <w:rFonts w:eastAsia="Times New Roman" w:cstheme="minorHAnsi"/>
                <w:noProof/>
              </w:rPr>
            </w:pPr>
            <w:r>
              <w:rPr>
                <w:noProof/>
              </w:rPr>
              <w:t>22 360</w:t>
            </w:r>
          </w:p>
        </w:tc>
        <w:tc>
          <w:tcPr>
            <w:tcW w:w="701" w:type="dxa"/>
            <w:shd w:val="clear" w:color="auto" w:fill="C4EFCE"/>
            <w:vAlign w:val="center"/>
          </w:tcPr>
          <w:p w14:paraId="1CB0AF1E" w14:textId="43D15A0F" w:rsidR="00E040FD" w:rsidRDefault="00740D64">
            <w:pPr>
              <w:pStyle w:val="P68B1DB1-Normal12"/>
              <w:spacing w:after="0" w:line="240" w:lineRule="auto"/>
              <w:jc w:val="center"/>
              <w:rPr>
                <w:rFonts w:eastAsia="Times New Roman" w:cstheme="minorHAnsi"/>
                <w:noProof/>
              </w:rPr>
            </w:pPr>
            <w:r>
              <w:rPr>
                <w:noProof/>
              </w:rPr>
              <w:t>26 000</w:t>
            </w:r>
          </w:p>
        </w:tc>
        <w:tc>
          <w:tcPr>
            <w:tcW w:w="561" w:type="dxa"/>
            <w:shd w:val="clear" w:color="auto" w:fill="C4EFCE"/>
            <w:vAlign w:val="center"/>
          </w:tcPr>
          <w:p w14:paraId="413ACC31" w14:textId="3CB9F2B6" w:rsidR="00E040FD" w:rsidRDefault="00740D64">
            <w:pPr>
              <w:pStyle w:val="P68B1DB1-Normal12"/>
              <w:spacing w:after="0" w:line="240" w:lineRule="auto"/>
              <w:jc w:val="center"/>
              <w:rPr>
                <w:rFonts w:eastAsia="Times New Roman" w:cstheme="minorHAnsi"/>
                <w:noProof/>
              </w:rPr>
            </w:pPr>
            <w:r>
              <w:rPr>
                <w:noProof/>
              </w:rPr>
              <w:t>KVARTAL 2</w:t>
            </w:r>
          </w:p>
        </w:tc>
        <w:tc>
          <w:tcPr>
            <w:tcW w:w="700" w:type="dxa"/>
            <w:shd w:val="clear" w:color="auto" w:fill="C4EFCE"/>
            <w:vAlign w:val="center"/>
          </w:tcPr>
          <w:p w14:paraId="07B859C8" w14:textId="44A10FA7" w:rsidR="00E040FD" w:rsidRDefault="00740D64">
            <w:pPr>
              <w:pStyle w:val="P68B1DB1-Normal12"/>
              <w:spacing w:after="0" w:line="240" w:lineRule="auto"/>
              <w:jc w:val="center"/>
              <w:rPr>
                <w:rFonts w:eastAsia="Times New Roman" w:cstheme="minorHAnsi"/>
                <w:noProof/>
              </w:rPr>
            </w:pPr>
            <w:r>
              <w:rPr>
                <w:noProof/>
              </w:rPr>
              <w:t>2026</w:t>
            </w:r>
          </w:p>
        </w:tc>
        <w:tc>
          <w:tcPr>
            <w:tcW w:w="4606" w:type="dxa"/>
            <w:shd w:val="clear" w:color="auto" w:fill="C4EFCE"/>
            <w:vAlign w:val="center"/>
          </w:tcPr>
          <w:p w14:paraId="4659094D" w14:textId="2882B7AB" w:rsidR="00E040FD" w:rsidRDefault="00740D64">
            <w:pPr>
              <w:pStyle w:val="P68B1DB1-Normal12"/>
              <w:spacing w:after="0" w:line="240" w:lineRule="auto"/>
              <w:jc w:val="both"/>
              <w:rPr>
                <w:rFonts w:eastAsia="Times New Roman" w:cstheme="minorHAnsi"/>
                <w:noProof/>
              </w:rPr>
            </w:pPr>
            <w:r>
              <w:rPr>
                <w:noProof/>
              </w:rPr>
              <w:t xml:space="preserve">Antal bostäder som levererats till stödberättigade hushåll inom ramen för programmet. Nya byggnader ska ha ett primärenergibehov som är minst 20 % lägre än kraven för nära-nollenergibyggnader. För rehabilitering är referensenheten per bostad 73 kvadratmeter, för nybyggnation 95 kvadratmeter för de 3 640 bostäderna.  </w:t>
            </w:r>
          </w:p>
        </w:tc>
      </w:tr>
    </w:tbl>
    <w:p w14:paraId="3369A928" w14:textId="77777777" w:rsidR="00E040FD" w:rsidRDefault="00E040FD">
      <w:pPr>
        <w:spacing w:before="40" w:after="0" w:line="259" w:lineRule="auto"/>
        <w:jc w:val="both"/>
        <w:rPr>
          <w:rFonts w:ascii="Times New Roman" w:eastAsiaTheme="minorEastAsia" w:hAnsi="Times New Roman" w:cs="Times New Roman"/>
          <w:noProof/>
          <w:sz w:val="24"/>
        </w:rPr>
        <w:sectPr w:rsidR="00E040FD" w:rsidSect="00E00EDD">
          <w:headerReference w:type="even" r:id="rId66"/>
          <w:headerReference w:type="default" r:id="rId67"/>
          <w:footerReference w:type="even" r:id="rId68"/>
          <w:footerReference w:type="default" r:id="rId69"/>
          <w:headerReference w:type="first" r:id="rId70"/>
          <w:footerReference w:type="first" r:id="rId71"/>
          <w:pgSz w:w="16839" w:h="11907" w:orient="landscape"/>
          <w:pgMar w:top="1134" w:right="1134" w:bottom="1134" w:left="1134" w:header="567" w:footer="567" w:gutter="0"/>
          <w:cols w:space="720"/>
          <w:docGrid w:linePitch="360"/>
        </w:sectPr>
      </w:pPr>
    </w:p>
    <w:p w14:paraId="778B2B3C"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C. KOMPONENT 3: Sociala insatser</w:t>
      </w:r>
    </w:p>
    <w:p w14:paraId="3106967B"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Portugal har under många år stått inför viktiga demografiska och socioekonomiska utmaningar som har förstärkts av covid-19-pandemin. Denna del av Portugals återhämtnings- och resiliensplan tar itu med följande utmaningar: befolkningens åldrande, rättigheter för personer med funktionsnedsättning och andra personer med beroendeställning och situationer av fattigdom och social utestängning bland missgynnade grupper och grupper. </w:t>
      </w:r>
    </w:p>
    <w:p w14:paraId="64C7C5E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 detta sammanhang tar denna del upp strukturella socialpolitiska utmaningar och brister i täckningen av sociala tjänster för behövande befolkningsgrupper och regioner, både på det portugisiska fastlandet och i de autonoma regionerna Azorerna och Madeira. </w:t>
      </w:r>
    </w:p>
    <w:p w14:paraId="5F00D562" w14:textId="77777777" w:rsidR="00E040FD" w:rsidRDefault="00740D64">
      <w:pPr>
        <w:pStyle w:val="P68B1DB1-Normal4"/>
        <w:keepNext/>
        <w:spacing w:before="40" w:after="0" w:line="259" w:lineRule="auto"/>
        <w:jc w:val="both"/>
        <w:rPr>
          <w:rFonts w:eastAsiaTheme="minorEastAsia" w:cs="Times New Roman"/>
          <w:noProof/>
        </w:rPr>
      </w:pPr>
      <w:r>
        <w:rPr>
          <w:noProof/>
        </w:rPr>
        <w:t>De viktigaste målen för komponenten är följande: i) förbättra den sociala omsorgen och säkerställa bättre territoriell täckning, II) Stärka och utvidga nätverket av sociala lösningar med innovativa lösningar och pilotprojekt och insatser. III) utveckla nya samhällsbaserade stödåtgärder som bidrar till att främja ett självständigt liv, förebygga beroende och utveckla åtgärder för icke-institutionalisering i linje med FN:s konvention om rättigheter för personer med funktionsnedsättning. IV) säkerställa tillgång till ett inkluderande liv och deltagande i samhället och ekonomin för personer med funktionsnedsättning. och v) främja fattigdomsutrotning genom att utveckla en allomfattande nationell strategi med inriktning på de mest utsatta och missgynnade befolkningsgrupperna.</w:t>
      </w:r>
    </w:p>
    <w:p w14:paraId="3E070AF6" w14:textId="6383616C" w:rsidR="00E040FD" w:rsidRDefault="00740D64">
      <w:pPr>
        <w:pStyle w:val="P68B1DB1-Normal4"/>
        <w:keepNext/>
        <w:spacing w:before="40" w:after="0" w:line="259" w:lineRule="auto"/>
        <w:jc w:val="both"/>
        <w:rPr>
          <w:rFonts w:eastAsiaTheme="minorEastAsia" w:cs="Times New Roman"/>
          <w:noProof/>
        </w:rPr>
      </w:pPr>
      <w:r>
        <w:rPr>
          <w:noProof/>
        </w:rPr>
        <w:t>Komponenten stöder genomförandet av den landsspecifika rekommendationen om att stärka hälso- och sjukvårdssystemets resiliens och säkerställa lika tillgång till hälso- och sjukvård och långvarig vård och omsorg av god kvalitet (landsspecifik rekommendation 1 2020). Dessutom bidrar det till att följa den landsspecifika rekommendationen om att förbättra det sociala skyddsnätets effektivitet och tillräcklighet och om att höja befolkningens kompetensnivå (landsspecifik rekommendation 2 2019), garantera tillräckligt socialt skydd och tillräckligt inkomststöd och säkerställa lika tillgång till utbildning av god kvalitet (landsspecifik rekommendation 2 2020) och förbättra effektiviteten i det portugisiska systemet för socialt skydd, särskilt genom att förenkla ramen (de landsspecifika rekommendationerna 1 2022 och 2023). Komponenten stöder också indirekt genomförandet av den landsspecifika rekommendationen om att fokusera investeringar på den gröna och digitala omställningen (landsspecifik rekommendation 3 2020).</w:t>
      </w:r>
    </w:p>
    <w:p w14:paraId="2F3C4A99"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komponent förväntas bidra till både den gröna och den digitala omställningen. Projekt som rör uppförande, utvidgning och renovering av anläggningar för sociala åtgärder ska inriktas på energieffektivitet, användning av förnybar energi för egenförbrukning och minskning av energi- och bränslekostnader. Miljödimensionerna ska införlivas genom främjande av nybyggnation med höga standarder för energieffektivitet. Dessutom ska de berörda enheterna vara utrustade med utsläppsfria lätta fordon. Slutligen omfattar denna del åtgärder som ökar användningen av digitala verktyg, särskilt genom de sociala tjänster som ger stöd till äldre och från regeringen genom att skapa IKT-verktyg och e-tjänster som riktar sig till personer med funktionsnedsättning. </w:t>
      </w:r>
    </w:p>
    <w:p w14:paraId="37069125" w14:textId="77777777" w:rsidR="00E040FD" w:rsidRDefault="00740D64">
      <w:pPr>
        <w:pStyle w:val="P68B1DB1-Normal4"/>
        <w:keepNext/>
        <w:spacing w:before="40" w:after="0" w:line="259" w:lineRule="auto"/>
        <w:jc w:val="both"/>
        <w:rPr>
          <w:rFonts w:eastAsiaTheme="minorEastAsia" w:cs="Times New Roman"/>
          <w:noProof/>
        </w:rPr>
      </w:pPr>
      <w:r>
        <w:rPr>
          <w:noProof/>
        </w:rPr>
        <w:t>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w:t>
      </w:r>
    </w:p>
    <w:p w14:paraId="11FB0FD0"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679A4A18" w14:textId="77777777"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C.1 Beskrivning av reformer och investeringar för icke återbetalningspliktigt ekonomiskt stöd</w:t>
      </w:r>
    </w:p>
    <w:p w14:paraId="25196904"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 xml:space="preserve">Reform RE-r05: Försörjningsreformen av anläggningar och sociala insatser </w:t>
      </w:r>
    </w:p>
    <w:p w14:paraId="5ADE8050" w14:textId="77777777" w:rsidR="00E040FD" w:rsidRDefault="00740D64">
      <w:pPr>
        <w:pStyle w:val="P68B1DB1-Normal4"/>
        <w:keepNext/>
        <w:spacing w:before="40" w:after="0" w:line="259" w:lineRule="auto"/>
        <w:jc w:val="both"/>
        <w:rPr>
          <w:rFonts w:eastAsia="Times New Roman" w:cs="Times New Roman"/>
          <w:noProof/>
        </w:rPr>
      </w:pPr>
      <w:r>
        <w:rPr>
          <w:noProof/>
        </w:rPr>
        <w:t>Syftet med denna åtgärd är att utvidga, uppgradera och återställa det sociala tjänstenätet och de faciliteter som tillhandahålls av offentliga och privata sociala institutioner. Åtgärden riktar sig särskilt till utsatta grupper i ekonomiskt, socialt och hälsomässigt hänseende, såsom personer och familjer som lever i fattigdom eller med låg inkomst, äldre och personer i beroendeställning, personer med funktionsnedsättning samt barn och ungdomar. Dessutom ska de integrerade insatser för hälsostöd och socialt stöd som föreskrivs i denna åtgärd främja oberoendet för personer i beroendeställning genom rehabilitering och social återanpassning i linje med Förenta nationernas konvention om rättigheter för personer med funktionsnedsättning</w:t>
      </w:r>
      <w:r>
        <w:rPr>
          <w:noProof/>
        </w:rPr>
        <w:footnoteReference w:id="2"/>
      </w:r>
      <w:r>
        <w:rPr>
          <w:noProof/>
        </w:rPr>
        <w:t xml:space="preserve"> och den europeiska strategin för rättigheter för personer med funktionsnedsättning 2021–2030</w:t>
      </w:r>
      <w:r>
        <w:rPr>
          <w:noProof/>
        </w:rPr>
        <w:footnoteReference w:id="3"/>
      </w:r>
      <w:r>
        <w:rPr>
          <w:noProof/>
        </w:rPr>
        <w:t xml:space="preserve"> och grönboken om åldrande – Att främja solidaritet och ansvar mellan generationerna</w:t>
      </w:r>
      <w:r>
        <w:rPr>
          <w:noProof/>
        </w:rPr>
        <w:footnoteReference w:id="4"/>
      </w:r>
      <w:r>
        <w:rPr>
          <w:noProof/>
        </w:rPr>
        <w:t xml:space="preserve">. </w:t>
      </w:r>
    </w:p>
    <w:p w14:paraId="036C6475" w14:textId="77777777" w:rsidR="00E040FD" w:rsidRDefault="00740D64">
      <w:pPr>
        <w:pStyle w:val="P68B1DB1-Normal4"/>
        <w:keepNext/>
        <w:spacing w:before="40" w:after="0" w:line="259" w:lineRule="auto"/>
        <w:jc w:val="both"/>
        <w:rPr>
          <w:rFonts w:eastAsia="Times New Roman" w:cs="Times New Roman"/>
          <w:noProof/>
        </w:rPr>
      </w:pPr>
      <w:r>
        <w:rPr>
          <w:noProof/>
        </w:rPr>
        <w:t xml:space="preserve">Denna reform ska bestå av lanseringen av programmet för en ny generation av utrustning och sociala insatser genom ikraftträdandet av förenklingen av installationssystemet för social utrustning. Programmet ska inriktas på åtgärder som </w:t>
      </w:r>
    </w:p>
    <w:p w14:paraId="70568603" w14:textId="77777777" w:rsidR="00E040FD" w:rsidRDefault="00740D64">
      <w:pPr>
        <w:pStyle w:val="P68B1DB1-Normal4"/>
        <w:keepNext/>
        <w:numPr>
          <w:ilvl w:val="0"/>
          <w:numId w:val="62"/>
        </w:numPr>
        <w:spacing w:before="40" w:after="160" w:line="259" w:lineRule="auto"/>
        <w:contextualSpacing/>
        <w:jc w:val="both"/>
        <w:rPr>
          <w:rFonts w:eastAsia="Times New Roman" w:cs="Times New Roman"/>
          <w:noProof/>
        </w:rPr>
      </w:pPr>
      <w:r>
        <w:rPr>
          <w:noProof/>
        </w:rPr>
        <w:t>Förbättra den sociala omsorgen och individanpassade tjänster på äldreboenden efter en behovsbedömning.</w:t>
      </w:r>
    </w:p>
    <w:p w14:paraId="4260130E" w14:textId="77777777" w:rsidR="00E040FD" w:rsidRDefault="00740D64">
      <w:pPr>
        <w:pStyle w:val="P68B1DB1-Normal4"/>
        <w:keepNext/>
        <w:numPr>
          <w:ilvl w:val="0"/>
          <w:numId w:val="62"/>
        </w:numPr>
        <w:spacing w:before="40" w:after="160" w:line="259" w:lineRule="auto"/>
        <w:contextualSpacing/>
        <w:jc w:val="both"/>
        <w:rPr>
          <w:rFonts w:eastAsia="Times New Roman" w:cs="Times New Roman"/>
          <w:noProof/>
        </w:rPr>
      </w:pPr>
      <w:r>
        <w:rPr>
          <w:noProof/>
        </w:rPr>
        <w:t>Främja licensiering och/eller reglering av europeiska forskningsinfrastrukturer utanför det officiella systemet.</w:t>
      </w:r>
    </w:p>
    <w:p w14:paraId="7AC7E490" w14:textId="77777777" w:rsidR="00E040FD" w:rsidRDefault="00740D64">
      <w:pPr>
        <w:pStyle w:val="P68B1DB1-Normal4"/>
        <w:keepNext/>
        <w:numPr>
          <w:ilvl w:val="0"/>
          <w:numId w:val="62"/>
        </w:numPr>
        <w:spacing w:before="40" w:after="160" w:line="259" w:lineRule="auto"/>
        <w:contextualSpacing/>
        <w:jc w:val="both"/>
        <w:rPr>
          <w:rFonts w:eastAsia="Times New Roman" w:cs="Times New Roman"/>
          <w:noProof/>
        </w:rPr>
      </w:pPr>
      <w:r>
        <w:rPr>
          <w:noProof/>
        </w:rPr>
        <w:t xml:space="preserve">Se över den rättsliga ramen för licensiering av sociala inrättningar, </w:t>
      </w:r>
    </w:p>
    <w:p w14:paraId="61985867" w14:textId="77777777" w:rsidR="00E040FD" w:rsidRDefault="00740D64">
      <w:pPr>
        <w:pStyle w:val="P68B1DB1-Normal4"/>
        <w:keepNext/>
        <w:numPr>
          <w:ilvl w:val="0"/>
          <w:numId w:val="62"/>
        </w:numPr>
        <w:spacing w:before="40" w:after="160" w:line="259" w:lineRule="auto"/>
        <w:contextualSpacing/>
        <w:jc w:val="both"/>
        <w:rPr>
          <w:rFonts w:eastAsia="Times New Roman" w:cs="Times New Roman"/>
          <w:noProof/>
        </w:rPr>
      </w:pPr>
      <w:r>
        <w:rPr>
          <w:noProof/>
        </w:rPr>
        <w:t>Främjande av innovativa sociala lösningar såsom småskaliga samverkande bostäder.</w:t>
      </w:r>
    </w:p>
    <w:p w14:paraId="2C845D6E" w14:textId="77777777" w:rsidR="00E040FD" w:rsidRDefault="00740D64">
      <w:pPr>
        <w:pStyle w:val="P68B1DB1-Normal4"/>
        <w:keepNext/>
        <w:numPr>
          <w:ilvl w:val="0"/>
          <w:numId w:val="62"/>
        </w:numPr>
        <w:spacing w:before="40" w:after="160" w:line="259" w:lineRule="auto"/>
        <w:contextualSpacing/>
        <w:jc w:val="both"/>
        <w:rPr>
          <w:rFonts w:eastAsia="Times New Roman" w:cs="Times New Roman"/>
          <w:noProof/>
        </w:rPr>
      </w:pPr>
      <w:r>
        <w:rPr>
          <w:noProof/>
        </w:rPr>
        <w:t>Utveckla en innovativ modell för stöd till hemmet,</w:t>
      </w:r>
    </w:p>
    <w:p w14:paraId="6D012205" w14:textId="77777777" w:rsidR="00E040FD" w:rsidRDefault="00740D64">
      <w:pPr>
        <w:pStyle w:val="P68B1DB1-Normal4"/>
        <w:keepNext/>
        <w:numPr>
          <w:ilvl w:val="0"/>
          <w:numId w:val="62"/>
        </w:numPr>
        <w:spacing w:before="40" w:after="160" w:line="259" w:lineRule="auto"/>
        <w:contextualSpacing/>
        <w:jc w:val="both"/>
        <w:rPr>
          <w:rFonts w:eastAsia="Times New Roman" w:cs="Times New Roman"/>
          <w:noProof/>
        </w:rPr>
      </w:pPr>
      <w:r>
        <w:rPr>
          <w:noProof/>
        </w:rPr>
        <w:t>Stärka det sociala stödet till människor som befinner sig i en situation av social isolering genom inrättande av tvärvetenskapliga grupper och en mekanism för kartläggning och övervakning av socialt utsatta situationer (sociala Radarprojekt).</w:t>
      </w:r>
    </w:p>
    <w:p w14:paraId="5F830A95" w14:textId="77777777" w:rsidR="00E040FD" w:rsidRDefault="00740D64">
      <w:pPr>
        <w:pStyle w:val="P68B1DB1-Normal4"/>
        <w:keepNext/>
        <w:numPr>
          <w:ilvl w:val="0"/>
          <w:numId w:val="62"/>
        </w:numPr>
        <w:spacing w:before="40" w:after="160" w:line="259" w:lineRule="auto"/>
        <w:contextualSpacing/>
        <w:jc w:val="both"/>
        <w:rPr>
          <w:rFonts w:eastAsia="Times New Roman" w:cs="Times New Roman"/>
          <w:noProof/>
        </w:rPr>
      </w:pPr>
      <w:r>
        <w:rPr>
          <w:noProof/>
        </w:rPr>
        <w:t>Öka antalet anställda och kvaliteten på tillhandahållandet av sociala tjänster, främst i områden med låg täckning.</w:t>
      </w:r>
    </w:p>
    <w:p w14:paraId="4139DE34" w14:textId="77777777" w:rsidR="00E040FD" w:rsidRDefault="00740D64">
      <w:pPr>
        <w:pStyle w:val="P68B1DB1-Normal4"/>
        <w:keepNext/>
        <w:numPr>
          <w:ilvl w:val="0"/>
          <w:numId w:val="62"/>
        </w:numPr>
        <w:spacing w:before="40" w:after="160" w:line="259" w:lineRule="auto"/>
        <w:contextualSpacing/>
        <w:jc w:val="both"/>
        <w:rPr>
          <w:rFonts w:eastAsia="Times New Roman" w:cs="Times New Roman"/>
          <w:noProof/>
        </w:rPr>
      </w:pPr>
      <w:r>
        <w:rPr>
          <w:noProof/>
        </w:rPr>
        <w:t>Stärka sociala tjänster och stöd som riktar sig till personer med funktionsnedsättning eller beroendeställning och främja deras självständighet och självständiga liv.</w:t>
      </w:r>
    </w:p>
    <w:p w14:paraId="640E5631" w14:textId="77777777" w:rsidR="00E040FD" w:rsidRDefault="00740D64">
      <w:pPr>
        <w:pStyle w:val="P68B1DB1-Normal4"/>
        <w:keepNext/>
        <w:spacing w:before="40" w:after="0" w:line="259" w:lineRule="auto"/>
        <w:jc w:val="both"/>
        <w:rPr>
          <w:rFonts w:eastAsia="Times New Roman" w:cs="Times New Roman"/>
          <w:noProof/>
        </w:rPr>
      </w:pPr>
      <w:r>
        <w:rPr>
          <w:noProof/>
        </w:rPr>
        <w:t xml:space="preserve">Investering RE-C03-i01 – Ny generation av utrustning och sociala lösningar ska bidra till genomförandet av reformen. </w:t>
      </w:r>
    </w:p>
    <w:p w14:paraId="150D85D2" w14:textId="77777777" w:rsidR="00E040FD" w:rsidRDefault="00740D64">
      <w:pPr>
        <w:pStyle w:val="P68B1DB1-Normal4"/>
        <w:keepNext/>
        <w:spacing w:before="40" w:after="0" w:line="259" w:lineRule="auto"/>
        <w:jc w:val="both"/>
        <w:rPr>
          <w:rFonts w:eastAsia="Times New Roman" w:cs="Times New Roman"/>
          <w:noProof/>
        </w:rPr>
      </w:pPr>
      <w:r>
        <w:rPr>
          <w:noProof/>
        </w:rPr>
        <w:t>Delmålet för genomförandet av reformen ska vara slutfört senast den 31 december 2021.</w:t>
      </w:r>
    </w:p>
    <w:p w14:paraId="42D391F8"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Reform RE-r06: Nationell strategi för inkludering av personer med funktionsnedsättning 2021–2025</w:t>
      </w:r>
    </w:p>
    <w:p w14:paraId="4993B847" w14:textId="77777777" w:rsidR="00E040FD" w:rsidRDefault="00740D64">
      <w:pPr>
        <w:pStyle w:val="P68B1DB1-Normal4"/>
        <w:keepNext/>
        <w:spacing w:before="40" w:after="0" w:line="259" w:lineRule="auto"/>
        <w:jc w:val="both"/>
        <w:rPr>
          <w:rFonts w:eastAsia="Times New Roman" w:cs="Times New Roman"/>
          <w:noProof/>
        </w:rPr>
      </w:pPr>
      <w:r>
        <w:rPr>
          <w:noProof/>
        </w:rPr>
        <w:t>Syftet med denna åtgärd är att underlätta och fördjupa inkluderingen av personer med funktionsnedsättning på livets alla områden, främja deras självständighet, oberoende och självbestämmande samt säkerställa lika möjligheter för alla medborgare, oavsett deras förmåga.</w:t>
      </w:r>
    </w:p>
    <w:p w14:paraId="431145D2" w14:textId="77777777" w:rsidR="00E040FD" w:rsidRDefault="00740D64">
      <w:pPr>
        <w:pStyle w:val="P68B1DB1-Normal4"/>
        <w:keepNext/>
        <w:spacing w:before="40" w:after="0" w:line="259" w:lineRule="auto"/>
        <w:jc w:val="both"/>
        <w:rPr>
          <w:rFonts w:eastAsia="Times New Roman" w:cs="Times New Roman"/>
          <w:noProof/>
        </w:rPr>
      </w:pPr>
      <w:r>
        <w:rPr>
          <w:noProof/>
        </w:rPr>
        <w:t>Reformen består av antagandet av den nationella strategin för inkludering av personer med funktionsnedsättning 2021–2025. Strategin återspeglar åtagandena i Förenta nationernas konvention om rättigheter för personer med funktionsnedsättning</w:t>
      </w:r>
      <w:r>
        <w:rPr>
          <w:noProof/>
        </w:rPr>
        <w:footnoteReference w:id="5"/>
      </w:r>
      <w:r>
        <w:rPr>
          <w:noProof/>
        </w:rPr>
        <w:t xml:space="preserve"> och ska göra det möjligt att vidta en rad åtgärder, såsom</w:t>
      </w:r>
    </w:p>
    <w:p w14:paraId="747E1C23" w14:textId="77777777" w:rsidR="00E040FD" w:rsidRDefault="00740D64">
      <w:pPr>
        <w:pStyle w:val="P68B1DB1-Normal4"/>
        <w:keepNext/>
        <w:numPr>
          <w:ilvl w:val="0"/>
          <w:numId w:val="63"/>
        </w:numPr>
        <w:spacing w:before="40" w:after="160" w:line="259" w:lineRule="auto"/>
        <w:contextualSpacing/>
        <w:jc w:val="both"/>
        <w:rPr>
          <w:rFonts w:eastAsia="Times New Roman" w:cs="Times New Roman"/>
          <w:noProof/>
        </w:rPr>
      </w:pPr>
      <w:r>
        <w:rPr>
          <w:noProof/>
        </w:rPr>
        <w:t xml:space="preserve">Omformulering av det nuvarande regelverket när så är nödvändigt. </w:t>
      </w:r>
    </w:p>
    <w:p w14:paraId="250A5CFC" w14:textId="77777777" w:rsidR="00E040FD" w:rsidRDefault="00740D64">
      <w:pPr>
        <w:pStyle w:val="P68B1DB1-Normal4"/>
        <w:keepNext/>
        <w:numPr>
          <w:ilvl w:val="0"/>
          <w:numId w:val="63"/>
        </w:numPr>
        <w:spacing w:before="40" w:after="160" w:line="259" w:lineRule="auto"/>
        <w:contextualSpacing/>
        <w:jc w:val="both"/>
        <w:rPr>
          <w:rFonts w:eastAsia="Times New Roman" w:cs="Times New Roman"/>
          <w:noProof/>
        </w:rPr>
      </w:pPr>
      <w:r>
        <w:rPr>
          <w:noProof/>
        </w:rPr>
        <w:t>Omformulering av systemet för bedömning och utfärdande av intyg om funktionsnedsättning,</w:t>
      </w:r>
    </w:p>
    <w:p w14:paraId="199DE32D" w14:textId="77777777" w:rsidR="00E040FD" w:rsidRDefault="00740D64">
      <w:pPr>
        <w:pStyle w:val="P68B1DB1-Normal4"/>
        <w:keepNext/>
        <w:numPr>
          <w:ilvl w:val="0"/>
          <w:numId w:val="63"/>
        </w:numPr>
        <w:spacing w:before="40" w:after="160" w:line="259" w:lineRule="auto"/>
        <w:contextualSpacing/>
        <w:jc w:val="both"/>
        <w:rPr>
          <w:rFonts w:eastAsia="Times New Roman" w:cs="Times New Roman"/>
          <w:noProof/>
        </w:rPr>
      </w:pPr>
      <w:r>
        <w:rPr>
          <w:noProof/>
        </w:rPr>
        <w:t>En heltäckande diagnos av personer med funktionsnedsättning genom utveckling av system för datainsamling och övervakning av indikatorer till stöd för beslutsfattandet.</w:t>
      </w:r>
    </w:p>
    <w:p w14:paraId="5920EE97" w14:textId="77777777" w:rsidR="00E040FD" w:rsidRDefault="00740D64">
      <w:pPr>
        <w:pStyle w:val="P68B1DB1-Normal4"/>
        <w:keepNext/>
        <w:numPr>
          <w:ilvl w:val="0"/>
          <w:numId w:val="63"/>
        </w:numPr>
        <w:spacing w:before="40" w:after="160" w:line="259" w:lineRule="auto"/>
        <w:contextualSpacing/>
        <w:jc w:val="both"/>
        <w:rPr>
          <w:rFonts w:eastAsia="Times New Roman" w:cs="Times New Roman"/>
          <w:noProof/>
        </w:rPr>
      </w:pPr>
      <w:r>
        <w:rPr>
          <w:noProof/>
        </w:rPr>
        <w:t>Insatser på offentliga platser för att underlätta tillgången för personer med funktionsnedsättning.</w:t>
      </w:r>
    </w:p>
    <w:p w14:paraId="5F6E0E5D" w14:textId="77777777" w:rsidR="00E040FD" w:rsidRDefault="00740D64">
      <w:pPr>
        <w:pStyle w:val="P68B1DB1-Normal4"/>
        <w:keepNext/>
        <w:numPr>
          <w:ilvl w:val="0"/>
          <w:numId w:val="63"/>
        </w:numPr>
        <w:spacing w:before="40" w:after="160" w:line="259" w:lineRule="auto"/>
        <w:contextualSpacing/>
        <w:jc w:val="both"/>
        <w:rPr>
          <w:rFonts w:eastAsia="Times New Roman" w:cs="Times New Roman"/>
          <w:noProof/>
        </w:rPr>
      </w:pPr>
      <w:r>
        <w:rPr>
          <w:noProof/>
        </w:rPr>
        <w:t>Anpassning av utbildnings-, sysselsättnings- och kvalifikationssystemen för personer med funktionsnedsättning,</w:t>
      </w:r>
    </w:p>
    <w:p w14:paraId="1C29FB20" w14:textId="77777777" w:rsidR="00E040FD" w:rsidRDefault="00740D64">
      <w:pPr>
        <w:pStyle w:val="P68B1DB1-Normal4"/>
        <w:keepNext/>
        <w:numPr>
          <w:ilvl w:val="0"/>
          <w:numId w:val="63"/>
        </w:numPr>
        <w:spacing w:before="40" w:after="160" w:line="259" w:lineRule="auto"/>
        <w:contextualSpacing/>
        <w:jc w:val="both"/>
        <w:rPr>
          <w:rFonts w:eastAsia="Times New Roman" w:cs="Times New Roman"/>
          <w:noProof/>
        </w:rPr>
      </w:pPr>
      <w:r>
        <w:rPr>
          <w:noProof/>
        </w:rPr>
        <w:t>Utveckling av innovativa sociala tjänster och samhällsbaserade strategier.</w:t>
      </w:r>
    </w:p>
    <w:p w14:paraId="1193BF56" w14:textId="77777777" w:rsidR="00E040FD" w:rsidRDefault="00740D64">
      <w:pPr>
        <w:pStyle w:val="P68B1DB1-Normal4"/>
        <w:keepNext/>
        <w:numPr>
          <w:ilvl w:val="0"/>
          <w:numId w:val="63"/>
        </w:numPr>
        <w:spacing w:before="40" w:after="160" w:line="259" w:lineRule="auto"/>
        <w:contextualSpacing/>
        <w:jc w:val="both"/>
        <w:rPr>
          <w:rFonts w:eastAsia="Times New Roman" w:cs="Times New Roman"/>
          <w:noProof/>
        </w:rPr>
      </w:pPr>
      <w:r>
        <w:rPr>
          <w:noProof/>
        </w:rPr>
        <w:t>Deltagande av personer med funktionsnedsättning i idrott, kultur och fritidsaktiviteter.</w:t>
      </w:r>
    </w:p>
    <w:p w14:paraId="6C200F5F" w14:textId="77777777" w:rsidR="00E040FD" w:rsidRDefault="00740D64">
      <w:pPr>
        <w:pStyle w:val="P68B1DB1-Normal4"/>
        <w:keepNext/>
        <w:numPr>
          <w:ilvl w:val="0"/>
          <w:numId w:val="63"/>
        </w:numPr>
        <w:spacing w:before="40" w:after="160" w:line="259" w:lineRule="auto"/>
        <w:contextualSpacing/>
        <w:jc w:val="both"/>
        <w:rPr>
          <w:rFonts w:eastAsia="Times New Roman" w:cs="Times New Roman"/>
          <w:noProof/>
        </w:rPr>
      </w:pPr>
      <w:r>
        <w:rPr>
          <w:noProof/>
        </w:rPr>
        <w:t>Utvidgningen av stödmodellen för ett självständigt liv, som ger personlig assistans till personer med funktionsnedsättning.</w:t>
      </w:r>
    </w:p>
    <w:p w14:paraId="24FA9424" w14:textId="77777777" w:rsidR="00E040FD" w:rsidRDefault="00740D64">
      <w:pPr>
        <w:pStyle w:val="P68B1DB1-Normal4"/>
        <w:keepNext/>
        <w:spacing w:before="40" w:after="0" w:line="259" w:lineRule="auto"/>
        <w:jc w:val="both"/>
        <w:rPr>
          <w:rFonts w:eastAsia="Times New Roman" w:cs="Times New Roman"/>
          <w:noProof/>
        </w:rPr>
      </w:pPr>
      <w:r>
        <w:rPr>
          <w:noProof/>
        </w:rPr>
        <w:t xml:space="preserve">Investeringar RE-C03-i02: Tillgänglighet 360° och RE-C03-i05: Plattform och tillgång samt investering RE-C01-i02: Det nationella nätverket för integrerad kontinuerlig vård och nationellt nätverk för förebyggande vård och omsorg ska bidra till genomförandet av reformen. </w:t>
      </w:r>
    </w:p>
    <w:p w14:paraId="3C1200D2" w14:textId="77777777" w:rsidR="00E040FD" w:rsidRDefault="00740D64">
      <w:pPr>
        <w:pStyle w:val="P68B1DB1-Normal4"/>
        <w:keepNext/>
        <w:spacing w:before="40" w:after="0" w:line="259" w:lineRule="auto"/>
        <w:jc w:val="both"/>
        <w:rPr>
          <w:rFonts w:eastAsia="Times New Roman" w:cs="Times New Roman"/>
          <w:noProof/>
        </w:rPr>
      </w:pPr>
      <w:r>
        <w:rPr>
          <w:noProof/>
        </w:rPr>
        <w:t>Delmålet för genomförandet av reformen ska vara slutfört senast den 31 december 2021.</w:t>
      </w:r>
    </w:p>
    <w:p w14:paraId="19B646AB"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Reform RE-r07: Upphandling av integrerade stödprogram för missgynnade samhällen i storstadsområden</w:t>
      </w:r>
    </w:p>
    <w:p w14:paraId="00C1C173"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åtgärd är att bekämpa fattigdom och social utestängning i de mest missgynnade kommunerna i storstadsområdena Lissabon och Porto. </w:t>
      </w:r>
    </w:p>
    <w:p w14:paraId="24271C84"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reform ska bestå av en uppsättning integrerade pilotåtgärder som ska utvecklas efter en bedömning och identifiering av särskilda samhällsbehov. Efter denna diagnosfas ska de integrerade insatserna utformas och inriktas på två områden: </w:t>
      </w:r>
    </w:p>
    <w:p w14:paraId="0B7DAF3A" w14:textId="77777777" w:rsidR="00E040FD" w:rsidRDefault="00740D64">
      <w:pPr>
        <w:pStyle w:val="P68B1DB1-Normal4"/>
        <w:keepNext/>
        <w:numPr>
          <w:ilvl w:val="0"/>
          <w:numId w:val="52"/>
        </w:numPr>
        <w:spacing w:before="40" w:after="160" w:line="259" w:lineRule="auto"/>
        <w:contextualSpacing/>
        <w:jc w:val="both"/>
        <w:rPr>
          <w:rFonts w:eastAsiaTheme="minorEastAsia" w:cs="Times New Roman"/>
          <w:noProof/>
        </w:rPr>
      </w:pPr>
      <w:r>
        <w:rPr>
          <w:noProof/>
        </w:rPr>
        <w:t>Insatser i offentliga lokaler och social infrastruktur såsom daghem och grundskolor, hälso- och sjukvårdsinrättningar och inrättningar för sociala och kulturella evenemang, workshoppar och/eller utbildningskurser. och</w:t>
      </w:r>
    </w:p>
    <w:p w14:paraId="6FB7F6AF" w14:textId="423D580E" w:rsidR="00E040FD" w:rsidRDefault="00740D64">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Insatser av immateriellt slag för att främja social sammanhållning, till exempel genom att aktivt involvera lokalsamhällena i utformningen och genomförandet, främja entreprenörskap hos små och lokala företag, utforma projekt för att bekämpa misslyckad skolgång och avhopp från skolan, erbjuda yrkesutbildning och främja idrott. </w:t>
      </w:r>
    </w:p>
    <w:p w14:paraId="7F7F7904"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reform ska underbyggas och struktureras i linje med Portugals första nationella strategi någonsin för att bekämpa fattigdom och de tematiska insatser för särskilda grupper som anges i den. </w:t>
      </w:r>
    </w:p>
    <w:p w14:paraId="5852842A" w14:textId="77777777" w:rsidR="00E040FD" w:rsidRDefault="00740D64">
      <w:pPr>
        <w:pStyle w:val="P68B1DB1-Normal4"/>
        <w:keepNext/>
        <w:spacing w:before="40" w:after="0" w:line="259" w:lineRule="auto"/>
        <w:jc w:val="both"/>
        <w:rPr>
          <w:rFonts w:eastAsiaTheme="minorEastAsia" w:cs="Times New Roman"/>
          <w:noProof/>
        </w:rPr>
      </w:pPr>
      <w:r>
        <w:rPr>
          <w:noProof/>
        </w:rPr>
        <w:t>Reformen ska genomföras genom investering RE-C03-i06 – Integrerade insatser i missgynnade samhällen i storstadsområdena Lissabon och Porto.</w:t>
      </w:r>
    </w:p>
    <w:p w14:paraId="70A526E2" w14:textId="77777777" w:rsidR="00E040FD" w:rsidRDefault="00740D64">
      <w:pPr>
        <w:pStyle w:val="P68B1DB1-Normal4"/>
        <w:keepNext/>
        <w:spacing w:before="40" w:after="0" w:line="259" w:lineRule="auto"/>
        <w:jc w:val="both"/>
        <w:rPr>
          <w:rFonts w:eastAsiaTheme="minorEastAsia" w:cs="Times New Roman"/>
          <w:noProof/>
        </w:rPr>
      </w:pPr>
      <w:r>
        <w:rPr>
          <w:noProof/>
        </w:rPr>
        <w:t>Delmålet för genomförandet av reformen ska vara slutfört senast den 31 december 2021.</w:t>
      </w:r>
    </w:p>
    <w:p w14:paraId="0AD18DF6"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Reform RE-r08: Nationell strategi för bekämpning av fattigdom</w:t>
      </w:r>
    </w:p>
    <w:p w14:paraId="243FD289" w14:textId="77777777" w:rsidR="00E040FD" w:rsidRDefault="00740D64">
      <w:pPr>
        <w:pStyle w:val="P68B1DB1-Normal4"/>
        <w:keepNext/>
        <w:spacing w:before="40" w:after="0" w:line="259" w:lineRule="auto"/>
        <w:jc w:val="both"/>
        <w:rPr>
          <w:rFonts w:eastAsia="Times New Roman" w:cs="Times New Roman"/>
          <w:noProof/>
        </w:rPr>
      </w:pPr>
      <w:r>
        <w:rPr>
          <w:noProof/>
        </w:rPr>
        <w:t>Syftet med denna åtgärd är att bekämpa fattigdom genom att utveckla en flerdimensionell, integrerad, medel- och långsiktig strategi.</w:t>
      </w:r>
    </w:p>
    <w:p w14:paraId="3F7CA624" w14:textId="77777777" w:rsidR="00E040FD" w:rsidRDefault="00740D64">
      <w:pPr>
        <w:pStyle w:val="P68B1DB1-Normal4"/>
        <w:keepNext/>
        <w:spacing w:before="40" w:after="0" w:line="259" w:lineRule="auto"/>
        <w:jc w:val="both"/>
        <w:rPr>
          <w:rFonts w:eastAsia="Times New Roman" w:cs="Times New Roman"/>
          <w:noProof/>
        </w:rPr>
      </w:pPr>
      <w:r>
        <w:rPr>
          <w:noProof/>
        </w:rPr>
        <w:t>Reformen består av antagandet av den nationella strategin för bekämpning av fattigdom. Strategin ska tillhandahålla en ram för tematiska insatser som riktar sig till särskilda grupper, från barn till äldre, inbegripet de mest utsatta grupperna. Den ska fastställa villkoren för utveckling och genomförande av en integrerad politik med inriktning på den sociala utestängningens och fattigdomens särdrag på lokal nivå. Dessutom ska den också ge i uppdrag att inrätta en gemensam övervakningsram för fattigdomsrelaterade indikatorer.</w:t>
      </w:r>
    </w:p>
    <w:p w14:paraId="2BFE7AC9" w14:textId="77777777" w:rsidR="00E040FD" w:rsidRDefault="00740D64">
      <w:pPr>
        <w:pStyle w:val="P68B1DB1-Normal4"/>
        <w:keepNext/>
        <w:spacing w:before="40" w:after="0" w:line="259" w:lineRule="auto"/>
        <w:jc w:val="both"/>
        <w:rPr>
          <w:rFonts w:eastAsia="Times New Roman" w:cs="Times New Roman"/>
          <w:noProof/>
        </w:rPr>
      </w:pPr>
      <w:r>
        <w:rPr>
          <w:noProof/>
        </w:rPr>
        <w:t>InvestmentRE-C03 – i06 – Integrerade insatser i missgynnade samhällen i storstadsområdena Lissabon och Porto ska bidra till genomförandet av reformen.</w:t>
      </w:r>
    </w:p>
    <w:p w14:paraId="5CB94457" w14:textId="77777777" w:rsidR="00E040FD" w:rsidRDefault="00740D64">
      <w:pPr>
        <w:pStyle w:val="P68B1DB1-Normal4"/>
        <w:keepNext/>
        <w:spacing w:before="40" w:after="0" w:line="259" w:lineRule="auto"/>
        <w:jc w:val="both"/>
        <w:rPr>
          <w:rFonts w:eastAsiaTheme="minorEastAsia" w:cs="Times New Roman"/>
          <w:noProof/>
          <w:highlight w:val="yellow"/>
        </w:rPr>
      </w:pPr>
      <w:r>
        <w:rPr>
          <w:noProof/>
        </w:rPr>
        <w:t>Delmålet för genomförandet av reformen ska vara slutfört senast den 30 september 2021.</w:t>
      </w:r>
    </w:p>
    <w:p w14:paraId="4A7F96D8"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RE-C03-i01: Ny generation av utrustning och sociala lösningar</w:t>
      </w:r>
    </w:p>
    <w:p w14:paraId="1BCAC31F"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åtgärd är att uppgradera och utvidga nätverket för sociala omsorgstjänster för att utveckla effektivare metoder för tillhandahållande av tjänster, få större nationell territoriell täckning och förbättra arbetsvillkoren för yrkesverksamma inom dessa strukturer och kvaliteten på den vård som tillhandahålls användarna.</w:t>
      </w:r>
    </w:p>
    <w:p w14:paraId="4CAC5042" w14:textId="77777777" w:rsidR="00E040FD" w:rsidRDefault="00740D64">
      <w:pPr>
        <w:pStyle w:val="P68B1DB1-Normal4"/>
        <w:keepNext/>
        <w:spacing w:before="40" w:after="0" w:line="259" w:lineRule="auto"/>
        <w:jc w:val="both"/>
        <w:rPr>
          <w:rFonts w:eastAsiaTheme="minorEastAsia" w:cs="Times New Roman"/>
          <w:noProof/>
        </w:rPr>
      </w:pPr>
      <w:r>
        <w:rPr>
          <w:noProof/>
        </w:rPr>
        <w:t>Denna investering ska bestå av följande:</w:t>
      </w:r>
    </w:p>
    <w:p w14:paraId="098FBF35" w14:textId="77777777" w:rsidR="00E040FD" w:rsidRDefault="00740D64">
      <w:pPr>
        <w:pStyle w:val="P68B1DB1-Normal4"/>
        <w:keepNext/>
        <w:numPr>
          <w:ilvl w:val="0"/>
          <w:numId w:val="52"/>
        </w:numPr>
        <w:spacing w:before="40" w:after="160" w:line="259" w:lineRule="auto"/>
        <w:contextualSpacing/>
        <w:jc w:val="both"/>
        <w:rPr>
          <w:rFonts w:eastAsiaTheme="minorEastAsia" w:cs="Times New Roman"/>
          <w:noProof/>
        </w:rPr>
      </w:pPr>
      <w:r>
        <w:rPr>
          <w:noProof/>
        </w:rPr>
        <w:t>renovering och utbyggnad av befintliga anläggningar för sociala tjänster och uppförande av nya, såsom daghem, äldreboenden och centrum för verksamhet och egenmakt för inkludering.</w:t>
      </w:r>
    </w:p>
    <w:p w14:paraId="6AA715D0" w14:textId="4667F989" w:rsidR="00E040FD" w:rsidRDefault="00740D64">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utvidgning av de sociala svarsnätverken ”Residences for Autonomy and Inclusion and Home Support Services”, genom att öka antalet användare som skulle kunna omfattas. </w:t>
      </w:r>
    </w:p>
    <w:p w14:paraId="26FCCA4B" w14:textId="77777777" w:rsidR="00E040FD" w:rsidRDefault="00740D64">
      <w:pPr>
        <w:pStyle w:val="P68B1DB1-Normal4"/>
        <w:keepNext/>
        <w:numPr>
          <w:ilvl w:val="0"/>
          <w:numId w:val="52"/>
        </w:numPr>
        <w:spacing w:before="40" w:after="160" w:line="259" w:lineRule="auto"/>
        <w:contextualSpacing/>
        <w:jc w:val="both"/>
        <w:rPr>
          <w:rFonts w:eastAsiaTheme="minorEastAsia" w:cs="Times New Roman"/>
          <w:noProof/>
        </w:rPr>
      </w:pPr>
      <w:r>
        <w:rPr>
          <w:noProof/>
        </w:rPr>
        <w:t>utvidgning av nätverket för sociala svar med nya typologier som samboende.</w:t>
      </w:r>
    </w:p>
    <w:p w14:paraId="4AE97124" w14:textId="77777777" w:rsidR="00E040FD" w:rsidRDefault="00740D64">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inköp av teknisk och digital utrustning, inbegripet inköp av elfordon. och </w:t>
      </w:r>
    </w:p>
    <w:p w14:paraId="78A6605F" w14:textId="1354886C" w:rsidR="00E040FD" w:rsidRDefault="00740D64">
      <w:pPr>
        <w:pStyle w:val="P68B1DB1-Normal4"/>
        <w:keepNext/>
        <w:numPr>
          <w:ilvl w:val="0"/>
          <w:numId w:val="52"/>
        </w:numPr>
        <w:spacing w:before="40" w:after="160" w:line="259" w:lineRule="auto"/>
        <w:contextualSpacing/>
        <w:jc w:val="both"/>
        <w:rPr>
          <w:rFonts w:eastAsiaTheme="minorEastAsia" w:cs="Times New Roman"/>
          <w:noProof/>
        </w:rPr>
      </w:pPr>
      <w:r>
        <w:rPr>
          <w:noProof/>
        </w:rPr>
        <w:t>lanseringen av ett pilotprojekt kallat Radar Social som syftar till att på nationell nivå testa en nästan proaktiv och innovativ modell för integrerat socialt stöd. Denna modell har redan testats i Lissabons kommun och omfattar endast en målgrupp (äldre) och är nu avsedd att omfatta hela fastlandet med ett bredare tillämpningsområde när det gäller målgruppen (personer som riskerar social utestängning, med otillräckligt socialt stöd och/eller familjestöd). Projektet ska omfatta kartläggning och kartläggning av behov och andra åtgärder såsom främjande av medborgardeltagande, främjande av användningen av digitala verktyg och it-verktyg för tillgång till grundläggande samhällstjänster och främjande av idrott. För detta ändamål ska 278 grupper för sociala interventioner inrättas i kommuner på Portugals fastland. Grupperna ska ansvara för att identifiera äldre och andra utsatta personer som riskerar social utestängning och ge stöd på grundval av deras individuella behov.</w:t>
      </w:r>
    </w:p>
    <w:p w14:paraId="21CC04BD"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mars 2026.</w:t>
      </w:r>
    </w:p>
    <w:p w14:paraId="2ADE939D"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RE-C03-i02: Tillgänglighet 360°</w:t>
      </w:r>
    </w:p>
    <w:p w14:paraId="37D1B66B"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åtgärd är att förbättra tillgänglighetsvillkoren för personer med funktionsnedsättning på offentliga platser, offentliga byggnader och bostäder i hela territoriet. </w:t>
      </w:r>
    </w:p>
    <w:p w14:paraId="034FEC2F" w14:textId="77777777" w:rsidR="00E040FD" w:rsidRDefault="00740D64">
      <w:pPr>
        <w:pStyle w:val="P68B1DB1-Normal4"/>
        <w:keepNext/>
        <w:spacing w:before="40" w:after="0" w:line="259" w:lineRule="auto"/>
        <w:jc w:val="both"/>
        <w:rPr>
          <w:rFonts w:eastAsiaTheme="minorEastAsia" w:cs="Times New Roman"/>
          <w:noProof/>
        </w:rPr>
      </w:pPr>
      <w:r>
        <w:rPr>
          <w:noProof/>
        </w:rPr>
        <w:t>Denna investering ska vara helt i linje med den europeiska strategin för rättigheter för personer med funktionsnedsättning 2021–2030</w:t>
      </w:r>
      <w:r>
        <w:rPr>
          <w:noProof/>
        </w:rPr>
        <w:footnoteReference w:id="6"/>
      </w:r>
      <w:r>
        <w:rPr>
          <w:noProof/>
        </w:rPr>
        <w:t xml:space="preserve"> och ska bestå av tre delar:</w:t>
      </w:r>
    </w:p>
    <w:p w14:paraId="0E9823BC" w14:textId="1DDCDE8E" w:rsidR="00E040FD" w:rsidRDefault="00740D6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PIVP (Public Way Intervention Programme 2021–2025), som ska omfatta insatser och byggnadsarbeten på minst 200 000 m² offentliga utrymmen, t.ex. trottoarer och torg. </w:t>
      </w:r>
    </w:p>
    <w:p w14:paraId="7D9FAE99" w14:textId="77777777" w:rsidR="00E040FD" w:rsidRDefault="00740D64">
      <w:pPr>
        <w:pStyle w:val="P68B1DB1-Normal4"/>
        <w:keepNext/>
        <w:numPr>
          <w:ilvl w:val="0"/>
          <w:numId w:val="20"/>
        </w:numPr>
        <w:spacing w:before="40" w:after="160" w:line="259" w:lineRule="auto"/>
        <w:contextualSpacing/>
        <w:jc w:val="both"/>
        <w:rPr>
          <w:rFonts w:eastAsiaTheme="minorEastAsia" w:cs="Times New Roman"/>
          <w:noProof/>
        </w:rPr>
      </w:pPr>
      <w:r>
        <w:rPr>
          <w:noProof/>
        </w:rPr>
        <w:t>interventionsprogrammet för offentliga byggnader 2021–2025 (PIEP), som omfattar verksamhet och byggnadsarbeten i minst 1 500 byggnader för offentliga tjänster. och</w:t>
      </w:r>
    </w:p>
    <w:p w14:paraId="71FA1279" w14:textId="77777777" w:rsidR="00E040FD" w:rsidRDefault="00740D6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programmet för bostäder 2021–2025, som omfattar renoverings- och byggnadsarbeten i minst 1 000 befintliga bostäder för personer med funktionsnedsättning. </w:t>
      </w:r>
    </w:p>
    <w:p w14:paraId="21A3A591"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1E137E06"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RE-C03-i03-RAM: Stärka de sociala insatserna i den autonoma regionen Madeira (ARM)</w:t>
      </w:r>
    </w:p>
    <w:p w14:paraId="6CD6778E"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åtgärd är att stärka nätverket för sociala tjänster i den autonoma regionen Madeira.</w:t>
      </w:r>
    </w:p>
    <w:p w14:paraId="7AB57872"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ska bestå av insatser på äldreboenden och utbyggnad av sociala stödstrukturer för hemlösa. Dessa insatser ska omfatta uppförande av nya anläggningar och renovering och uppgradering av befintliga anläggningar och inköp av nödvändig teknisk och digital utrustning samt it-utrustning, inbegripet inköp av elfordon för att underlätta och förbättra tillgängligheten för yrkesverksamma inom sociala tjänster i avlägsna områden. </w:t>
      </w:r>
    </w:p>
    <w:p w14:paraId="1EDAA2FB" w14:textId="263611C5" w:rsidR="00E040FD" w:rsidRDefault="00740D64">
      <w:pPr>
        <w:pStyle w:val="P68B1DB1-Normal4"/>
        <w:keepNext/>
        <w:spacing w:before="40" w:after="0" w:line="259" w:lineRule="auto"/>
        <w:jc w:val="both"/>
        <w:rPr>
          <w:rFonts w:eastAsiaTheme="minorEastAsia" w:cs="Times New Roman"/>
          <w:noProof/>
        </w:rPr>
      </w:pPr>
      <w:r>
        <w:rPr>
          <w:noProof/>
        </w:rPr>
        <w:t xml:space="preserve">Insatserna ska omfatta rehabilitering och utbyggnad av bostäder och andra anläggningar för äldre, som är avsedda för personer som är 65 år eller äldre och som inte kan stanna kvar i sin bostad. De får också ta emot vuxna personer under 65 år i vederbörligen motiverade undantagsfall. </w:t>
      </w:r>
    </w:p>
    <w:p w14:paraId="44AB2A82" w14:textId="4A6664DB" w:rsidR="00E040FD" w:rsidRDefault="00740D64">
      <w:pPr>
        <w:pStyle w:val="P68B1DB1-Normal4"/>
        <w:keepNext/>
        <w:spacing w:before="40" w:after="0" w:line="259" w:lineRule="auto"/>
        <w:jc w:val="both"/>
        <w:rPr>
          <w:rFonts w:eastAsiaTheme="minorEastAsia" w:cs="Times New Roman"/>
          <w:noProof/>
        </w:rPr>
      </w:pPr>
      <w:r>
        <w:rPr>
          <w:noProof/>
        </w:rPr>
        <w:t xml:space="preserve">De insatser som riktar sig till hemlösa inbegriper inrättandet av en nattmottagning för att hantera nödsituationer och tillhandahålla inkvartering, inrättande av badrum och tvätt för att främja personlig hygien, renovering av ett utrymme för måltider och verkstadyper för att utveckla sociala färdigheter och kompetenser bland stödmottagarna. </w:t>
      </w:r>
    </w:p>
    <w:p w14:paraId="758AA752" w14:textId="5537FE59"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30 december 2025.</w:t>
      </w:r>
    </w:p>
    <w:p w14:paraId="6341FCC8"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RE-C03-i04-RAA: Genomförande av den regionala strategin för bekämpning av fattigdom och social utestängning – nätverk för socialt stöd (ARA)</w:t>
      </w:r>
    </w:p>
    <w:p w14:paraId="758B7891"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åtgärd är att genomföra prioriteringarna i den regionala strategin för bekämpning av fattigdom och social utestängning 2018–2028 (ERCPES) i den autonoma regionen Azorerna. Fyra strategiska prioriteringar som kompletterar varandra har fastställts i strategin: </w:t>
      </w:r>
    </w:p>
    <w:p w14:paraId="029D52CF" w14:textId="77777777" w:rsidR="00E040FD" w:rsidRDefault="00740D6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P1 – Säkerställa en fullständig och inkluderande utvecklingsprocess för alla barn och ungdomar från livets början. </w:t>
      </w:r>
    </w:p>
    <w:p w14:paraId="687E73B0" w14:textId="77777777" w:rsidR="00E040FD" w:rsidRDefault="00740D6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P2 – Att stärka den sociala sammanhållningen i regionen. </w:t>
      </w:r>
    </w:p>
    <w:p w14:paraId="56291263" w14:textId="77777777" w:rsidR="00E040FD" w:rsidRDefault="00740D64">
      <w:pPr>
        <w:pStyle w:val="P68B1DB1-Normal4"/>
        <w:keepNext/>
        <w:numPr>
          <w:ilvl w:val="0"/>
          <w:numId w:val="20"/>
        </w:numPr>
        <w:spacing w:before="40" w:after="160" w:line="259" w:lineRule="auto"/>
        <w:contextualSpacing/>
        <w:jc w:val="both"/>
        <w:rPr>
          <w:rFonts w:eastAsiaTheme="minorEastAsia" w:cs="Times New Roman"/>
          <w:noProof/>
        </w:rPr>
      </w:pPr>
      <w:r>
        <w:rPr>
          <w:noProof/>
        </w:rPr>
        <w:t>P3 – Främja territoriella insatser. och</w:t>
      </w:r>
    </w:p>
    <w:p w14:paraId="00B33C95" w14:textId="77777777" w:rsidR="00E040FD" w:rsidRDefault="00740D64">
      <w:pPr>
        <w:pStyle w:val="P68B1DB1-Normal4"/>
        <w:keepNext/>
        <w:numPr>
          <w:ilvl w:val="0"/>
          <w:numId w:val="20"/>
        </w:numPr>
        <w:spacing w:before="40" w:after="160" w:line="259" w:lineRule="auto"/>
        <w:contextualSpacing/>
        <w:jc w:val="both"/>
        <w:rPr>
          <w:rFonts w:eastAsiaTheme="minorEastAsia" w:cs="Times New Roman"/>
          <w:noProof/>
        </w:rPr>
      </w:pPr>
      <w:r>
        <w:rPr>
          <w:noProof/>
        </w:rPr>
        <w:t>P4 – Säkerställa tillräcklig kunskap om fenomenet fattigdom i regionen.</w:t>
      </w:r>
    </w:p>
    <w:p w14:paraId="7727C0B8" w14:textId="5AB285C1"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ska bestå av en uppsättning insatser som ska öka barns och ungdomars tillgång till sociala tjänster och utbildningstjänster och stärka den sociala sammanhållningen genom att stödja behövande familjer och personer med funktionsnedsättning så att de kan integreras i samhället och på arbetsmarknaden. Dessa ska åtminstone omfatta inrättandet av studiestödspunkter för att motverka avhopp från skolan i förtid, bidrag till låginkomsthushåll som ett incitament för att främja deltagande i förskolor, inrättande av ytterligare (fysiska) platser på daghem och daghem, inrättande av nya platser för personer med funktionsnedsättning på centrum som stöder personer med funktionsnedsättning, inköp av bilar för förnyelse av Instituições Particulares de Solidariedade Social car och utbildning för personer från familjer som omfattas av social integrationsinkomst för att ge dem kompletterande grundläggande färdigheter som gör det möjligt för dem att komma in på arbetsmarknaden. </w:t>
      </w:r>
    </w:p>
    <w:p w14:paraId="4B195392"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Slutligen ska denna investering även omfatta lanseringen av ett pilotprogram kallat ”Åldrandet på plats” som syftar till att främja icke-institutionsvård för äldre och/eller personer med funktionsnedsättning. </w:t>
      </w:r>
    </w:p>
    <w:p w14:paraId="25A7EFAB" w14:textId="3AA9570B"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30 juni 2026.</w:t>
      </w:r>
    </w:p>
    <w:p w14:paraId="36A22E9D"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RE-C03-i05: Plattform + Tillträde</w:t>
      </w:r>
    </w:p>
    <w:p w14:paraId="06E31F6B"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åtgärd är att främja inkluderingen av personer med funktionsnedsättning genom att tillhandahålla en uppsättning digitala informationsverktyg och informationstjänster för att underlätta deras behov och underlätta deras deltagande i samhället. </w:t>
      </w:r>
    </w:p>
    <w:p w14:paraId="5239124E"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bestå av fem program:</w:t>
      </w:r>
    </w:p>
    <w:p w14:paraId="72800A48" w14:textId="77777777" w:rsidR="00E040FD" w:rsidRDefault="00740D6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Geografisk hänvisning till offentliga byggnaders läge och villkor för tillgänglighet. </w:t>
      </w:r>
    </w:p>
    <w:p w14:paraId="35176517" w14:textId="77777777" w:rsidR="00E040FD" w:rsidRDefault="00740D6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Globala informations- och positionssystem (GPS) för stora offentliga byggnader och som gör det möjligt att inkludera privata byggnader. </w:t>
      </w:r>
    </w:p>
    <w:p w14:paraId="5D8E03C9" w14:textId="77777777" w:rsidR="00E040FD" w:rsidRDefault="00740D6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Georeferering av parkeringsplatser för personer med nedsatt rörlighet. </w:t>
      </w:r>
    </w:p>
    <w:p w14:paraId="2C342D75" w14:textId="77777777" w:rsidR="00E040FD" w:rsidRDefault="00740D6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En digital informationsplattform, </w:t>
      </w:r>
    </w:p>
    <w:p w14:paraId="68C0A982" w14:textId="77777777" w:rsidR="00E040FD" w:rsidRDefault="00740D64">
      <w:pPr>
        <w:pStyle w:val="P68B1DB1-Normal4"/>
        <w:keepNext/>
        <w:numPr>
          <w:ilvl w:val="0"/>
          <w:numId w:val="20"/>
        </w:numPr>
        <w:spacing w:before="40" w:after="160" w:line="259" w:lineRule="auto"/>
        <w:contextualSpacing/>
        <w:jc w:val="both"/>
        <w:rPr>
          <w:rFonts w:eastAsiaTheme="minorEastAsia" w:cs="Times New Roman"/>
          <w:noProof/>
        </w:rPr>
      </w:pPr>
      <w:r>
        <w:rPr>
          <w:noProof/>
        </w:rPr>
        <w:t>Inrättande av ett centrum för tolkning av portugisiska teckenspråk.</w:t>
      </w:r>
    </w:p>
    <w:p w14:paraId="4233CF6C" w14:textId="1521E268" w:rsidR="00E040FD" w:rsidRDefault="00740D64">
      <w:pPr>
        <w:pStyle w:val="P68B1DB1-Normal4"/>
        <w:keepNext/>
        <w:spacing w:before="40" w:after="0" w:line="259" w:lineRule="auto"/>
        <w:jc w:val="both"/>
        <w:rPr>
          <w:rFonts w:eastAsiaTheme="minorEastAsia" w:cs="Times New Roman"/>
          <w:noProof/>
        </w:rPr>
      </w:pPr>
      <w:r>
        <w:rPr>
          <w:noProof/>
        </w:rPr>
        <w:t xml:space="preserve">Dessa program är utformade för att tillhandahålla georeferenslösningar för tillgänglighet på allmänna vägar, offentliga och privata byggnader och parkeringsplatser för personer med nedsatt rörlighet, att skapa en digital informationsplattform som sammanställer och förenklar information om relevant lagstiftning och stöder resurser för personer med funktionsnedsättning, och att ge döva medborgare ett jourcenter som garanterar realtidstolkning på portugisiska teckenspråk (LGP) som är tillgängligt för alla offentliga förvaltningar. </w:t>
      </w:r>
    </w:p>
    <w:p w14:paraId="58A92AFD"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6CE3140F"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RE-C03-i06: Integrerade insatser i missgynnade samhällen i storstadsområdena Lissabon och Porto</w:t>
      </w:r>
    </w:p>
    <w:p w14:paraId="5E856FB8"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omfattande och innovativa pilotåtgärd är att bekämpa fattigdom och social utestängning i de mest missgynnade kommunerna i storstadsområdena Lissabon och Porto. Förutsatt att insatserna är framgångsrika kan de utökas.</w:t>
      </w:r>
    </w:p>
    <w:p w14:paraId="401BD1D1"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ska bestå av en uppsättning åtgärder som är kopplade till dessa kommuners särskilda behov. Dessa åtgärder ska omfatta samhällenas egenmakt, utveckling av nya och innovativa strategier för social sammanhållning och insatser i offentliga utrymmen, social infrastruktur och idrottsinfrastruktur och bostäder. Målet är framför allt att </w:t>
      </w:r>
    </w:p>
    <w:p w14:paraId="064D0EF4"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Främjande av samhällens hälsa och livskvalitet genom stöd till projekt som läggs fram av sammanslutningar av lokala myndigheter, icke-statliga organisationer, medborgarrörelser och invånarnas organisationer, hälsomyndigheter eller andra offentliga organ. </w:t>
      </w:r>
    </w:p>
    <w:p w14:paraId="554359D1"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Fysisk uppgradering av offentliga utrymmen och av social infrastruktur, hälso- och sjukvårdsinfrastruktur, bostadsinfrastruktur eller idrottsinfrastruktur. </w:t>
      </w:r>
    </w:p>
    <w:p w14:paraId="13D98317"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Förnyelse av socialt missgynnade områden och främjande av social sammanhållning i storstadsområden. </w:t>
      </w:r>
    </w:p>
    <w:p w14:paraId="1A86CCDE"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Främjande av entreprenörskap i små och lokala företag. </w:t>
      </w:r>
    </w:p>
    <w:p w14:paraId="406E2D60"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Förbättra tillgången till hälso- och sjukvård och bekämpa beroendeförhållanden,</w:t>
      </w:r>
    </w:p>
    <w:p w14:paraId="5DCF95B6"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Utveckling av program för aktivt och hälsosamt åldrande, </w:t>
      </w:r>
    </w:p>
    <w:p w14:paraId="7FAF5F26"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Utformning av projekt för att bekämpa misslyckad skolgång och avhopp från skolan.</w:t>
      </w:r>
    </w:p>
    <w:p w14:paraId="05E23490"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Förbättring av vuxnas kvalifikationer och certifiering av deras kompetens, </w:t>
      </w:r>
    </w:p>
    <w:p w14:paraId="52072040"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Diagnostisering av befolkningens behov och utveckling av vuxnas läs- och skrivkunnighet, portugisisk språkinlärning och program för digital inkludering. </w:t>
      </w:r>
    </w:p>
    <w:p w14:paraId="766D09F8"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Yrkesutbildning och strategier för att främja anställbarhet som är anpassade till den lokala verkligheten och dynamiken. </w:t>
      </w:r>
    </w:p>
    <w:p w14:paraId="50245D50"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Tillgång till kultur och kreativitet och tillvaratagande av interkulturalitet. </w:t>
      </w:r>
    </w:p>
    <w:p w14:paraId="1E1CA766"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Uppmuntra lokalsamhällenas deltagande i förvaltningen av själva programmet, </w:t>
      </w:r>
    </w:p>
    <w:p w14:paraId="4C4EA5A8"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Stärka lokala aktörer i partnerskapsnätverk, </w:t>
      </w:r>
    </w:p>
    <w:p w14:paraId="00360151"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Lösningar för att bekämpa fattigdom och social utestängning. </w:t>
      </w:r>
    </w:p>
    <w:p w14:paraId="32DD2764"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Främjande av idrott som ett av de sociala instrument som sammanför medlemmarna i samhället, främjar värderingar och bekämpar sociala ojämlikheter. </w:t>
      </w:r>
    </w:p>
    <w:p w14:paraId="693CEC30" w14:textId="77777777" w:rsidR="00E040FD" w:rsidRDefault="00740D64">
      <w:pPr>
        <w:pStyle w:val="P68B1DB1-Normal4"/>
        <w:keepNext/>
        <w:numPr>
          <w:ilvl w:val="0"/>
          <w:numId w:val="21"/>
        </w:numPr>
        <w:spacing w:before="40" w:after="160" w:line="259" w:lineRule="auto"/>
        <w:contextualSpacing/>
        <w:jc w:val="both"/>
        <w:rPr>
          <w:rFonts w:eastAsiaTheme="minorEastAsia" w:cs="Times New Roman"/>
          <w:noProof/>
        </w:rPr>
      </w:pPr>
      <w:r>
        <w:rPr>
          <w:noProof/>
        </w:rPr>
        <w:t>Medborgarskap och tillgång till rättigheter och medborgardeltagande.</w:t>
      </w:r>
    </w:p>
    <w:p w14:paraId="613DD2E4" w14:textId="77777777" w:rsidR="00E040FD" w:rsidRDefault="00740D64">
      <w:pPr>
        <w:pStyle w:val="P68B1DB1-Normal4"/>
        <w:keepNext/>
        <w:spacing w:before="40" w:after="0" w:line="259" w:lineRule="auto"/>
        <w:jc w:val="both"/>
        <w:rPr>
          <w:rFonts w:eastAsiaTheme="minorEastAsia" w:cs="Times New Roman"/>
          <w:noProof/>
        </w:rPr>
      </w:pPr>
      <w:r>
        <w:rPr>
          <w:noProof/>
        </w:rPr>
        <w:t>För att säkerställa att åtgärden är förenlig med den tekniska vägledningen om att inte orsaka betydande skada (2021/C58/01) ska kriterierna för stödberättigande i kravspecifikationerna för kommande ansökningsomgångar utesluta följande verksamheter: i) Verksamhet som rör fossila bränslen, inbegripet användning i senare led</w:t>
      </w:r>
      <w:r>
        <w:rPr>
          <w:noProof/>
        </w:rPr>
        <w:footnoteReference w:id="7"/>
      </w:r>
      <w:r>
        <w:rPr>
          <w:noProof/>
        </w:rPr>
        <w:t>. II) Verksamhet inom ramen för EU:s utsläppshandelssystem som uppnår beräknade växthusgasutsläpp som inte är lägre än de relevanta riktmärkena</w:t>
      </w:r>
      <w:r>
        <w:rPr>
          <w:noProof/>
        </w:rPr>
        <w:footnoteReference w:id="8"/>
      </w:r>
      <w:r>
        <w:rPr>
          <w:noProof/>
        </w:rPr>
        <w:t>. III) Verksamhet i samband med avfallsdeponier, förbränningsanläggningar</w:t>
      </w:r>
      <w:r>
        <w:rPr>
          <w:noProof/>
        </w:rPr>
        <w:footnoteReference w:id="9"/>
      </w:r>
      <w:r>
        <w:rPr>
          <w:noProof/>
        </w:rPr>
        <w:t xml:space="preserve"> och anläggningar för mekanisk biologisk behandling</w:t>
      </w:r>
      <w:r>
        <w:rPr>
          <w:noProof/>
        </w:rPr>
        <w:footnoteReference w:id="10"/>
      </w:r>
      <w:r>
        <w:rPr>
          <w:noProof/>
        </w:rPr>
        <w:t xml:space="preserve">. och iv) verksamheter där långsiktigt bortskaffande av avfall kan skada miljön. Uppdragsbeskrivningen ska dessutom innehålla krav på att endast verksamheter som är förenliga med relevant EU-lagstiftning och nationell miljölagstiftning får väljas ut. </w:t>
      </w:r>
    </w:p>
    <w:p w14:paraId="1112183D"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vara genomförd senast den 31 december 2025. </w:t>
      </w:r>
    </w:p>
    <w:p w14:paraId="365B9857" w14:textId="03150B32" w:rsidR="00E040FD" w:rsidRDefault="00740D64">
      <w:pPr>
        <w:pStyle w:val="P68B1DB1-Normal5"/>
        <w:keepNext/>
        <w:spacing w:before="240" w:after="0" w:line="259" w:lineRule="auto"/>
        <w:ind w:left="851"/>
        <w:jc w:val="both"/>
        <w:outlineLvl w:val="3"/>
        <w:rPr>
          <w:rFonts w:eastAsiaTheme="minorEastAsia" w:cs="Times New Roman"/>
          <w:noProof/>
        </w:rPr>
      </w:pPr>
      <w:bookmarkStart w:id="5" w:name="_Toc137472441"/>
      <w:r>
        <w:rPr>
          <w:noProof/>
        </w:rPr>
        <w:t>Investering RE-C03-i07-RAA: Uppgradera och utvidga nätverket av äldreboenden</w:t>
      </w:r>
      <w:bookmarkEnd w:id="5"/>
      <w:r>
        <w:rPr>
          <w:noProof/>
        </w:rPr>
        <w:t xml:space="preserve"> </w:t>
      </w:r>
    </w:p>
    <w:p w14:paraId="72F021BC" w14:textId="06996ABE"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åtgärd är att ge stöd till äldre i den autonoma regionen Azorerna. </w:t>
      </w:r>
    </w:p>
    <w:p w14:paraId="014B2B3A" w14:textId="3DD1A0F6"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ska bestå av insatser på äldreboenden. Dessa insatser ska omfatta utbyggnad och renovering av befintliga anläggningar, som omfattar 91 platser på äldreboenden. </w:t>
      </w:r>
    </w:p>
    <w:p w14:paraId="3BC60259" w14:textId="69F9FA5D"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bidra till att tillhandahålla specialiserad och kontinuerlig vård till personer som är beroende av eller lever i otrygga situationer som inte gör det möjligt för dem att få hemtjänst. Infrastrukturen ska undvika hinder och hinder för fysisk tillgänglighet, i linje med Förenta nationernas konvention om rättigheter för personer med funktionsnedsättning och den nationella lagstiftningen, nämligen den nationella strategin för inkludering av personer med funktionsnedsättning. </w:t>
      </w:r>
    </w:p>
    <w:p w14:paraId="3654E59A"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mars 2026.</w:t>
      </w:r>
    </w:p>
    <w:p w14:paraId="4C31BC3F"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65F48950" w14:textId="595B40F9" w:rsidR="00E040FD" w:rsidRDefault="00740D64">
      <w:pPr>
        <w:pStyle w:val="P68B1DB1-Heading214"/>
        <w:rPr>
          <w:noProof/>
        </w:rPr>
      </w:pPr>
      <w:bookmarkStart w:id="6" w:name="_Toc137472442"/>
      <w:r>
        <w:rPr>
          <w:noProof/>
        </w:rPr>
        <w:t>Reform RE-C03 – r38: Förenkling och effektivitet i det sociala trygghetssystemet</w:t>
      </w:r>
    </w:p>
    <w:p w14:paraId="7144A198" w14:textId="0CEAF0E9" w:rsidR="00E040FD" w:rsidRDefault="00740D64">
      <w:pPr>
        <w:pStyle w:val="P68B1DB1-Normal4"/>
        <w:keepNext/>
        <w:spacing w:before="40" w:after="0" w:line="259" w:lineRule="auto"/>
        <w:jc w:val="both"/>
        <w:rPr>
          <w:rFonts w:eastAsiaTheme="minorEastAsia" w:cs="Times New Roman"/>
          <w:noProof/>
        </w:rPr>
      </w:pPr>
      <w:r>
        <w:rPr>
          <w:noProof/>
        </w:rPr>
        <w:t>Syftet med denna reform är att förenkla Portugals sociala trygghetssystem (Sistema de Segurança Social) för att öka effektiviteten i kampen mot fattigdom och social utestängning genom att förbättra de sociala förmånernas tillräcklighet, täckning och utnyttjande. Reformen syftar till att bidra till de nationella målen i handlingsplanen för den europeiska pelaren för sociala rättigheter, nämligen målet att minska fattigdomen med 765 000 människor fram till 2030, och till genomförandet av principerna i rådets rekommendation om en tillräcklig minimiinkomst som säkerställer aktiv inkludering.</w:t>
      </w:r>
    </w:p>
    <w:p w14:paraId="70F834C2" w14:textId="77777777" w:rsidR="00E040FD" w:rsidRDefault="00740D64">
      <w:pPr>
        <w:pStyle w:val="P68B1DB1-Normal4"/>
        <w:keepNext/>
        <w:spacing w:before="40" w:after="0" w:line="259" w:lineRule="auto"/>
        <w:jc w:val="both"/>
        <w:rPr>
          <w:rFonts w:eastAsiaTheme="minorEastAsia" w:cs="Times New Roman"/>
          <w:noProof/>
        </w:rPr>
      </w:pPr>
      <w:r>
        <w:rPr>
          <w:noProof/>
        </w:rPr>
        <w:t>Det portugisiska socialförsäkringssystemet omfattar tre delsystem: i) det sociala trygghetssystemet för medborgarskap (Proteção Social de Cidadania) eller icke avgiftsfinansierade system. II) försäkringssystemet baserat på avgifter från arbetstagare och arbetsgivare (Sistema Previdencial) eller avgiftsfinansierade system. och iii) det kompletterande systemet (Sistema Complementar), som är frivilligt och omfattar offentliga och privata kompletterande system.</w:t>
      </w:r>
    </w:p>
    <w:p w14:paraId="7D0CF015" w14:textId="77777777" w:rsidR="00E040FD" w:rsidRDefault="00740D64">
      <w:pPr>
        <w:pStyle w:val="P68B1DB1-Normal4"/>
        <w:keepNext/>
        <w:spacing w:before="40" w:after="0" w:line="259" w:lineRule="auto"/>
        <w:jc w:val="both"/>
        <w:rPr>
          <w:rFonts w:eastAsiaTheme="minorEastAsia" w:cs="Times New Roman"/>
          <w:noProof/>
        </w:rPr>
      </w:pPr>
      <w:r>
        <w:rPr>
          <w:noProof/>
        </w:rPr>
        <w:t>Reformen ska beakta en rapport som ska utarbetas av en expertgrupp och lämpliga relevanta samråd med berörda parter, och ska fastställa följande:</w:t>
      </w:r>
    </w:p>
    <w:p w14:paraId="74634E56" w14:textId="77777777" w:rsidR="00E040FD" w:rsidRDefault="00740D64">
      <w:pPr>
        <w:pStyle w:val="ListParagraph"/>
        <w:keepNext w:val="0"/>
        <w:numPr>
          <w:ilvl w:val="0"/>
          <w:numId w:val="73"/>
        </w:numPr>
        <w:spacing w:before="120" w:after="120" w:line="240" w:lineRule="auto"/>
        <w:rPr>
          <w:noProof/>
        </w:rPr>
      </w:pPr>
      <w:r>
        <w:rPr>
          <w:noProof/>
        </w:rPr>
        <w:t>En enda social förmån. Detta ska konsolidera minst åtta icke avgiftsfinansierade sociala förmåner inom ramen för det sociala trygghetssystemet för medborgarskap, inbegripet minimiinkomstsystemet (</w:t>
      </w:r>
      <w:r>
        <w:rPr>
          <w:i/>
          <w:noProof/>
        </w:rPr>
        <w:t>Rendimento Social de Inserção</w:t>
      </w:r>
      <w:r>
        <w:rPr>
          <w:noProof/>
        </w:rPr>
        <w:t>). Jämfört med de sociala förmåner som ska konsolideras ska den gemensamma sociala förmånen säkerställa minst samma täckning för personer som befinner sig i en situation med hög ekonomisk och social sårbarhet. Den gemensamma sociala förmånen ska bidra till att undanröja överlappningar mellan befintliga system och dess utformning ska främja enklare och mer direkt tillgång till sociala förmåner. Deltagande och samråd med relevanta arbetsmarknadsparter ska säkerställas under utformnings- och genomförandeprocessen.</w:t>
      </w:r>
    </w:p>
    <w:bookmarkEnd w:id="6"/>
    <w:p w14:paraId="2D9DB4FE" w14:textId="2090F351" w:rsidR="00E040FD" w:rsidRDefault="00740D64">
      <w:pPr>
        <w:pStyle w:val="ListParagraph"/>
        <w:keepNext w:val="0"/>
        <w:numPr>
          <w:ilvl w:val="0"/>
          <w:numId w:val="73"/>
        </w:numPr>
        <w:spacing w:before="120" w:after="120" w:line="240" w:lineRule="auto"/>
        <w:rPr>
          <w:noProof/>
        </w:rPr>
      </w:pPr>
      <w:r>
        <w:rPr>
          <w:noProof/>
        </w:rPr>
        <w:t>A Lagen om sociala förmåner. Detta ska förenkla, harmonisera och konsolidera lagstiftningen om sociala förmåner för att säkerställa större öppenhet och bättre förståelse för de sociala förmåner som finns tillgängliga. Lagen om sociala förmåner ska följa modellen i lagen om avgiftsfinansierade system (</w:t>
      </w:r>
      <w:r>
        <w:rPr>
          <w:i/>
          <w:noProof/>
        </w:rPr>
        <w:t>Código dos Regimes Contributivos do Sistema Previdencial de Segurança Social)</w:t>
      </w:r>
      <w:r>
        <w:rPr>
          <w:noProof/>
        </w:rPr>
        <w:t>, som för närvarande endast omfattar ett av de tre ovannämnda undersystemen för social trygghet.</w:t>
      </w:r>
    </w:p>
    <w:p w14:paraId="65BAB00F" w14:textId="14D4ADCA" w:rsidR="00E040FD" w:rsidRDefault="00740D64">
      <w:pPr>
        <w:pStyle w:val="P68B1DB1-Normal4"/>
        <w:keepNext/>
        <w:spacing w:before="40" w:after="0" w:line="259" w:lineRule="auto"/>
        <w:jc w:val="both"/>
        <w:rPr>
          <w:rFonts w:eastAsiaTheme="minorEastAsia" w:cs="Times New Roman"/>
          <w:noProof/>
        </w:rPr>
      </w:pPr>
      <w:r>
        <w:rPr>
          <w:noProof/>
        </w:rPr>
        <w:t>Genomförandet av reformen ska vara slutfört senast den 30 juni 2026.</w:t>
      </w:r>
    </w:p>
    <w:p w14:paraId="1686E08F"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33E4D1C0" w14:textId="77777777" w:rsidR="00E040FD" w:rsidRDefault="00E040FD">
      <w:pPr>
        <w:keepNext/>
        <w:spacing w:before="40" w:after="0" w:line="259" w:lineRule="auto"/>
        <w:jc w:val="both"/>
        <w:rPr>
          <w:rFonts w:ascii="Times New Roman" w:hAnsi="Times New Roman" w:cs="Times New Roman"/>
          <w:noProof/>
          <w:sz w:val="24"/>
        </w:rPr>
        <w:sectPr w:rsidR="00E040FD" w:rsidSect="00E00EDD">
          <w:headerReference w:type="even" r:id="rId72"/>
          <w:headerReference w:type="default" r:id="rId73"/>
          <w:footerReference w:type="even" r:id="rId74"/>
          <w:footerReference w:type="default" r:id="rId75"/>
          <w:headerReference w:type="first" r:id="rId76"/>
          <w:footerReference w:type="first" r:id="rId77"/>
          <w:pgSz w:w="11907" w:h="16839"/>
          <w:pgMar w:top="1134" w:right="1134" w:bottom="1134" w:left="1134" w:header="567" w:footer="567" w:gutter="0"/>
          <w:cols w:space="720"/>
          <w:docGrid w:linePitch="360"/>
        </w:sectPr>
      </w:pPr>
    </w:p>
    <w:p w14:paraId="6C4F7390" w14:textId="77777777"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C.2 Delmål, mål, indikatorer och tidsplan för övervakning och genomförande avseende icke återbetalningspliktigt ekonomiskt stöd</w:t>
      </w:r>
    </w:p>
    <w:p w14:paraId="3F759351" w14:textId="07276F59" w:rsidR="00E040FD" w:rsidRDefault="00E040FD">
      <w:pPr>
        <w:keepNext/>
        <w:spacing w:before="40" w:after="0" w:line="259" w:lineRule="auto"/>
        <w:jc w:val="both"/>
        <w:rPr>
          <w:rFonts w:ascii="Times New Roman" w:eastAsiaTheme="minorEastAsia" w:hAnsi="Times New Roman" w:cs="Times New Roman"/>
          <w:noProof/>
          <w:sz w:val="24"/>
        </w:rPr>
      </w:pPr>
    </w:p>
    <w:tbl>
      <w:tblPr>
        <w:tblW w:w="151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143"/>
        <w:gridCol w:w="982"/>
        <w:gridCol w:w="1740"/>
        <w:gridCol w:w="1486"/>
        <w:gridCol w:w="1014"/>
        <w:gridCol w:w="1014"/>
        <w:gridCol w:w="882"/>
        <w:gridCol w:w="680"/>
        <w:gridCol w:w="845"/>
        <w:gridCol w:w="4277"/>
      </w:tblGrid>
      <w:tr w:rsidR="00E040FD" w14:paraId="14AD79ED" w14:textId="77777777">
        <w:trPr>
          <w:trHeight w:val="910"/>
          <w:tblHeader/>
        </w:trPr>
        <w:tc>
          <w:tcPr>
            <w:tcW w:w="1124" w:type="dxa"/>
            <w:vMerge w:val="restart"/>
            <w:shd w:val="clear" w:color="auto" w:fill="BDD6EE"/>
            <w:vAlign w:val="center"/>
            <w:hideMark/>
          </w:tcPr>
          <w:p w14:paraId="12E042F4"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143" w:type="dxa"/>
            <w:vMerge w:val="restart"/>
            <w:shd w:val="clear" w:color="auto" w:fill="BDD6EE"/>
            <w:vAlign w:val="center"/>
            <w:hideMark/>
          </w:tcPr>
          <w:p w14:paraId="40754ED3"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982" w:type="dxa"/>
            <w:vMerge w:val="restart"/>
            <w:shd w:val="clear" w:color="auto" w:fill="BDD6EE"/>
            <w:vAlign w:val="center"/>
            <w:hideMark/>
          </w:tcPr>
          <w:p w14:paraId="6F5DD9BA" w14:textId="0EE9A1D3" w:rsidR="00E040FD" w:rsidRDefault="00740D64">
            <w:pPr>
              <w:pStyle w:val="P68B1DB1-Normal6"/>
              <w:spacing w:after="0" w:line="240" w:lineRule="auto"/>
              <w:jc w:val="center"/>
              <w:rPr>
                <w:rFonts w:eastAsia="Times New Roman" w:cs="Times New Roman"/>
                <w:noProof/>
              </w:rPr>
            </w:pPr>
            <w:r>
              <w:rPr>
                <w:noProof/>
              </w:rPr>
              <w:t>Delmål/mål</w:t>
            </w:r>
          </w:p>
        </w:tc>
        <w:tc>
          <w:tcPr>
            <w:tcW w:w="1740" w:type="dxa"/>
            <w:vMerge w:val="restart"/>
            <w:shd w:val="clear" w:color="auto" w:fill="BDD6EE"/>
            <w:vAlign w:val="center"/>
            <w:hideMark/>
          </w:tcPr>
          <w:p w14:paraId="7E76B60B" w14:textId="77777777" w:rsidR="00E040FD" w:rsidRDefault="00740D64">
            <w:pPr>
              <w:pStyle w:val="P68B1DB1-Normal6"/>
              <w:spacing w:after="0" w:line="240" w:lineRule="auto"/>
              <w:jc w:val="center"/>
              <w:rPr>
                <w:rFonts w:eastAsia="Times New Roman" w:cs="Times New Roman"/>
                <w:noProof/>
              </w:rPr>
            </w:pPr>
            <w:r>
              <w:rPr>
                <w:noProof/>
              </w:rPr>
              <w:t>Namn</w:t>
            </w:r>
          </w:p>
        </w:tc>
        <w:tc>
          <w:tcPr>
            <w:tcW w:w="1486" w:type="dxa"/>
            <w:vMerge w:val="restart"/>
            <w:shd w:val="clear" w:color="auto" w:fill="BDD6EE"/>
            <w:vAlign w:val="center"/>
            <w:hideMark/>
          </w:tcPr>
          <w:p w14:paraId="2B32BF68"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910" w:type="dxa"/>
            <w:gridSpan w:val="3"/>
            <w:shd w:val="clear" w:color="auto" w:fill="BDD6EE"/>
            <w:vAlign w:val="center"/>
            <w:hideMark/>
          </w:tcPr>
          <w:p w14:paraId="54E5B28D"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525" w:type="dxa"/>
            <w:gridSpan w:val="2"/>
            <w:shd w:val="clear" w:color="auto" w:fill="BDD6EE"/>
            <w:vAlign w:val="center"/>
            <w:hideMark/>
          </w:tcPr>
          <w:p w14:paraId="0AFFA6CA"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4277" w:type="dxa"/>
            <w:vMerge w:val="restart"/>
            <w:shd w:val="clear" w:color="auto" w:fill="BDD6EE"/>
            <w:vAlign w:val="center"/>
            <w:hideMark/>
          </w:tcPr>
          <w:p w14:paraId="0CAE4583"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3DC9B5E4" w14:textId="77777777">
        <w:trPr>
          <w:trHeight w:val="470"/>
          <w:tblHeader/>
        </w:trPr>
        <w:tc>
          <w:tcPr>
            <w:tcW w:w="1124" w:type="dxa"/>
            <w:vMerge/>
            <w:vAlign w:val="center"/>
            <w:hideMark/>
          </w:tcPr>
          <w:p w14:paraId="5E2B2993" w14:textId="77777777" w:rsidR="00E040FD" w:rsidRDefault="00E040FD">
            <w:pPr>
              <w:spacing w:after="0" w:line="240" w:lineRule="auto"/>
              <w:rPr>
                <w:rFonts w:ascii="Times New Roman" w:eastAsia="Times New Roman" w:hAnsi="Times New Roman" w:cs="Times New Roman"/>
                <w:b/>
                <w:noProof/>
                <w:sz w:val="18"/>
              </w:rPr>
            </w:pPr>
          </w:p>
        </w:tc>
        <w:tc>
          <w:tcPr>
            <w:tcW w:w="1143" w:type="dxa"/>
            <w:vMerge/>
            <w:vAlign w:val="center"/>
            <w:hideMark/>
          </w:tcPr>
          <w:p w14:paraId="38E6DA3F" w14:textId="77777777" w:rsidR="00E040FD" w:rsidRDefault="00E040FD">
            <w:pPr>
              <w:spacing w:after="0" w:line="240" w:lineRule="auto"/>
              <w:rPr>
                <w:rFonts w:ascii="Times New Roman" w:eastAsia="Times New Roman" w:hAnsi="Times New Roman" w:cs="Times New Roman"/>
                <w:b/>
                <w:noProof/>
                <w:sz w:val="18"/>
              </w:rPr>
            </w:pPr>
          </w:p>
        </w:tc>
        <w:tc>
          <w:tcPr>
            <w:tcW w:w="982" w:type="dxa"/>
            <w:vMerge/>
            <w:shd w:val="clear" w:color="auto" w:fill="BDD6EE"/>
            <w:vAlign w:val="center"/>
            <w:hideMark/>
          </w:tcPr>
          <w:p w14:paraId="0B4F87AB" w14:textId="41568FFB" w:rsidR="00E040FD" w:rsidRDefault="00E040FD">
            <w:pPr>
              <w:spacing w:after="0" w:line="240" w:lineRule="auto"/>
              <w:jc w:val="center"/>
              <w:rPr>
                <w:rFonts w:ascii="Times New Roman" w:eastAsia="Times New Roman" w:hAnsi="Times New Roman" w:cs="Times New Roman"/>
                <w:b/>
                <w:noProof/>
                <w:sz w:val="18"/>
              </w:rPr>
            </w:pPr>
          </w:p>
        </w:tc>
        <w:tc>
          <w:tcPr>
            <w:tcW w:w="1740" w:type="dxa"/>
            <w:vMerge/>
            <w:vAlign w:val="center"/>
            <w:hideMark/>
          </w:tcPr>
          <w:p w14:paraId="05146A5D" w14:textId="77777777" w:rsidR="00E040FD" w:rsidRDefault="00E040FD">
            <w:pPr>
              <w:spacing w:after="0" w:line="240" w:lineRule="auto"/>
              <w:rPr>
                <w:rFonts w:ascii="Times New Roman" w:eastAsia="Times New Roman" w:hAnsi="Times New Roman" w:cs="Times New Roman"/>
                <w:b/>
                <w:noProof/>
                <w:sz w:val="18"/>
              </w:rPr>
            </w:pPr>
          </w:p>
        </w:tc>
        <w:tc>
          <w:tcPr>
            <w:tcW w:w="1486" w:type="dxa"/>
            <w:vMerge/>
            <w:vAlign w:val="center"/>
            <w:hideMark/>
          </w:tcPr>
          <w:p w14:paraId="7B4130F2" w14:textId="77777777" w:rsidR="00E040FD" w:rsidRDefault="00E040FD">
            <w:pPr>
              <w:spacing w:after="0" w:line="240" w:lineRule="auto"/>
              <w:rPr>
                <w:rFonts w:ascii="Times New Roman" w:eastAsia="Times New Roman" w:hAnsi="Times New Roman" w:cs="Times New Roman"/>
                <w:b/>
                <w:noProof/>
                <w:sz w:val="18"/>
              </w:rPr>
            </w:pPr>
          </w:p>
        </w:tc>
        <w:tc>
          <w:tcPr>
            <w:tcW w:w="1014" w:type="dxa"/>
            <w:shd w:val="clear" w:color="auto" w:fill="BDD6EE"/>
            <w:vAlign w:val="center"/>
            <w:hideMark/>
          </w:tcPr>
          <w:p w14:paraId="0EFFB8D7"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1014" w:type="dxa"/>
            <w:shd w:val="clear" w:color="auto" w:fill="BDD6EE"/>
            <w:vAlign w:val="center"/>
            <w:hideMark/>
          </w:tcPr>
          <w:p w14:paraId="0362CC94"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882" w:type="dxa"/>
            <w:shd w:val="clear" w:color="auto" w:fill="BDD6EE"/>
            <w:vAlign w:val="center"/>
            <w:hideMark/>
          </w:tcPr>
          <w:p w14:paraId="004EED49" w14:textId="77777777" w:rsidR="00E040FD" w:rsidRDefault="00740D64">
            <w:pPr>
              <w:pStyle w:val="P68B1DB1-Normal6"/>
              <w:spacing w:after="0" w:line="240" w:lineRule="auto"/>
              <w:jc w:val="center"/>
              <w:rPr>
                <w:rFonts w:eastAsia="Times New Roman" w:cs="Times New Roman"/>
                <w:noProof/>
              </w:rPr>
            </w:pPr>
            <w:r>
              <w:rPr>
                <w:noProof/>
              </w:rPr>
              <w:t>Mål</w:t>
            </w:r>
          </w:p>
        </w:tc>
        <w:tc>
          <w:tcPr>
            <w:tcW w:w="680" w:type="dxa"/>
            <w:shd w:val="clear" w:color="auto" w:fill="BDD6EE"/>
            <w:vAlign w:val="center"/>
            <w:hideMark/>
          </w:tcPr>
          <w:p w14:paraId="6EF1C0BD" w14:textId="77777777" w:rsidR="00E040FD" w:rsidRDefault="00740D64">
            <w:pPr>
              <w:pStyle w:val="P68B1DB1-Normal6"/>
              <w:spacing w:after="0" w:line="240" w:lineRule="auto"/>
              <w:jc w:val="center"/>
              <w:rPr>
                <w:rFonts w:eastAsia="Times New Roman" w:cs="Times New Roman"/>
                <w:noProof/>
              </w:rPr>
            </w:pPr>
            <w:r>
              <w:rPr>
                <w:noProof/>
              </w:rPr>
              <w:t>Q</w:t>
            </w:r>
          </w:p>
        </w:tc>
        <w:tc>
          <w:tcPr>
            <w:tcW w:w="845" w:type="dxa"/>
            <w:shd w:val="clear" w:color="auto" w:fill="BDD6EE"/>
            <w:vAlign w:val="center"/>
            <w:hideMark/>
          </w:tcPr>
          <w:p w14:paraId="4B7C0DD8" w14:textId="77777777" w:rsidR="00E040FD" w:rsidRDefault="00740D64">
            <w:pPr>
              <w:pStyle w:val="P68B1DB1-Normal6"/>
              <w:spacing w:after="0" w:line="240" w:lineRule="auto"/>
              <w:jc w:val="center"/>
              <w:rPr>
                <w:rFonts w:eastAsia="Times New Roman" w:cs="Times New Roman"/>
                <w:noProof/>
              </w:rPr>
            </w:pPr>
            <w:r>
              <w:rPr>
                <w:noProof/>
              </w:rPr>
              <w:t>Året</w:t>
            </w:r>
          </w:p>
        </w:tc>
        <w:tc>
          <w:tcPr>
            <w:tcW w:w="4277" w:type="dxa"/>
            <w:vMerge/>
            <w:vAlign w:val="center"/>
            <w:hideMark/>
          </w:tcPr>
          <w:p w14:paraId="712BF101" w14:textId="77777777" w:rsidR="00E040FD" w:rsidRDefault="00E040FD">
            <w:pPr>
              <w:spacing w:after="0" w:line="240" w:lineRule="auto"/>
              <w:rPr>
                <w:rFonts w:ascii="Times New Roman" w:eastAsia="Times New Roman" w:hAnsi="Times New Roman" w:cs="Times New Roman"/>
                <w:b/>
                <w:noProof/>
                <w:sz w:val="18"/>
              </w:rPr>
            </w:pPr>
          </w:p>
        </w:tc>
      </w:tr>
      <w:tr w:rsidR="00E040FD" w14:paraId="4FB1DEE7" w14:textId="77777777">
        <w:trPr>
          <w:trHeight w:val="640"/>
        </w:trPr>
        <w:tc>
          <w:tcPr>
            <w:tcW w:w="1124" w:type="dxa"/>
            <w:shd w:val="clear" w:color="auto" w:fill="C5EFCE"/>
            <w:vAlign w:val="center"/>
            <w:hideMark/>
          </w:tcPr>
          <w:p w14:paraId="7E53AF7C" w14:textId="77777777" w:rsidR="00E040FD" w:rsidRDefault="00740D64">
            <w:pPr>
              <w:pStyle w:val="P68B1DB1-Normal7"/>
              <w:spacing w:after="0" w:line="240" w:lineRule="auto"/>
              <w:jc w:val="center"/>
              <w:rPr>
                <w:rFonts w:eastAsia="Times New Roman" w:cs="Calibri"/>
                <w:noProof/>
              </w:rPr>
            </w:pPr>
            <w:r>
              <w:rPr>
                <w:noProof/>
              </w:rPr>
              <w:t>3.1</w:t>
            </w:r>
          </w:p>
        </w:tc>
        <w:tc>
          <w:tcPr>
            <w:tcW w:w="1143" w:type="dxa"/>
            <w:shd w:val="clear" w:color="auto" w:fill="C4EFCE"/>
            <w:vAlign w:val="center"/>
            <w:hideMark/>
          </w:tcPr>
          <w:p w14:paraId="6B802912" w14:textId="77777777" w:rsidR="00E040FD" w:rsidRDefault="00740D6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2EB48FA7"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FF7B3BC" w14:textId="77777777" w:rsidR="00E040FD" w:rsidRDefault="00740D64">
            <w:pPr>
              <w:pStyle w:val="P68B1DB1-Normal8"/>
              <w:spacing w:after="0" w:line="240" w:lineRule="auto"/>
              <w:jc w:val="center"/>
              <w:rPr>
                <w:rFonts w:eastAsia="Times New Roman" w:cs="Calibri"/>
                <w:noProof/>
              </w:rPr>
            </w:pPr>
            <w:r>
              <w:rPr>
                <w:noProof/>
              </w:rPr>
              <w:t>Leverans av elfordon</w:t>
            </w:r>
          </w:p>
        </w:tc>
        <w:tc>
          <w:tcPr>
            <w:tcW w:w="1486" w:type="dxa"/>
            <w:shd w:val="clear" w:color="auto" w:fill="C4EFCE"/>
            <w:vAlign w:val="center"/>
            <w:hideMark/>
          </w:tcPr>
          <w:p w14:paraId="3CB72ABC"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9EF364D"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4903172A"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169C9561" w14:textId="77777777" w:rsidR="00E040FD" w:rsidRDefault="00740D64">
            <w:pPr>
              <w:pStyle w:val="P68B1DB1-Normal8"/>
              <w:spacing w:after="0" w:line="240" w:lineRule="auto"/>
              <w:jc w:val="center"/>
              <w:rPr>
                <w:rFonts w:eastAsia="Times New Roman" w:cs="Calibri"/>
                <w:noProof/>
              </w:rPr>
            </w:pPr>
            <w:r>
              <w:rPr>
                <w:noProof/>
              </w:rPr>
              <w:t>2 500</w:t>
            </w:r>
          </w:p>
        </w:tc>
        <w:tc>
          <w:tcPr>
            <w:tcW w:w="680" w:type="dxa"/>
            <w:shd w:val="clear" w:color="auto" w:fill="C4EFCE"/>
            <w:vAlign w:val="center"/>
            <w:hideMark/>
          </w:tcPr>
          <w:p w14:paraId="101B6C07" w14:textId="77777777" w:rsidR="00E040FD" w:rsidRDefault="00740D64">
            <w:pPr>
              <w:pStyle w:val="P68B1DB1-Normal8"/>
              <w:spacing w:after="0" w:line="240" w:lineRule="auto"/>
              <w:jc w:val="center"/>
              <w:rPr>
                <w:rFonts w:eastAsia="Times New Roman" w:cs="Calibri"/>
                <w:noProof/>
              </w:rPr>
            </w:pPr>
            <w:r>
              <w:rPr>
                <w:noProof/>
              </w:rPr>
              <w:t>KVARTAL 1</w:t>
            </w:r>
          </w:p>
        </w:tc>
        <w:tc>
          <w:tcPr>
            <w:tcW w:w="845" w:type="dxa"/>
            <w:shd w:val="clear" w:color="auto" w:fill="C4EFCE"/>
            <w:vAlign w:val="center"/>
            <w:hideMark/>
          </w:tcPr>
          <w:p w14:paraId="070C0E74" w14:textId="77777777" w:rsidR="00E040FD" w:rsidRDefault="00740D64">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74933DAC" w14:textId="77777777" w:rsidR="00E040FD" w:rsidRDefault="00740D64">
            <w:pPr>
              <w:pStyle w:val="P68B1DB1-Normal8"/>
              <w:spacing w:after="0" w:line="240" w:lineRule="auto"/>
              <w:jc w:val="both"/>
              <w:rPr>
                <w:rFonts w:eastAsia="Times New Roman" w:cs="Calibri"/>
                <w:noProof/>
              </w:rPr>
            </w:pPr>
            <w:r>
              <w:rPr>
                <w:noProof/>
              </w:rPr>
              <w:t>Tillhandahållande till social- och hemtjänstleverantörer vid Instituições Particulares de Solidariedade Social (IPSS) eller liknande stödberättigade enheter för sociala tjänster, av nya elfordon som är anpassade för hemtjänst och/eller för transport av personer med nedsatt rörlighet.</w:t>
            </w:r>
          </w:p>
        </w:tc>
      </w:tr>
      <w:tr w:rsidR="00E040FD" w14:paraId="695A83D6" w14:textId="77777777">
        <w:trPr>
          <w:trHeight w:val="797"/>
        </w:trPr>
        <w:tc>
          <w:tcPr>
            <w:tcW w:w="1124" w:type="dxa"/>
            <w:shd w:val="clear" w:color="auto" w:fill="C5EFCE"/>
            <w:vAlign w:val="center"/>
            <w:hideMark/>
          </w:tcPr>
          <w:p w14:paraId="75C121A6" w14:textId="77777777" w:rsidR="00E040FD" w:rsidRDefault="00740D64">
            <w:pPr>
              <w:pStyle w:val="P68B1DB1-Normal7"/>
              <w:spacing w:after="0" w:line="240" w:lineRule="auto"/>
              <w:jc w:val="center"/>
              <w:rPr>
                <w:rFonts w:eastAsia="Times New Roman" w:cs="Calibri"/>
                <w:noProof/>
              </w:rPr>
            </w:pPr>
            <w:r>
              <w:rPr>
                <w:noProof/>
              </w:rPr>
              <w:t>3.2</w:t>
            </w:r>
          </w:p>
        </w:tc>
        <w:tc>
          <w:tcPr>
            <w:tcW w:w="1143" w:type="dxa"/>
            <w:shd w:val="clear" w:color="auto" w:fill="C4EFCE"/>
            <w:vAlign w:val="center"/>
            <w:hideMark/>
          </w:tcPr>
          <w:p w14:paraId="0D34E66D" w14:textId="77777777" w:rsidR="00E040FD" w:rsidRDefault="00740D6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4178A6A9"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4C9E6AAD" w14:textId="77777777" w:rsidR="00E040FD" w:rsidRDefault="00740D64">
            <w:pPr>
              <w:pStyle w:val="P68B1DB1-Normal8"/>
              <w:spacing w:after="0" w:line="240" w:lineRule="auto"/>
              <w:jc w:val="center"/>
              <w:rPr>
                <w:rFonts w:eastAsia="Times New Roman" w:cs="Calibri"/>
                <w:noProof/>
              </w:rPr>
            </w:pPr>
            <w:r>
              <w:rPr>
                <w:noProof/>
              </w:rPr>
              <w:t>Inrättande av grupper för sociala interventioner (Radar Social)</w:t>
            </w:r>
          </w:p>
        </w:tc>
        <w:tc>
          <w:tcPr>
            <w:tcW w:w="1486" w:type="dxa"/>
            <w:shd w:val="clear" w:color="auto" w:fill="C4EFCE"/>
            <w:vAlign w:val="center"/>
            <w:hideMark/>
          </w:tcPr>
          <w:p w14:paraId="746F3B0C"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A393125"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2F1F46F6"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5DF22222" w14:textId="77777777" w:rsidR="00E040FD" w:rsidRDefault="00740D64">
            <w:pPr>
              <w:pStyle w:val="P68B1DB1-Normal8"/>
              <w:spacing w:after="0" w:line="240" w:lineRule="auto"/>
              <w:jc w:val="center"/>
              <w:rPr>
                <w:rFonts w:eastAsia="Times New Roman" w:cs="Calibri"/>
                <w:noProof/>
              </w:rPr>
            </w:pPr>
            <w:r>
              <w:rPr>
                <w:noProof/>
              </w:rPr>
              <w:t>278</w:t>
            </w:r>
          </w:p>
        </w:tc>
        <w:tc>
          <w:tcPr>
            <w:tcW w:w="680" w:type="dxa"/>
            <w:shd w:val="clear" w:color="auto" w:fill="C4EFCE"/>
            <w:vAlign w:val="center"/>
            <w:hideMark/>
          </w:tcPr>
          <w:p w14:paraId="2D14593B"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00AFEEF9" w14:textId="77777777" w:rsidR="00E040FD" w:rsidRDefault="00740D64">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786F8552" w14:textId="77777777" w:rsidR="00E040FD" w:rsidRDefault="00740D64">
            <w:pPr>
              <w:pStyle w:val="P68B1DB1-Normal8"/>
              <w:spacing w:after="0" w:line="240" w:lineRule="auto"/>
              <w:jc w:val="both"/>
              <w:rPr>
                <w:rFonts w:eastAsia="Times New Roman" w:cs="Calibri"/>
                <w:noProof/>
              </w:rPr>
            </w:pPr>
            <w:r>
              <w:rPr>
                <w:noProof/>
              </w:rPr>
              <w:t>Inrättande av 278 grupper för sociala interventioner i kommunerna på det portugisiska fastlandet.</w:t>
            </w:r>
          </w:p>
        </w:tc>
      </w:tr>
      <w:tr w:rsidR="00E040FD" w14:paraId="6CA14E84" w14:textId="77777777">
        <w:trPr>
          <w:trHeight w:val="290"/>
        </w:trPr>
        <w:tc>
          <w:tcPr>
            <w:tcW w:w="1124" w:type="dxa"/>
            <w:shd w:val="clear" w:color="auto" w:fill="C5EFCE"/>
            <w:vAlign w:val="center"/>
            <w:hideMark/>
          </w:tcPr>
          <w:p w14:paraId="5080A772" w14:textId="77777777" w:rsidR="00E040FD" w:rsidRDefault="00740D64">
            <w:pPr>
              <w:pStyle w:val="P68B1DB1-Normal7"/>
              <w:spacing w:after="0" w:line="240" w:lineRule="auto"/>
              <w:jc w:val="center"/>
              <w:rPr>
                <w:rFonts w:eastAsia="Times New Roman" w:cs="Calibri"/>
                <w:noProof/>
              </w:rPr>
            </w:pPr>
            <w:r>
              <w:rPr>
                <w:noProof/>
              </w:rPr>
              <w:t>3.3</w:t>
            </w:r>
          </w:p>
        </w:tc>
        <w:tc>
          <w:tcPr>
            <w:tcW w:w="1143" w:type="dxa"/>
            <w:shd w:val="clear" w:color="auto" w:fill="C4EFCE"/>
            <w:vAlign w:val="center"/>
            <w:hideMark/>
          </w:tcPr>
          <w:p w14:paraId="72A4A02B" w14:textId="77777777" w:rsidR="00E040FD" w:rsidRDefault="00740D6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30A19712" w14:textId="77777777" w:rsidR="00E040FD" w:rsidRDefault="00740D6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422D5459" w14:textId="31604FA9" w:rsidR="00E040FD" w:rsidRDefault="00740D64">
            <w:pPr>
              <w:pStyle w:val="P68B1DB1-Normal8"/>
              <w:spacing w:after="0" w:line="240" w:lineRule="auto"/>
              <w:jc w:val="center"/>
              <w:rPr>
                <w:rFonts w:eastAsia="Times New Roman" w:cs="Calibri"/>
                <w:noProof/>
              </w:rPr>
            </w:pPr>
            <w:r>
              <w:rPr>
                <w:noProof/>
              </w:rPr>
              <w:t xml:space="preserve"> Tilldelning av kontrakt för stöd till främjandeorgan för att skapa och utvidga nätverket av sociala inrättningar/sociala åtgärder.</w:t>
            </w:r>
          </w:p>
        </w:tc>
        <w:tc>
          <w:tcPr>
            <w:tcW w:w="1486" w:type="dxa"/>
            <w:shd w:val="clear" w:color="auto" w:fill="C4EFCE"/>
            <w:vAlign w:val="center"/>
            <w:hideMark/>
          </w:tcPr>
          <w:p w14:paraId="6009A6C2" w14:textId="77777777" w:rsidR="00E040FD" w:rsidRDefault="00740D64">
            <w:pPr>
              <w:pStyle w:val="P68B1DB1-Normal8"/>
              <w:spacing w:after="0" w:line="240" w:lineRule="auto"/>
              <w:jc w:val="center"/>
              <w:rPr>
                <w:rFonts w:eastAsia="Times New Roman" w:cs="Calibri"/>
                <w:noProof/>
              </w:rPr>
            </w:pPr>
            <w:r>
              <w:rPr>
                <w:noProof/>
              </w:rPr>
              <w:t>Tilldelning av stödkontrakt till stödorgan för nätverket av sociala hjälpmedel/svar</w:t>
            </w:r>
          </w:p>
        </w:tc>
        <w:tc>
          <w:tcPr>
            <w:tcW w:w="1014" w:type="dxa"/>
            <w:shd w:val="clear" w:color="auto" w:fill="C4EFCE"/>
            <w:vAlign w:val="center"/>
            <w:hideMark/>
          </w:tcPr>
          <w:p w14:paraId="6D4F44CE"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150F74FF" w14:textId="77777777" w:rsidR="00E040FD" w:rsidRDefault="00740D6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D080C51" w14:textId="77777777" w:rsidR="00E040FD" w:rsidRDefault="00740D6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08CD4351" w14:textId="77777777" w:rsidR="00E040FD" w:rsidRDefault="00740D64">
            <w:pPr>
              <w:pStyle w:val="P68B1DB1-Normal8"/>
              <w:spacing w:after="0" w:line="240" w:lineRule="auto"/>
              <w:jc w:val="center"/>
              <w:rPr>
                <w:rFonts w:eastAsia="Times New Roman" w:cs="Calibri"/>
                <w:noProof/>
              </w:rPr>
            </w:pPr>
            <w:r>
              <w:rPr>
                <w:noProof/>
              </w:rPr>
              <w:t>KVARTAL 2</w:t>
            </w:r>
          </w:p>
        </w:tc>
        <w:tc>
          <w:tcPr>
            <w:tcW w:w="845" w:type="dxa"/>
            <w:shd w:val="clear" w:color="auto" w:fill="C4EFCE"/>
            <w:vAlign w:val="center"/>
            <w:hideMark/>
          </w:tcPr>
          <w:p w14:paraId="459C1D44" w14:textId="77777777" w:rsidR="00E040FD" w:rsidRDefault="00740D64">
            <w:pPr>
              <w:pStyle w:val="P68B1DB1-Normal8"/>
              <w:spacing w:after="0" w:line="240" w:lineRule="auto"/>
              <w:jc w:val="center"/>
              <w:rPr>
                <w:rFonts w:eastAsia="Times New Roman" w:cs="Calibri"/>
                <w:noProof/>
              </w:rPr>
            </w:pPr>
            <w:r>
              <w:rPr>
                <w:noProof/>
              </w:rPr>
              <w:t>2022</w:t>
            </w:r>
          </w:p>
        </w:tc>
        <w:tc>
          <w:tcPr>
            <w:tcW w:w="4277" w:type="dxa"/>
            <w:shd w:val="clear" w:color="auto" w:fill="C4EFCE"/>
            <w:vAlign w:val="center"/>
            <w:hideMark/>
          </w:tcPr>
          <w:p w14:paraId="111BA54E" w14:textId="77777777" w:rsidR="00E040FD" w:rsidRDefault="00740D64">
            <w:pPr>
              <w:pStyle w:val="P68B1DB1-Normal8"/>
              <w:spacing w:after="0" w:line="240" w:lineRule="auto"/>
              <w:jc w:val="both"/>
              <w:rPr>
                <w:rFonts w:eastAsia="Times New Roman" w:cs="Calibri"/>
                <w:noProof/>
              </w:rPr>
            </w:pPr>
            <w:r>
              <w:rPr>
                <w:noProof/>
              </w:rPr>
              <w:t>Tilldelning av stödkontrakt till främjandeorgan som har ansökt om tävlingen för att skapa och bygga ut nätverket av sociala inrättningar/sociala åtgärder (som omfattar barn, äldre, personer med funktionsnedsättning och andra) och som har befunnits överensstämma med den fastställda förordningen, inom ramen för det tillgängliga anslaget. Vid nybyggnation av byggnader ska anbudsförfarandet säkerställa att de nya byggnaderna har ett primärenergibehov som är minst 20 % lägre än kraven för nära-nollenergibyggnader.</w:t>
            </w:r>
          </w:p>
        </w:tc>
      </w:tr>
      <w:tr w:rsidR="00E040FD" w14:paraId="4DD2693C" w14:textId="77777777">
        <w:trPr>
          <w:trHeight w:val="1690"/>
        </w:trPr>
        <w:tc>
          <w:tcPr>
            <w:tcW w:w="1124" w:type="dxa"/>
            <w:shd w:val="clear" w:color="auto" w:fill="C5EFCE"/>
            <w:vAlign w:val="center"/>
            <w:hideMark/>
          </w:tcPr>
          <w:p w14:paraId="1A616AE0" w14:textId="0FB7E1D9" w:rsidR="00E040FD" w:rsidRDefault="00740D64">
            <w:pPr>
              <w:pStyle w:val="P68B1DB1-Normal7"/>
              <w:spacing w:after="0" w:line="240" w:lineRule="auto"/>
              <w:jc w:val="center"/>
              <w:rPr>
                <w:rFonts w:eastAsia="Times New Roman" w:cs="Calibri"/>
                <w:noProof/>
              </w:rPr>
            </w:pPr>
            <w:r>
              <w:rPr>
                <w:noProof/>
              </w:rPr>
              <w:t>3.4</w:t>
            </w:r>
          </w:p>
        </w:tc>
        <w:tc>
          <w:tcPr>
            <w:tcW w:w="1143" w:type="dxa"/>
            <w:shd w:val="clear" w:color="auto" w:fill="C4EFCE"/>
            <w:vAlign w:val="center"/>
            <w:hideMark/>
          </w:tcPr>
          <w:p w14:paraId="264DD2D7" w14:textId="77777777" w:rsidR="00E040FD" w:rsidRDefault="00740D6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129E562E"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F5CCE8B" w14:textId="77777777" w:rsidR="00E040FD" w:rsidRDefault="00740D64">
            <w:pPr>
              <w:pStyle w:val="P68B1DB1-Normal8"/>
              <w:spacing w:after="0" w:line="240" w:lineRule="auto"/>
              <w:jc w:val="center"/>
              <w:rPr>
                <w:rFonts w:eastAsia="Times New Roman" w:cs="Calibri"/>
                <w:noProof/>
              </w:rPr>
            </w:pPr>
            <w:r>
              <w:rPr>
                <w:noProof/>
              </w:rPr>
              <w:t>Skapande av nya platser och renovering av befintliga platser i sociala inrättningar</w:t>
            </w:r>
          </w:p>
        </w:tc>
        <w:tc>
          <w:tcPr>
            <w:tcW w:w="1486" w:type="dxa"/>
            <w:shd w:val="clear" w:color="auto" w:fill="C4EFCE"/>
            <w:vAlign w:val="center"/>
            <w:hideMark/>
          </w:tcPr>
          <w:p w14:paraId="066C8E4E"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D9BF7B8"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337AF5DB"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0F36AC40" w14:textId="12FABD58" w:rsidR="00E040FD" w:rsidRDefault="00740D64">
            <w:pPr>
              <w:pStyle w:val="P68B1DB1-Normal8"/>
              <w:spacing w:after="0" w:line="240" w:lineRule="auto"/>
              <w:jc w:val="center"/>
              <w:rPr>
                <w:rFonts w:eastAsia="Times New Roman" w:cs="Calibri"/>
                <w:noProof/>
              </w:rPr>
            </w:pPr>
            <w:r>
              <w:rPr>
                <w:noProof/>
              </w:rPr>
              <w:t>39 405</w:t>
            </w:r>
          </w:p>
        </w:tc>
        <w:tc>
          <w:tcPr>
            <w:tcW w:w="680" w:type="dxa"/>
            <w:shd w:val="clear" w:color="auto" w:fill="C4EFCE"/>
            <w:vAlign w:val="center"/>
            <w:hideMark/>
          </w:tcPr>
          <w:p w14:paraId="3F7AD6FC" w14:textId="77777777" w:rsidR="00E040FD" w:rsidRDefault="00740D64">
            <w:pPr>
              <w:pStyle w:val="P68B1DB1-Normal8"/>
              <w:spacing w:after="0" w:line="240" w:lineRule="auto"/>
              <w:jc w:val="center"/>
              <w:rPr>
                <w:rFonts w:eastAsia="Times New Roman" w:cs="Calibri"/>
                <w:noProof/>
              </w:rPr>
            </w:pPr>
            <w:r>
              <w:rPr>
                <w:noProof/>
              </w:rPr>
              <w:t>KVARTAL 1</w:t>
            </w:r>
          </w:p>
        </w:tc>
        <w:tc>
          <w:tcPr>
            <w:tcW w:w="845" w:type="dxa"/>
            <w:shd w:val="clear" w:color="auto" w:fill="C4EFCE"/>
            <w:vAlign w:val="center"/>
            <w:hideMark/>
          </w:tcPr>
          <w:p w14:paraId="6696632D" w14:textId="77777777" w:rsidR="00E040FD" w:rsidRDefault="00740D64">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1334CAC8" w14:textId="2AA60661" w:rsidR="00E040FD" w:rsidRDefault="00740D64">
            <w:pPr>
              <w:pStyle w:val="P68B1DB1-Normal8"/>
              <w:spacing w:after="0" w:line="240" w:lineRule="auto"/>
              <w:jc w:val="both"/>
              <w:rPr>
                <w:rFonts w:eastAsia="Times New Roman" w:cs="Calibri"/>
                <w:noProof/>
              </w:rPr>
            </w:pPr>
            <w:r>
              <w:rPr>
                <w:noProof/>
              </w:rPr>
              <w:t xml:space="preserve">Inrättande av minst 15 000 nya platser och renovering av de återstående platserna för barn, äldre, personer med funktionsnedsättning och andra utsatta personer i daghem, äldreboenden, daghem, Domiciliary Support Services (DAS), centrum för verksamhet och egenmakt för inkludering (CACI), Residences for Autonomy and Inclusion samt innovativa typindelningar. </w:t>
            </w:r>
          </w:p>
          <w:p w14:paraId="3267A930" w14:textId="663DC4DC" w:rsidR="00E040FD" w:rsidRDefault="00740D64">
            <w:pPr>
              <w:pStyle w:val="P68B1DB1-Normal8"/>
              <w:spacing w:after="0" w:line="240" w:lineRule="auto"/>
              <w:jc w:val="both"/>
              <w:rPr>
                <w:rFonts w:eastAsia="Times New Roman" w:cs="Calibri"/>
                <w:noProof/>
              </w:rPr>
            </w:pPr>
            <w:r>
              <w:rPr>
                <w:noProof/>
              </w:rPr>
              <w:t>Vid uppförande av nya byggnader ska de nya byggnaderna ha ett primärenergibehov som är minst 20 % lägre än kraven för nära-nollenergibyggnader.</w:t>
            </w:r>
          </w:p>
        </w:tc>
      </w:tr>
      <w:tr w:rsidR="00E040FD" w14:paraId="276146CB" w14:textId="77777777">
        <w:trPr>
          <w:trHeight w:val="1278"/>
        </w:trPr>
        <w:tc>
          <w:tcPr>
            <w:tcW w:w="1124" w:type="dxa"/>
            <w:shd w:val="clear" w:color="auto" w:fill="C5EFCE"/>
            <w:vAlign w:val="center"/>
            <w:hideMark/>
          </w:tcPr>
          <w:p w14:paraId="1C1BF1A0" w14:textId="77777777" w:rsidR="00E040FD" w:rsidRDefault="00740D64">
            <w:pPr>
              <w:pStyle w:val="P68B1DB1-Normal7"/>
              <w:spacing w:after="0" w:line="240" w:lineRule="auto"/>
              <w:jc w:val="center"/>
              <w:rPr>
                <w:rFonts w:eastAsia="Times New Roman" w:cs="Calibri"/>
                <w:noProof/>
              </w:rPr>
            </w:pPr>
            <w:r>
              <w:rPr>
                <w:noProof/>
              </w:rPr>
              <w:t>3.5</w:t>
            </w:r>
          </w:p>
        </w:tc>
        <w:tc>
          <w:tcPr>
            <w:tcW w:w="1143" w:type="dxa"/>
            <w:shd w:val="clear" w:color="auto" w:fill="C4EFCE"/>
            <w:vAlign w:val="center"/>
            <w:hideMark/>
          </w:tcPr>
          <w:p w14:paraId="77113DE5" w14:textId="77777777" w:rsidR="00E040FD" w:rsidRDefault="00740D6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6B8071ED"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399F7521" w14:textId="500588C1" w:rsidR="00E040FD" w:rsidRDefault="00740D64">
            <w:pPr>
              <w:pStyle w:val="P68B1DB1-Normal8"/>
              <w:spacing w:after="0" w:line="240" w:lineRule="auto"/>
              <w:jc w:val="center"/>
              <w:rPr>
                <w:rFonts w:eastAsia="Times New Roman" w:cs="Calibri"/>
                <w:noProof/>
              </w:rPr>
            </w:pPr>
            <w:r>
              <w:rPr>
                <w:noProof/>
              </w:rPr>
              <w:t>Hemstödsanvändare och personal som får tillgång till surfplattor och annan it- och kommunikationsutrustning, teknisk stödutrustning eller utbildning.</w:t>
            </w:r>
          </w:p>
        </w:tc>
        <w:tc>
          <w:tcPr>
            <w:tcW w:w="1486" w:type="dxa"/>
            <w:shd w:val="clear" w:color="auto" w:fill="C4EFCE"/>
            <w:vAlign w:val="center"/>
            <w:hideMark/>
          </w:tcPr>
          <w:p w14:paraId="355D3959"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46DD450"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1476D7C2"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2E3FE706" w14:textId="7F5C4600" w:rsidR="00E040FD" w:rsidRDefault="00740D64">
            <w:pPr>
              <w:pStyle w:val="P68B1DB1-Normal8"/>
              <w:spacing w:after="0" w:line="240" w:lineRule="auto"/>
              <w:jc w:val="center"/>
              <w:rPr>
                <w:rFonts w:eastAsia="Times New Roman" w:cs="Calibri"/>
                <w:noProof/>
              </w:rPr>
            </w:pPr>
            <w:r>
              <w:rPr>
                <w:noProof/>
              </w:rPr>
              <w:t>63 825</w:t>
            </w:r>
          </w:p>
        </w:tc>
        <w:tc>
          <w:tcPr>
            <w:tcW w:w="680" w:type="dxa"/>
            <w:shd w:val="clear" w:color="auto" w:fill="C4EFCE"/>
            <w:vAlign w:val="center"/>
            <w:hideMark/>
          </w:tcPr>
          <w:p w14:paraId="648E97D6" w14:textId="77777777" w:rsidR="00E040FD" w:rsidRDefault="00740D64">
            <w:pPr>
              <w:pStyle w:val="P68B1DB1-Normal8"/>
              <w:spacing w:after="0" w:line="240" w:lineRule="auto"/>
              <w:jc w:val="center"/>
              <w:rPr>
                <w:rFonts w:eastAsia="Times New Roman" w:cs="Calibri"/>
                <w:noProof/>
              </w:rPr>
            </w:pPr>
            <w:r>
              <w:rPr>
                <w:noProof/>
              </w:rPr>
              <w:t>KVARTAL 1</w:t>
            </w:r>
          </w:p>
        </w:tc>
        <w:tc>
          <w:tcPr>
            <w:tcW w:w="845" w:type="dxa"/>
            <w:shd w:val="clear" w:color="auto" w:fill="C4EFCE"/>
            <w:vAlign w:val="center"/>
            <w:hideMark/>
          </w:tcPr>
          <w:p w14:paraId="4D63D198" w14:textId="77777777" w:rsidR="00E040FD" w:rsidRDefault="00740D64">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096CA0CB" w14:textId="5268AE85" w:rsidR="00E040FD" w:rsidRDefault="00740D64">
            <w:pPr>
              <w:pStyle w:val="P68B1DB1-Normal8"/>
              <w:spacing w:after="0" w:line="240" w:lineRule="auto"/>
              <w:jc w:val="both"/>
              <w:rPr>
                <w:rFonts w:eastAsia="Times New Roman" w:cs="Calibri"/>
                <w:noProof/>
              </w:rPr>
            </w:pPr>
            <w:r>
              <w:rPr>
                <w:noProof/>
              </w:rPr>
              <w:t>Antal användare eller personal vid hemstödstjänster som får tillgång till åtminstone en surfplatta och annan it- och kommunikationsutrustning, eller teknisk stödutrustning eller utbildning.</w:t>
            </w:r>
          </w:p>
        </w:tc>
      </w:tr>
      <w:tr w:rsidR="00E040FD" w14:paraId="40CC812A" w14:textId="77777777">
        <w:trPr>
          <w:trHeight w:val="509"/>
        </w:trPr>
        <w:tc>
          <w:tcPr>
            <w:tcW w:w="1124" w:type="dxa"/>
            <w:shd w:val="clear" w:color="auto" w:fill="C5EFCE"/>
            <w:vAlign w:val="center"/>
            <w:hideMark/>
          </w:tcPr>
          <w:p w14:paraId="59E59251" w14:textId="6D4000F0" w:rsidR="00E040FD" w:rsidRDefault="00740D64">
            <w:pPr>
              <w:pStyle w:val="P68B1DB1-Normal7"/>
              <w:spacing w:after="0" w:line="240" w:lineRule="auto"/>
              <w:jc w:val="center"/>
              <w:rPr>
                <w:rFonts w:eastAsia="Times New Roman" w:cs="Calibri"/>
                <w:noProof/>
              </w:rPr>
            </w:pPr>
            <w:r>
              <w:rPr>
                <w:noProof/>
              </w:rPr>
              <w:t>3.6</w:t>
            </w:r>
          </w:p>
        </w:tc>
        <w:tc>
          <w:tcPr>
            <w:tcW w:w="1143" w:type="dxa"/>
            <w:shd w:val="clear" w:color="auto" w:fill="C4EFCE"/>
            <w:vAlign w:val="center"/>
            <w:hideMark/>
          </w:tcPr>
          <w:p w14:paraId="572B0C95" w14:textId="77777777" w:rsidR="00E040FD" w:rsidRDefault="00740D64">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298EA432" w14:textId="77777777" w:rsidR="00E040FD" w:rsidRDefault="00740D64">
            <w:pPr>
              <w:pStyle w:val="P68B1DB1-Normal8"/>
              <w:spacing w:after="0" w:line="240" w:lineRule="auto"/>
              <w:jc w:val="center"/>
              <w:rPr>
                <w:rFonts w:eastAsia="Times New Roman" w:cs="Calibri"/>
                <w:noProof/>
              </w:rPr>
            </w:pPr>
            <w:r>
              <w:rPr>
                <w:noProof/>
              </w:rPr>
              <w:t> T</w:t>
            </w:r>
          </w:p>
        </w:tc>
        <w:tc>
          <w:tcPr>
            <w:tcW w:w="1740" w:type="dxa"/>
            <w:shd w:val="clear" w:color="auto" w:fill="C4EFCE"/>
            <w:vAlign w:val="center"/>
            <w:hideMark/>
          </w:tcPr>
          <w:p w14:paraId="603DD380" w14:textId="77777777" w:rsidR="00E040FD" w:rsidRDefault="00740D64">
            <w:pPr>
              <w:pStyle w:val="P68B1DB1-Normal8"/>
              <w:spacing w:after="0" w:line="240" w:lineRule="auto"/>
              <w:jc w:val="center"/>
              <w:rPr>
                <w:rFonts w:eastAsia="Times New Roman" w:cs="Calibri"/>
                <w:noProof/>
              </w:rPr>
            </w:pPr>
            <w:r>
              <w:rPr>
                <w:noProof/>
              </w:rPr>
              <w:t>Bostäder med förbättrad tillgänglighet för personer med nedsatt rörlighet</w:t>
            </w:r>
          </w:p>
        </w:tc>
        <w:tc>
          <w:tcPr>
            <w:tcW w:w="1486" w:type="dxa"/>
            <w:shd w:val="clear" w:color="auto" w:fill="C4EFCE"/>
            <w:vAlign w:val="center"/>
            <w:hideMark/>
          </w:tcPr>
          <w:p w14:paraId="3EE7BE53"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B7D5469"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721C2D50"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3E0348DA" w14:textId="77777777" w:rsidR="00E040FD" w:rsidRDefault="00740D64">
            <w:pPr>
              <w:pStyle w:val="P68B1DB1-Normal8"/>
              <w:spacing w:after="0" w:line="240" w:lineRule="auto"/>
              <w:jc w:val="center"/>
              <w:rPr>
                <w:rFonts w:eastAsia="Times New Roman" w:cs="Calibri"/>
                <w:noProof/>
              </w:rPr>
            </w:pPr>
            <w:r>
              <w:rPr>
                <w:noProof/>
              </w:rPr>
              <w:t>190</w:t>
            </w:r>
          </w:p>
        </w:tc>
        <w:tc>
          <w:tcPr>
            <w:tcW w:w="680" w:type="dxa"/>
            <w:shd w:val="clear" w:color="auto" w:fill="C4EFCE"/>
            <w:vAlign w:val="center"/>
            <w:hideMark/>
          </w:tcPr>
          <w:p w14:paraId="1F0EB787" w14:textId="77777777" w:rsidR="00E040FD" w:rsidRDefault="00740D64">
            <w:pPr>
              <w:pStyle w:val="P68B1DB1-Normal8"/>
              <w:spacing w:after="0" w:line="240" w:lineRule="auto"/>
              <w:jc w:val="center"/>
              <w:rPr>
                <w:rFonts w:eastAsia="Times New Roman" w:cs="Calibri"/>
                <w:noProof/>
              </w:rPr>
            </w:pPr>
            <w:r>
              <w:rPr>
                <w:noProof/>
              </w:rPr>
              <w:t>KVARTAL 2</w:t>
            </w:r>
          </w:p>
        </w:tc>
        <w:tc>
          <w:tcPr>
            <w:tcW w:w="845" w:type="dxa"/>
            <w:shd w:val="clear" w:color="auto" w:fill="C4EFCE"/>
            <w:vAlign w:val="center"/>
            <w:hideMark/>
          </w:tcPr>
          <w:p w14:paraId="12A371D7" w14:textId="11F671CD" w:rsidR="00E040FD" w:rsidRDefault="00740D64">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2352F6A3" w14:textId="77777777" w:rsidR="00E040FD" w:rsidRDefault="00740D64">
            <w:pPr>
              <w:pStyle w:val="P68B1DB1-Normal8"/>
              <w:spacing w:after="0" w:line="240" w:lineRule="auto"/>
              <w:jc w:val="both"/>
              <w:rPr>
                <w:rFonts w:eastAsia="Times New Roman" w:cs="Calibri"/>
                <w:noProof/>
              </w:rPr>
            </w:pPr>
            <w:r>
              <w:rPr>
                <w:noProof/>
              </w:rPr>
              <w:t>Antal bostäder (med en genomsnittlig yta på 40 m²) som omfattas av insatser för att förbättra tillgänglighetsvillkoren för personer med nedsatt rörlighet.</w:t>
            </w:r>
          </w:p>
        </w:tc>
      </w:tr>
      <w:tr w:rsidR="00E040FD" w14:paraId="105F1008" w14:textId="77777777">
        <w:trPr>
          <w:trHeight w:val="969"/>
        </w:trPr>
        <w:tc>
          <w:tcPr>
            <w:tcW w:w="1124" w:type="dxa"/>
            <w:shd w:val="clear" w:color="auto" w:fill="C5EFCE"/>
            <w:vAlign w:val="center"/>
            <w:hideMark/>
          </w:tcPr>
          <w:p w14:paraId="28A12150" w14:textId="77777777" w:rsidR="00E040FD" w:rsidRDefault="00740D64">
            <w:pPr>
              <w:pStyle w:val="P68B1DB1-Normal7"/>
              <w:spacing w:after="0" w:line="240" w:lineRule="auto"/>
              <w:jc w:val="center"/>
              <w:rPr>
                <w:rFonts w:eastAsia="Times New Roman" w:cs="Calibri"/>
                <w:noProof/>
              </w:rPr>
            </w:pPr>
            <w:r>
              <w:rPr>
                <w:noProof/>
              </w:rPr>
              <w:t>3.7</w:t>
            </w:r>
          </w:p>
        </w:tc>
        <w:tc>
          <w:tcPr>
            <w:tcW w:w="1143" w:type="dxa"/>
            <w:shd w:val="clear" w:color="auto" w:fill="C4EFCE"/>
            <w:vAlign w:val="center"/>
            <w:hideMark/>
          </w:tcPr>
          <w:p w14:paraId="4887AF7C" w14:textId="77777777" w:rsidR="00E040FD" w:rsidRDefault="00740D64">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18641572"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2977162" w14:textId="77777777" w:rsidR="00E040FD" w:rsidRDefault="00740D64">
            <w:pPr>
              <w:pStyle w:val="P68B1DB1-Normal8"/>
              <w:spacing w:after="0" w:line="240" w:lineRule="auto"/>
              <w:jc w:val="center"/>
              <w:rPr>
                <w:rFonts w:eastAsia="Times New Roman" w:cs="Calibri"/>
                <w:noProof/>
              </w:rPr>
            </w:pPr>
            <w:r>
              <w:rPr>
                <w:noProof/>
              </w:rPr>
              <w:t>Bostäder med förbättrad tillgänglighet för personer med nedsatt rörlighet</w:t>
            </w:r>
          </w:p>
        </w:tc>
        <w:tc>
          <w:tcPr>
            <w:tcW w:w="1486" w:type="dxa"/>
            <w:shd w:val="clear" w:color="auto" w:fill="C4EFCE"/>
            <w:vAlign w:val="center"/>
            <w:hideMark/>
          </w:tcPr>
          <w:p w14:paraId="16E59492"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08161F6"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7E97C154" w14:textId="77777777" w:rsidR="00E040FD" w:rsidRDefault="00740D64">
            <w:pPr>
              <w:pStyle w:val="P68B1DB1-Normal8"/>
              <w:spacing w:after="0" w:line="240" w:lineRule="auto"/>
              <w:jc w:val="center"/>
              <w:rPr>
                <w:rFonts w:eastAsia="Times New Roman" w:cs="Calibri"/>
                <w:noProof/>
              </w:rPr>
            </w:pPr>
            <w:r>
              <w:rPr>
                <w:noProof/>
              </w:rPr>
              <w:t>190</w:t>
            </w:r>
          </w:p>
        </w:tc>
        <w:tc>
          <w:tcPr>
            <w:tcW w:w="882" w:type="dxa"/>
            <w:shd w:val="clear" w:color="auto" w:fill="C4EFCE"/>
            <w:vAlign w:val="center"/>
            <w:hideMark/>
          </w:tcPr>
          <w:p w14:paraId="1EE09EBE" w14:textId="77777777" w:rsidR="00E040FD" w:rsidRDefault="00740D64">
            <w:pPr>
              <w:pStyle w:val="P68B1DB1-Normal8"/>
              <w:spacing w:after="0" w:line="240" w:lineRule="auto"/>
              <w:jc w:val="center"/>
              <w:rPr>
                <w:rFonts w:eastAsia="Times New Roman" w:cs="Calibri"/>
                <w:noProof/>
              </w:rPr>
            </w:pPr>
            <w:r>
              <w:rPr>
                <w:noProof/>
              </w:rPr>
              <w:t>1 000</w:t>
            </w:r>
          </w:p>
        </w:tc>
        <w:tc>
          <w:tcPr>
            <w:tcW w:w="680" w:type="dxa"/>
            <w:shd w:val="clear" w:color="auto" w:fill="C4EFCE"/>
            <w:vAlign w:val="center"/>
            <w:hideMark/>
          </w:tcPr>
          <w:p w14:paraId="2A369B58"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0BF23AEA" w14:textId="77777777" w:rsidR="00E040FD" w:rsidRDefault="00740D6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66CAE278" w14:textId="36788C6E" w:rsidR="00E040FD" w:rsidRDefault="00740D64">
            <w:pPr>
              <w:pStyle w:val="P68B1DB1-Normal8"/>
              <w:spacing w:after="0" w:line="240" w:lineRule="auto"/>
              <w:jc w:val="both"/>
              <w:rPr>
                <w:rFonts w:eastAsia="Times New Roman" w:cs="Calibri"/>
                <w:noProof/>
              </w:rPr>
            </w:pPr>
            <w:r>
              <w:rPr>
                <w:noProof/>
              </w:rPr>
              <w:t xml:space="preserve">Antal bostäder (med en genomsnittlig yta på 40 m²) som omfattas av insatser för att förbättra tillgänglighetsvillkoren för personer med nedsatt rörlighet. </w:t>
            </w:r>
          </w:p>
        </w:tc>
      </w:tr>
      <w:tr w:rsidR="00E040FD" w14:paraId="0E79D576" w14:textId="77777777">
        <w:trPr>
          <w:trHeight w:val="509"/>
        </w:trPr>
        <w:tc>
          <w:tcPr>
            <w:tcW w:w="1124" w:type="dxa"/>
            <w:shd w:val="clear" w:color="auto" w:fill="C5EFCE"/>
            <w:vAlign w:val="center"/>
            <w:hideMark/>
          </w:tcPr>
          <w:p w14:paraId="29F6AEBE" w14:textId="77777777" w:rsidR="00E040FD" w:rsidRDefault="00740D64">
            <w:pPr>
              <w:pStyle w:val="P68B1DB1-Normal7"/>
              <w:spacing w:after="0" w:line="240" w:lineRule="auto"/>
              <w:jc w:val="center"/>
              <w:rPr>
                <w:rFonts w:eastAsia="Times New Roman" w:cs="Calibri"/>
                <w:noProof/>
              </w:rPr>
            </w:pPr>
            <w:r>
              <w:rPr>
                <w:noProof/>
              </w:rPr>
              <w:t>3.8</w:t>
            </w:r>
          </w:p>
        </w:tc>
        <w:tc>
          <w:tcPr>
            <w:tcW w:w="1143" w:type="dxa"/>
            <w:shd w:val="clear" w:color="auto" w:fill="C4EFCE"/>
            <w:vAlign w:val="center"/>
            <w:hideMark/>
          </w:tcPr>
          <w:p w14:paraId="779A6C76" w14:textId="77777777" w:rsidR="00E040FD" w:rsidRDefault="00740D64">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7A3FE8F8"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00D966E9" w14:textId="77777777" w:rsidR="00E040FD" w:rsidRDefault="00740D64">
            <w:pPr>
              <w:pStyle w:val="P68B1DB1-Normal8"/>
              <w:spacing w:after="0" w:line="240" w:lineRule="auto"/>
              <w:jc w:val="center"/>
              <w:rPr>
                <w:rFonts w:eastAsia="Times New Roman" w:cs="Calibri"/>
                <w:noProof/>
              </w:rPr>
            </w:pPr>
            <w:r>
              <w:rPr>
                <w:noProof/>
              </w:rPr>
              <w:t xml:space="preserve">Offentliga platser med förbättrad tillgänglighet för personer med nedsatt rörlighet </w:t>
            </w:r>
          </w:p>
        </w:tc>
        <w:tc>
          <w:tcPr>
            <w:tcW w:w="1486" w:type="dxa"/>
            <w:shd w:val="clear" w:color="auto" w:fill="C4EFCE"/>
            <w:vAlign w:val="center"/>
            <w:hideMark/>
          </w:tcPr>
          <w:p w14:paraId="2F4DB304"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2D96709"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7952ADA7"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73DCDF0B" w14:textId="3EC07D00" w:rsidR="00E040FD" w:rsidRDefault="00740D64">
            <w:pPr>
              <w:pStyle w:val="P68B1DB1-Normal8"/>
              <w:spacing w:after="0" w:line="240" w:lineRule="auto"/>
              <w:jc w:val="center"/>
              <w:rPr>
                <w:rFonts w:eastAsia="Times New Roman" w:cs="Calibri"/>
                <w:noProof/>
              </w:rPr>
            </w:pPr>
            <w:r>
              <w:rPr>
                <w:noProof/>
              </w:rPr>
              <w:t>200 000</w:t>
            </w:r>
          </w:p>
        </w:tc>
        <w:tc>
          <w:tcPr>
            <w:tcW w:w="680" w:type="dxa"/>
            <w:shd w:val="clear" w:color="auto" w:fill="C4EFCE"/>
            <w:vAlign w:val="center"/>
            <w:hideMark/>
          </w:tcPr>
          <w:p w14:paraId="7B65A11A"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04E2693F" w14:textId="77777777" w:rsidR="00E040FD" w:rsidRDefault="00740D6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7CEC40AB" w14:textId="77777777" w:rsidR="00E040FD" w:rsidRDefault="00740D64">
            <w:pPr>
              <w:pStyle w:val="P68B1DB1-Normal8"/>
              <w:spacing w:after="0" w:line="240" w:lineRule="auto"/>
              <w:jc w:val="both"/>
              <w:rPr>
                <w:rFonts w:eastAsia="Times New Roman" w:cs="Calibri"/>
                <w:noProof/>
              </w:rPr>
            </w:pPr>
            <w:r>
              <w:rPr>
                <w:noProof/>
              </w:rPr>
              <w:t>Offentliga utrymmen (torg, trottoarer osv.) i kvadratmeter som omfattas av insatser (främst utjämning av gångvägar, passage av spår, trafikreglering, omlokalisering av infrastruktur och gatuutrustning, förbättrad tillgång till byggnader) för att förbättra tillgänglighetsvillkoren för personer med nedsatt rörlighet.</w:t>
            </w:r>
          </w:p>
        </w:tc>
      </w:tr>
      <w:tr w:rsidR="00E040FD" w14:paraId="5F588498" w14:textId="77777777">
        <w:trPr>
          <w:trHeight w:val="1120"/>
        </w:trPr>
        <w:tc>
          <w:tcPr>
            <w:tcW w:w="1124" w:type="dxa"/>
            <w:shd w:val="clear" w:color="auto" w:fill="C5EFCE"/>
            <w:vAlign w:val="center"/>
            <w:hideMark/>
          </w:tcPr>
          <w:p w14:paraId="36901FF3" w14:textId="77777777" w:rsidR="00E040FD" w:rsidRDefault="00740D64">
            <w:pPr>
              <w:pStyle w:val="P68B1DB1-Normal7"/>
              <w:spacing w:after="0" w:line="240" w:lineRule="auto"/>
              <w:jc w:val="center"/>
              <w:rPr>
                <w:rFonts w:eastAsia="Times New Roman" w:cs="Calibri"/>
                <w:noProof/>
              </w:rPr>
            </w:pPr>
            <w:r>
              <w:rPr>
                <w:noProof/>
              </w:rPr>
              <w:t>3.9</w:t>
            </w:r>
          </w:p>
        </w:tc>
        <w:tc>
          <w:tcPr>
            <w:tcW w:w="1143" w:type="dxa"/>
            <w:shd w:val="clear" w:color="auto" w:fill="C4EFCE"/>
            <w:vAlign w:val="center"/>
            <w:hideMark/>
          </w:tcPr>
          <w:p w14:paraId="52268B9C" w14:textId="77777777" w:rsidR="00E040FD" w:rsidRDefault="00740D64">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2BC6D3D0"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05B89ADF" w14:textId="77777777" w:rsidR="00E040FD" w:rsidRDefault="00740D64">
            <w:pPr>
              <w:pStyle w:val="P68B1DB1-Normal8"/>
              <w:spacing w:after="0" w:line="240" w:lineRule="auto"/>
              <w:jc w:val="center"/>
              <w:rPr>
                <w:rFonts w:eastAsia="Times New Roman" w:cs="Calibri"/>
                <w:noProof/>
              </w:rPr>
            </w:pPr>
            <w:r>
              <w:rPr>
                <w:noProof/>
              </w:rPr>
              <w:t xml:space="preserve">Offentliga tjänster med förbättrad tillgänglighet för personer med begränsad rörlighet </w:t>
            </w:r>
          </w:p>
        </w:tc>
        <w:tc>
          <w:tcPr>
            <w:tcW w:w="1486" w:type="dxa"/>
            <w:shd w:val="clear" w:color="auto" w:fill="C4EFCE"/>
            <w:vAlign w:val="center"/>
            <w:hideMark/>
          </w:tcPr>
          <w:p w14:paraId="161A1B5B"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2982A55"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229CC22B"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72D1A371" w14:textId="77777777" w:rsidR="00E040FD" w:rsidRDefault="00740D64">
            <w:pPr>
              <w:pStyle w:val="P68B1DB1-Normal8"/>
              <w:spacing w:after="0" w:line="240" w:lineRule="auto"/>
              <w:jc w:val="center"/>
              <w:rPr>
                <w:rFonts w:eastAsia="Times New Roman" w:cs="Calibri"/>
                <w:noProof/>
              </w:rPr>
            </w:pPr>
            <w:r>
              <w:rPr>
                <w:noProof/>
              </w:rPr>
              <w:t>1 500</w:t>
            </w:r>
          </w:p>
        </w:tc>
        <w:tc>
          <w:tcPr>
            <w:tcW w:w="680" w:type="dxa"/>
            <w:shd w:val="clear" w:color="auto" w:fill="C4EFCE"/>
            <w:vAlign w:val="center"/>
            <w:hideMark/>
          </w:tcPr>
          <w:p w14:paraId="6F782341"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6EED6288" w14:textId="77777777" w:rsidR="00E040FD" w:rsidRDefault="00740D6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23E9E73B" w14:textId="77777777" w:rsidR="00E040FD" w:rsidRDefault="00740D64">
            <w:pPr>
              <w:pStyle w:val="P68B1DB1-Normal8"/>
              <w:spacing w:after="0" w:line="240" w:lineRule="auto"/>
              <w:jc w:val="both"/>
              <w:rPr>
                <w:rFonts w:eastAsia="Times New Roman" w:cs="Calibri"/>
                <w:noProof/>
              </w:rPr>
            </w:pPr>
            <w:r>
              <w:rPr>
                <w:noProof/>
              </w:rPr>
              <w:t xml:space="preserve">Antal anläggningar för offentliga tjänster som omfattas av insatser (främst ramper och dörrar till byggnader, diskar och sanitära inrättningar som antagits för personer med funktionsnedsättning) för att förbättra tillgänglighetsvillkoren för personer med nedsatt rörlighet. </w:t>
            </w:r>
          </w:p>
        </w:tc>
      </w:tr>
      <w:tr w:rsidR="00E040FD" w14:paraId="69D82E93" w14:textId="77777777">
        <w:trPr>
          <w:trHeight w:val="1395"/>
        </w:trPr>
        <w:tc>
          <w:tcPr>
            <w:tcW w:w="1124" w:type="dxa"/>
            <w:shd w:val="clear" w:color="auto" w:fill="C5EFCE"/>
            <w:vAlign w:val="center"/>
            <w:hideMark/>
          </w:tcPr>
          <w:p w14:paraId="61E3A3F7" w14:textId="77777777" w:rsidR="00E040FD" w:rsidRDefault="00740D64">
            <w:pPr>
              <w:pStyle w:val="P68B1DB1-Normal7"/>
              <w:spacing w:after="0" w:line="240" w:lineRule="auto"/>
              <w:jc w:val="center"/>
              <w:rPr>
                <w:rFonts w:eastAsia="Times New Roman" w:cs="Calibri"/>
                <w:noProof/>
              </w:rPr>
            </w:pPr>
            <w:r>
              <w:rPr>
                <w:noProof/>
              </w:rPr>
              <w:t>3.10</w:t>
            </w:r>
          </w:p>
        </w:tc>
        <w:tc>
          <w:tcPr>
            <w:tcW w:w="1143" w:type="dxa"/>
            <w:shd w:val="clear" w:color="auto" w:fill="C4EFCE"/>
            <w:vAlign w:val="center"/>
            <w:hideMark/>
          </w:tcPr>
          <w:p w14:paraId="75163862" w14:textId="77777777" w:rsidR="00E040FD" w:rsidRDefault="00740D64">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hideMark/>
          </w:tcPr>
          <w:p w14:paraId="707DF8E4"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BC2353F" w14:textId="04A2B32C" w:rsidR="00E040FD" w:rsidRDefault="00740D64">
            <w:pPr>
              <w:pStyle w:val="P68B1DB1-Normal8"/>
              <w:spacing w:after="0" w:line="240" w:lineRule="auto"/>
              <w:jc w:val="center"/>
              <w:rPr>
                <w:rFonts w:eastAsia="Times New Roman" w:cs="Calibri"/>
                <w:noProof/>
              </w:rPr>
            </w:pPr>
            <w:r>
              <w:rPr>
                <w:noProof/>
              </w:rPr>
              <w:t xml:space="preserve">Nya och rehabiliterade platser i boendehem och andra vårdhem </w:t>
            </w:r>
          </w:p>
        </w:tc>
        <w:tc>
          <w:tcPr>
            <w:tcW w:w="1486" w:type="dxa"/>
            <w:shd w:val="clear" w:color="auto" w:fill="C4EFCE"/>
            <w:vAlign w:val="center"/>
            <w:hideMark/>
          </w:tcPr>
          <w:p w14:paraId="54817373"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536DA26"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245B8F57"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796C489" w14:textId="77777777" w:rsidR="00E040FD" w:rsidRDefault="00740D64">
            <w:pPr>
              <w:pStyle w:val="P68B1DB1-Normal8"/>
              <w:spacing w:after="0" w:line="240" w:lineRule="auto"/>
              <w:jc w:val="center"/>
              <w:rPr>
                <w:rFonts w:eastAsia="Times New Roman" w:cs="Calibri"/>
                <w:noProof/>
              </w:rPr>
            </w:pPr>
            <w:r>
              <w:rPr>
                <w:noProof/>
              </w:rPr>
              <w:t>910</w:t>
            </w:r>
          </w:p>
        </w:tc>
        <w:tc>
          <w:tcPr>
            <w:tcW w:w="680" w:type="dxa"/>
            <w:shd w:val="clear" w:color="auto" w:fill="C4EFCE"/>
            <w:vAlign w:val="center"/>
            <w:hideMark/>
          </w:tcPr>
          <w:p w14:paraId="1DFEA3FF" w14:textId="13AEB4A7" w:rsidR="00E040FD" w:rsidRDefault="00740D64">
            <w:pPr>
              <w:pStyle w:val="P68B1DB1-Normal8"/>
              <w:spacing w:after="0" w:line="240" w:lineRule="auto"/>
              <w:jc w:val="center"/>
              <w:rPr>
                <w:rFonts w:eastAsia="Times New Roman" w:cs="Calibri"/>
                <w:noProof/>
              </w:rPr>
            </w:pPr>
            <w:r>
              <w:rPr>
                <w:noProof/>
              </w:rPr>
              <w:t>KVARTAL 3</w:t>
            </w:r>
          </w:p>
        </w:tc>
        <w:tc>
          <w:tcPr>
            <w:tcW w:w="845" w:type="dxa"/>
            <w:shd w:val="clear" w:color="auto" w:fill="C4EFCE"/>
            <w:vAlign w:val="center"/>
            <w:hideMark/>
          </w:tcPr>
          <w:p w14:paraId="4CE63A83" w14:textId="65E00CC5" w:rsidR="00E040FD" w:rsidRDefault="00740D6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375F9B5E" w14:textId="7A69E91F" w:rsidR="00E040FD" w:rsidRDefault="00740D64">
            <w:pPr>
              <w:pStyle w:val="P68B1DB1-Normal8"/>
              <w:spacing w:after="0" w:line="240" w:lineRule="auto"/>
              <w:jc w:val="both"/>
              <w:rPr>
                <w:rFonts w:eastAsia="Times New Roman" w:cs="Calibri"/>
                <w:noProof/>
              </w:rPr>
            </w:pPr>
            <w:r>
              <w:rPr>
                <w:noProof/>
              </w:rPr>
              <w:t>Antal nya och återställda platser som finns tillgängliga på vårdhem och andra vårdhem (inklusive dagcenter och nattcentra) i den autonoma regionen Madeira. Nya byggnader ska ha ett primärenergibehov som är minst 20 % lägre än kraven för nära-nollenergibyggnader, och renoverade byggnader med förbättrad energiprestanda.</w:t>
            </w:r>
          </w:p>
        </w:tc>
      </w:tr>
      <w:tr w:rsidR="00E040FD" w14:paraId="707B112D" w14:textId="77777777">
        <w:trPr>
          <w:trHeight w:val="821"/>
        </w:trPr>
        <w:tc>
          <w:tcPr>
            <w:tcW w:w="1124" w:type="dxa"/>
            <w:shd w:val="clear" w:color="auto" w:fill="C5EFCE"/>
            <w:vAlign w:val="center"/>
            <w:hideMark/>
          </w:tcPr>
          <w:p w14:paraId="257FBDE8" w14:textId="77777777" w:rsidR="00E040FD" w:rsidRDefault="00740D64">
            <w:pPr>
              <w:pStyle w:val="P68B1DB1-Normal7"/>
              <w:spacing w:after="0" w:line="240" w:lineRule="auto"/>
              <w:jc w:val="center"/>
              <w:rPr>
                <w:rFonts w:eastAsia="Times New Roman" w:cs="Calibri"/>
                <w:noProof/>
              </w:rPr>
            </w:pPr>
            <w:r>
              <w:rPr>
                <w:noProof/>
              </w:rPr>
              <w:t>3.11</w:t>
            </w:r>
          </w:p>
        </w:tc>
        <w:tc>
          <w:tcPr>
            <w:tcW w:w="1143" w:type="dxa"/>
            <w:shd w:val="clear" w:color="auto" w:fill="C4EFCE"/>
            <w:vAlign w:val="center"/>
            <w:hideMark/>
          </w:tcPr>
          <w:p w14:paraId="30A53477" w14:textId="77777777" w:rsidR="00E040FD" w:rsidRDefault="00740D64">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hideMark/>
          </w:tcPr>
          <w:p w14:paraId="4CDA8223"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75BF4870" w14:textId="0787763E" w:rsidR="00E040FD" w:rsidRDefault="00740D64">
            <w:pPr>
              <w:pStyle w:val="P68B1DB1-Normal8"/>
              <w:spacing w:after="0" w:line="240" w:lineRule="auto"/>
              <w:jc w:val="center"/>
              <w:rPr>
                <w:rFonts w:eastAsia="Times New Roman" w:cs="Calibri"/>
                <w:noProof/>
              </w:rPr>
            </w:pPr>
            <w:r>
              <w:rPr>
                <w:noProof/>
              </w:rPr>
              <w:t>Life-planer för integrering av hemlösa.</w:t>
            </w:r>
          </w:p>
        </w:tc>
        <w:tc>
          <w:tcPr>
            <w:tcW w:w="1486" w:type="dxa"/>
            <w:shd w:val="clear" w:color="auto" w:fill="C4EFCE"/>
            <w:vAlign w:val="center"/>
            <w:hideMark/>
          </w:tcPr>
          <w:p w14:paraId="464AD4B7"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FCF5D34"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11375CE0" w14:textId="77777777" w:rsidR="00E040FD" w:rsidRDefault="00740D64">
            <w:pPr>
              <w:pStyle w:val="P68B1DB1-Normal8"/>
              <w:spacing w:after="0" w:line="240" w:lineRule="auto"/>
              <w:jc w:val="center"/>
              <w:rPr>
                <w:rFonts w:eastAsia="Times New Roman" w:cs="Calibri"/>
                <w:noProof/>
              </w:rPr>
            </w:pPr>
            <w:r>
              <w:rPr>
                <w:noProof/>
              </w:rPr>
              <w:t> 0</w:t>
            </w:r>
          </w:p>
        </w:tc>
        <w:tc>
          <w:tcPr>
            <w:tcW w:w="882" w:type="dxa"/>
            <w:shd w:val="clear" w:color="auto" w:fill="C4EFCE"/>
            <w:vAlign w:val="center"/>
            <w:hideMark/>
          </w:tcPr>
          <w:p w14:paraId="13F2ADB5" w14:textId="77777777" w:rsidR="00E040FD" w:rsidRDefault="00740D64">
            <w:pPr>
              <w:pStyle w:val="P68B1DB1-Normal8"/>
              <w:spacing w:after="0" w:line="240" w:lineRule="auto"/>
              <w:jc w:val="center"/>
              <w:rPr>
                <w:rFonts w:eastAsia="Times New Roman" w:cs="Calibri"/>
                <w:noProof/>
              </w:rPr>
            </w:pPr>
            <w:r>
              <w:rPr>
                <w:noProof/>
              </w:rPr>
              <w:t>20</w:t>
            </w:r>
          </w:p>
        </w:tc>
        <w:tc>
          <w:tcPr>
            <w:tcW w:w="680" w:type="dxa"/>
            <w:shd w:val="clear" w:color="auto" w:fill="C4EFCE"/>
            <w:vAlign w:val="center"/>
            <w:hideMark/>
          </w:tcPr>
          <w:p w14:paraId="5FFEB24C"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490AFAA1" w14:textId="77777777" w:rsidR="00E040FD" w:rsidRDefault="00740D64">
            <w:pPr>
              <w:pStyle w:val="P68B1DB1-Normal8"/>
              <w:spacing w:after="0" w:line="240" w:lineRule="auto"/>
              <w:jc w:val="center"/>
              <w:rPr>
                <w:rFonts w:eastAsia="Times New Roman" w:cs="Calibri"/>
                <w:noProof/>
              </w:rPr>
            </w:pPr>
            <w:r>
              <w:rPr>
                <w:noProof/>
              </w:rPr>
              <w:t>2022</w:t>
            </w:r>
          </w:p>
        </w:tc>
        <w:tc>
          <w:tcPr>
            <w:tcW w:w="4277" w:type="dxa"/>
            <w:shd w:val="clear" w:color="auto" w:fill="C4EFCE"/>
            <w:vAlign w:val="center"/>
            <w:hideMark/>
          </w:tcPr>
          <w:p w14:paraId="453DD757" w14:textId="33BC55B8" w:rsidR="00E040FD" w:rsidRDefault="00740D64">
            <w:pPr>
              <w:pStyle w:val="P68B1DB1-Normal8"/>
              <w:spacing w:after="0" w:line="240" w:lineRule="auto"/>
              <w:jc w:val="both"/>
              <w:rPr>
                <w:rFonts w:eastAsia="Times New Roman" w:cs="Calibri"/>
                <w:noProof/>
              </w:rPr>
            </w:pPr>
            <w:r>
              <w:rPr>
                <w:noProof/>
              </w:rPr>
              <w:t xml:space="preserve">Antal undertecknade livsplaner för integrering av hemlösa. </w:t>
            </w:r>
          </w:p>
        </w:tc>
      </w:tr>
      <w:tr w:rsidR="00E040FD" w14:paraId="5D7D39EC" w14:textId="77777777">
        <w:trPr>
          <w:trHeight w:val="1105"/>
        </w:trPr>
        <w:tc>
          <w:tcPr>
            <w:tcW w:w="1124" w:type="dxa"/>
            <w:shd w:val="clear" w:color="auto" w:fill="C5EFCE"/>
            <w:vAlign w:val="center"/>
          </w:tcPr>
          <w:p w14:paraId="0F0EA38A" w14:textId="312A5487" w:rsidR="00E040FD" w:rsidRDefault="00740D64">
            <w:pPr>
              <w:pStyle w:val="P68B1DB1-Normal7"/>
              <w:spacing w:after="0" w:line="240" w:lineRule="auto"/>
              <w:jc w:val="center"/>
              <w:rPr>
                <w:rFonts w:eastAsia="Times New Roman" w:cs="Calibri"/>
                <w:noProof/>
              </w:rPr>
            </w:pPr>
            <w:r>
              <w:rPr>
                <w:noProof/>
              </w:rPr>
              <w:t>3.27</w:t>
            </w:r>
          </w:p>
        </w:tc>
        <w:tc>
          <w:tcPr>
            <w:tcW w:w="1143" w:type="dxa"/>
            <w:shd w:val="clear" w:color="auto" w:fill="C4EFCE"/>
            <w:vAlign w:val="center"/>
          </w:tcPr>
          <w:p w14:paraId="3FA49D08" w14:textId="0B592BB4" w:rsidR="00E040FD" w:rsidRDefault="00740D64">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tcPr>
          <w:p w14:paraId="292902B7" w14:textId="13929E9E"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tcPr>
          <w:p w14:paraId="2559F2E9" w14:textId="37016788" w:rsidR="00E040FD" w:rsidRDefault="00740D64">
            <w:pPr>
              <w:pStyle w:val="P68B1DB1-Normal8"/>
              <w:spacing w:after="0" w:line="240" w:lineRule="auto"/>
              <w:jc w:val="center"/>
              <w:rPr>
                <w:rFonts w:eastAsia="Times New Roman" w:cs="Calibri"/>
                <w:noProof/>
              </w:rPr>
            </w:pPr>
            <w:r>
              <w:rPr>
                <w:noProof/>
              </w:rPr>
              <w:t>Antal platser på vårdhem som stöder hemlösa</w:t>
            </w:r>
          </w:p>
        </w:tc>
        <w:tc>
          <w:tcPr>
            <w:tcW w:w="1486" w:type="dxa"/>
            <w:shd w:val="clear" w:color="auto" w:fill="C4EFCE"/>
            <w:vAlign w:val="center"/>
          </w:tcPr>
          <w:p w14:paraId="06C8929D" w14:textId="77777777" w:rsidR="00E040FD" w:rsidRDefault="00E040FD">
            <w:pPr>
              <w:spacing w:after="0" w:line="240" w:lineRule="auto"/>
              <w:jc w:val="center"/>
              <w:rPr>
                <w:rFonts w:ascii="Calibri" w:eastAsia="Times New Roman" w:hAnsi="Calibri" w:cs="Calibri"/>
                <w:noProof/>
                <w:sz w:val="16"/>
              </w:rPr>
            </w:pPr>
          </w:p>
        </w:tc>
        <w:tc>
          <w:tcPr>
            <w:tcW w:w="1014" w:type="dxa"/>
            <w:shd w:val="clear" w:color="auto" w:fill="C4EFCE"/>
            <w:vAlign w:val="center"/>
          </w:tcPr>
          <w:p w14:paraId="57AD4CD4" w14:textId="1F41F955"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tcPr>
          <w:p w14:paraId="2E6938E8" w14:textId="74AF9E43"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tcPr>
          <w:p w14:paraId="15B8F899" w14:textId="776DB2B8" w:rsidR="00E040FD" w:rsidRDefault="00740D64">
            <w:pPr>
              <w:pStyle w:val="P68B1DB1-Normal8"/>
              <w:spacing w:after="0" w:line="240" w:lineRule="auto"/>
              <w:jc w:val="center"/>
              <w:rPr>
                <w:rFonts w:eastAsia="Times New Roman" w:cs="Calibri"/>
                <w:noProof/>
              </w:rPr>
            </w:pPr>
            <w:r>
              <w:rPr>
                <w:noProof/>
              </w:rPr>
              <w:t>90</w:t>
            </w:r>
          </w:p>
        </w:tc>
        <w:tc>
          <w:tcPr>
            <w:tcW w:w="680" w:type="dxa"/>
            <w:shd w:val="clear" w:color="auto" w:fill="C4EFCE"/>
            <w:vAlign w:val="center"/>
          </w:tcPr>
          <w:p w14:paraId="7425B0AA" w14:textId="34EAD914"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tcPr>
          <w:p w14:paraId="64F7549B" w14:textId="0738F9EF" w:rsidR="00E040FD" w:rsidRDefault="00740D6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tcPr>
          <w:p w14:paraId="56B65A2B" w14:textId="77777777" w:rsidR="00E040FD" w:rsidRDefault="00740D64">
            <w:pPr>
              <w:pStyle w:val="P68B1DB1-Normal8"/>
              <w:spacing w:after="0" w:line="240" w:lineRule="auto"/>
              <w:jc w:val="both"/>
              <w:rPr>
                <w:rFonts w:eastAsia="Times New Roman" w:cs="Calibri"/>
                <w:noProof/>
              </w:rPr>
            </w:pPr>
            <w:r>
              <w:rPr>
                <w:noProof/>
              </w:rPr>
              <w:t>Antal platser som skapats på vårdhem som stöder hemlösa.</w:t>
            </w:r>
          </w:p>
          <w:p w14:paraId="7F75990B" w14:textId="2CADF931" w:rsidR="00E040FD" w:rsidRDefault="00740D64">
            <w:pPr>
              <w:pStyle w:val="P68B1DB1-Normal8"/>
              <w:spacing w:after="0" w:line="240" w:lineRule="auto"/>
              <w:jc w:val="both"/>
              <w:rPr>
                <w:rFonts w:eastAsia="Times New Roman" w:cs="Calibri"/>
                <w:noProof/>
              </w:rPr>
            </w:pPr>
            <w:r>
              <w:rPr>
                <w:noProof/>
              </w:rPr>
              <w:t>Vid nybyggnation ska nya byggnader ha ett primärenergibehov som är minst 20 % lägre än kraven för nära-nollenergibyggnader.</w:t>
            </w:r>
          </w:p>
        </w:tc>
      </w:tr>
      <w:tr w:rsidR="00E040FD" w14:paraId="03AF048D" w14:textId="77777777">
        <w:trPr>
          <w:trHeight w:val="1142"/>
        </w:trPr>
        <w:tc>
          <w:tcPr>
            <w:tcW w:w="1124" w:type="dxa"/>
            <w:shd w:val="clear" w:color="auto" w:fill="C5EFCE"/>
            <w:vAlign w:val="center"/>
            <w:hideMark/>
          </w:tcPr>
          <w:p w14:paraId="3C4ECCC1" w14:textId="77777777" w:rsidR="00E040FD" w:rsidRDefault="00740D64">
            <w:pPr>
              <w:pStyle w:val="P68B1DB1-Normal7"/>
              <w:spacing w:after="0" w:line="240" w:lineRule="auto"/>
              <w:jc w:val="center"/>
              <w:rPr>
                <w:rFonts w:eastAsia="Times New Roman" w:cs="Calibri"/>
                <w:noProof/>
              </w:rPr>
            </w:pPr>
            <w:r>
              <w:rPr>
                <w:noProof/>
              </w:rPr>
              <w:t>3.12</w:t>
            </w:r>
          </w:p>
        </w:tc>
        <w:tc>
          <w:tcPr>
            <w:tcW w:w="1143" w:type="dxa"/>
            <w:shd w:val="clear" w:color="auto" w:fill="C4EFCE"/>
            <w:vAlign w:val="center"/>
            <w:hideMark/>
          </w:tcPr>
          <w:p w14:paraId="3611E70C" w14:textId="77777777" w:rsidR="00E040FD" w:rsidRDefault="00740D6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67D99684"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1703A05" w14:textId="4B599E15" w:rsidR="00E040FD" w:rsidRDefault="00740D64">
            <w:pPr>
              <w:pStyle w:val="P68B1DB1-Normal8"/>
              <w:spacing w:after="0" w:line="240" w:lineRule="auto"/>
              <w:jc w:val="center"/>
              <w:rPr>
                <w:rFonts w:eastAsia="Times New Roman" w:cs="Calibri"/>
                <w:noProof/>
              </w:rPr>
            </w:pPr>
            <w:r>
              <w:rPr>
                <w:noProof/>
              </w:rPr>
              <w:t>Utbildning av personer från familjer som omfattas av social integrationsinkomst</w:t>
            </w:r>
          </w:p>
        </w:tc>
        <w:tc>
          <w:tcPr>
            <w:tcW w:w="1486" w:type="dxa"/>
            <w:shd w:val="clear" w:color="auto" w:fill="C4EFCE"/>
            <w:vAlign w:val="center"/>
            <w:hideMark/>
          </w:tcPr>
          <w:p w14:paraId="696E9327"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21027FE"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50DB1988"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006F6395" w14:textId="5B315001" w:rsidR="00E040FD" w:rsidRDefault="00740D64">
            <w:pPr>
              <w:pStyle w:val="P68B1DB1-Normal8"/>
              <w:spacing w:after="0" w:line="240" w:lineRule="auto"/>
              <w:jc w:val="center"/>
              <w:rPr>
                <w:rFonts w:eastAsia="Times New Roman" w:cs="Calibri"/>
                <w:noProof/>
              </w:rPr>
            </w:pPr>
            <w:r>
              <w:rPr>
                <w:noProof/>
              </w:rPr>
              <w:t>4 000</w:t>
            </w:r>
          </w:p>
        </w:tc>
        <w:tc>
          <w:tcPr>
            <w:tcW w:w="680" w:type="dxa"/>
            <w:shd w:val="clear" w:color="auto" w:fill="C4EFCE"/>
            <w:vAlign w:val="center"/>
            <w:hideMark/>
          </w:tcPr>
          <w:p w14:paraId="4C4BF131"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1870C922" w14:textId="77777777" w:rsidR="00E040FD" w:rsidRDefault="00740D6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39E0E49C" w14:textId="20B3C5B6" w:rsidR="00E040FD" w:rsidRDefault="00740D64">
            <w:pPr>
              <w:pStyle w:val="P68B1DB1-Normal8"/>
              <w:spacing w:after="0" w:line="240" w:lineRule="auto"/>
              <w:jc w:val="both"/>
              <w:rPr>
                <w:rFonts w:eastAsia="Times New Roman" w:cs="Calibri"/>
                <w:noProof/>
              </w:rPr>
            </w:pPr>
            <w:r>
              <w:rPr>
                <w:noProof/>
              </w:rPr>
              <w:t>Antal personer från familjer som omfattas av den sociala inkluderingsinkomsten, som genomgår 650 utbildningar för att de ska kunna komma in på arbetsmarknaden.</w:t>
            </w:r>
          </w:p>
        </w:tc>
      </w:tr>
      <w:tr w:rsidR="00E040FD" w14:paraId="7EC1340A" w14:textId="77777777">
        <w:trPr>
          <w:trHeight w:val="509"/>
        </w:trPr>
        <w:tc>
          <w:tcPr>
            <w:tcW w:w="1124" w:type="dxa"/>
            <w:shd w:val="clear" w:color="auto" w:fill="C5EFCE"/>
            <w:vAlign w:val="center"/>
            <w:hideMark/>
          </w:tcPr>
          <w:p w14:paraId="6C4E3A76" w14:textId="77777777" w:rsidR="00E040FD" w:rsidRDefault="00740D64">
            <w:pPr>
              <w:pStyle w:val="P68B1DB1-Normal7"/>
              <w:spacing w:after="0" w:line="240" w:lineRule="auto"/>
              <w:jc w:val="center"/>
              <w:rPr>
                <w:rFonts w:eastAsia="Times New Roman" w:cs="Calibri"/>
                <w:noProof/>
              </w:rPr>
            </w:pPr>
            <w:r>
              <w:rPr>
                <w:noProof/>
              </w:rPr>
              <w:t>3.13</w:t>
            </w:r>
          </w:p>
        </w:tc>
        <w:tc>
          <w:tcPr>
            <w:tcW w:w="1143" w:type="dxa"/>
            <w:shd w:val="clear" w:color="auto" w:fill="C4EFCE"/>
            <w:vAlign w:val="center"/>
            <w:hideMark/>
          </w:tcPr>
          <w:p w14:paraId="1025A546" w14:textId="77777777" w:rsidR="00E040FD" w:rsidRDefault="00740D6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0F423132"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7965F891" w14:textId="0DD7203E" w:rsidR="00E040FD" w:rsidRDefault="00740D64">
            <w:pPr>
              <w:pStyle w:val="P68B1DB1-Normal8"/>
              <w:spacing w:after="0" w:line="240" w:lineRule="auto"/>
              <w:jc w:val="center"/>
              <w:rPr>
                <w:rFonts w:eastAsia="Times New Roman" w:cs="Calibri"/>
                <w:noProof/>
              </w:rPr>
            </w:pPr>
            <w:r>
              <w:rPr>
                <w:noProof/>
              </w:rPr>
              <w:t>Nya platser för personer med funktionsnedsättning på vårdcentraler som stöder personer med funktionsnedsättning</w:t>
            </w:r>
          </w:p>
        </w:tc>
        <w:tc>
          <w:tcPr>
            <w:tcW w:w="1486" w:type="dxa"/>
            <w:shd w:val="clear" w:color="auto" w:fill="C4EFCE"/>
            <w:vAlign w:val="center"/>
            <w:hideMark/>
          </w:tcPr>
          <w:p w14:paraId="57FDD5B9"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FFD0E92"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6A24D43F"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21EF7398" w14:textId="7D224638" w:rsidR="00E040FD" w:rsidRDefault="00740D64">
            <w:pPr>
              <w:pStyle w:val="P68B1DB1-Normal8"/>
              <w:spacing w:after="0" w:line="240" w:lineRule="auto"/>
              <w:jc w:val="center"/>
              <w:rPr>
                <w:rFonts w:eastAsia="Times New Roman" w:cs="Calibri"/>
                <w:noProof/>
              </w:rPr>
            </w:pPr>
            <w:r>
              <w:rPr>
                <w:noProof/>
              </w:rPr>
              <w:t>207</w:t>
            </w:r>
          </w:p>
        </w:tc>
        <w:tc>
          <w:tcPr>
            <w:tcW w:w="680" w:type="dxa"/>
            <w:shd w:val="clear" w:color="auto" w:fill="C4EFCE"/>
            <w:vAlign w:val="center"/>
            <w:hideMark/>
          </w:tcPr>
          <w:p w14:paraId="7A32479C" w14:textId="10FC90E4" w:rsidR="00E040FD" w:rsidRDefault="00740D64">
            <w:pPr>
              <w:pStyle w:val="P68B1DB1-Normal8"/>
              <w:spacing w:after="0" w:line="240" w:lineRule="auto"/>
              <w:jc w:val="center"/>
              <w:rPr>
                <w:rFonts w:eastAsia="Times New Roman" w:cs="Calibri"/>
                <w:noProof/>
              </w:rPr>
            </w:pPr>
            <w:r>
              <w:rPr>
                <w:noProof/>
              </w:rPr>
              <w:t>KVARTAL 2</w:t>
            </w:r>
          </w:p>
        </w:tc>
        <w:tc>
          <w:tcPr>
            <w:tcW w:w="845" w:type="dxa"/>
            <w:shd w:val="clear" w:color="auto" w:fill="C4EFCE"/>
            <w:vAlign w:val="center"/>
            <w:hideMark/>
          </w:tcPr>
          <w:p w14:paraId="75F2311E" w14:textId="444F2E4E" w:rsidR="00E040FD" w:rsidRDefault="00740D64">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67533911" w14:textId="7F617E1D" w:rsidR="00E040FD" w:rsidRDefault="00740D64">
            <w:pPr>
              <w:pStyle w:val="P68B1DB1-Normal8"/>
              <w:spacing w:after="0" w:line="240" w:lineRule="auto"/>
              <w:jc w:val="both"/>
              <w:rPr>
                <w:rFonts w:eastAsia="Times New Roman" w:cs="Calibri"/>
                <w:noProof/>
              </w:rPr>
            </w:pPr>
            <w:r>
              <w:rPr>
                <w:noProof/>
              </w:rPr>
              <w:t>Antal nya platser för personer med funktionsnedsättning på vårdcentraler som stöder personer med funktionsnedsättning. Detta inbegriper uppförande av fyra byggnader och anpassning av två andra byggnader. Vid nybyggnation ska nya byggnader ha ett primärenergibehov som är minst 20 % lägre än kraven för nära-nollenergibyggnader.</w:t>
            </w:r>
          </w:p>
        </w:tc>
      </w:tr>
      <w:tr w:rsidR="00E040FD" w14:paraId="049083E8" w14:textId="77777777">
        <w:trPr>
          <w:trHeight w:val="1030"/>
        </w:trPr>
        <w:tc>
          <w:tcPr>
            <w:tcW w:w="1124" w:type="dxa"/>
            <w:shd w:val="clear" w:color="auto" w:fill="C5EFCE"/>
            <w:vAlign w:val="center"/>
            <w:hideMark/>
          </w:tcPr>
          <w:p w14:paraId="4D80D6EA" w14:textId="77777777" w:rsidR="00E040FD" w:rsidRDefault="00740D64">
            <w:pPr>
              <w:pStyle w:val="P68B1DB1-Normal7"/>
              <w:spacing w:after="0" w:line="240" w:lineRule="auto"/>
              <w:jc w:val="center"/>
              <w:rPr>
                <w:rFonts w:eastAsia="Times New Roman" w:cs="Calibri"/>
                <w:noProof/>
              </w:rPr>
            </w:pPr>
            <w:r>
              <w:rPr>
                <w:noProof/>
              </w:rPr>
              <w:t>3.14</w:t>
            </w:r>
          </w:p>
        </w:tc>
        <w:tc>
          <w:tcPr>
            <w:tcW w:w="1143" w:type="dxa"/>
            <w:shd w:val="clear" w:color="auto" w:fill="C4EFCE"/>
            <w:vAlign w:val="center"/>
            <w:hideMark/>
          </w:tcPr>
          <w:p w14:paraId="62C1B356" w14:textId="77777777" w:rsidR="00E040FD" w:rsidRDefault="00740D6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3C09CC66"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EF33CF2" w14:textId="06A38392" w:rsidR="00E040FD" w:rsidRDefault="00740D64">
            <w:pPr>
              <w:pStyle w:val="P68B1DB1-Normal9"/>
              <w:spacing w:after="0" w:line="240" w:lineRule="auto"/>
              <w:jc w:val="center"/>
              <w:rPr>
                <w:rFonts w:eastAsia="Times New Roman" w:cs="Calibri"/>
                <w:noProof/>
                <w:sz w:val="16"/>
              </w:rPr>
            </w:pPr>
            <w:r>
              <w:rPr>
                <w:noProof/>
                <w:sz w:val="16"/>
              </w:rPr>
              <w:t>Fordon som köpts in för</w:t>
            </w:r>
            <w:r>
              <w:rPr>
                <w:noProof/>
              </w:rPr>
              <w:t xml:space="preserve"> </w:t>
            </w:r>
            <w:r>
              <w:rPr>
                <w:noProof/>
                <w:sz w:val="16"/>
              </w:rPr>
              <w:t xml:space="preserve">Instituições Particulares de Solidariedade Social </w:t>
            </w:r>
          </w:p>
        </w:tc>
        <w:tc>
          <w:tcPr>
            <w:tcW w:w="1486" w:type="dxa"/>
            <w:shd w:val="clear" w:color="auto" w:fill="C4EFCE"/>
            <w:vAlign w:val="center"/>
            <w:hideMark/>
          </w:tcPr>
          <w:p w14:paraId="3475EC3A"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2AF43E85"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770F38CC"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1E02EB10" w14:textId="77777777" w:rsidR="00E040FD" w:rsidRDefault="00740D64">
            <w:pPr>
              <w:pStyle w:val="P68B1DB1-Normal8"/>
              <w:spacing w:after="0" w:line="240" w:lineRule="auto"/>
              <w:jc w:val="center"/>
              <w:rPr>
                <w:rFonts w:eastAsia="Times New Roman" w:cs="Calibri"/>
                <w:noProof/>
              </w:rPr>
            </w:pPr>
            <w:r>
              <w:rPr>
                <w:noProof/>
              </w:rPr>
              <w:t>100</w:t>
            </w:r>
          </w:p>
        </w:tc>
        <w:tc>
          <w:tcPr>
            <w:tcW w:w="680" w:type="dxa"/>
            <w:shd w:val="clear" w:color="auto" w:fill="C4EFCE"/>
            <w:vAlign w:val="center"/>
            <w:hideMark/>
          </w:tcPr>
          <w:p w14:paraId="71008F83"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3D8E9877" w14:textId="77777777" w:rsidR="00E040FD" w:rsidRDefault="00740D6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227BDB15" w14:textId="146CF533" w:rsidR="00E040FD" w:rsidRDefault="00740D64">
            <w:pPr>
              <w:pStyle w:val="P68B1DB1-Normal9"/>
              <w:spacing w:after="0" w:line="240" w:lineRule="auto"/>
              <w:jc w:val="both"/>
              <w:rPr>
                <w:rFonts w:eastAsia="Times New Roman" w:cs="Calibri"/>
                <w:noProof/>
                <w:sz w:val="16"/>
              </w:rPr>
            </w:pPr>
            <w:r>
              <w:rPr>
                <w:noProof/>
                <w:sz w:val="16"/>
              </w:rPr>
              <w:t>Antal nya elfordon som levererats till</w:t>
            </w:r>
            <w:r>
              <w:rPr>
                <w:noProof/>
              </w:rPr>
              <w:t xml:space="preserve"> </w:t>
            </w:r>
            <w:r>
              <w:rPr>
                <w:noProof/>
                <w:sz w:val="16"/>
              </w:rPr>
              <w:t>bilparken Instituições Particulares de Solidariedade Social (IPSS).</w:t>
            </w:r>
          </w:p>
        </w:tc>
      </w:tr>
      <w:tr w:rsidR="00E040FD" w14:paraId="19247985" w14:textId="77777777">
        <w:trPr>
          <w:trHeight w:val="430"/>
        </w:trPr>
        <w:tc>
          <w:tcPr>
            <w:tcW w:w="1124" w:type="dxa"/>
            <w:shd w:val="clear" w:color="auto" w:fill="C5EFCE"/>
            <w:vAlign w:val="center"/>
            <w:hideMark/>
          </w:tcPr>
          <w:p w14:paraId="37211580" w14:textId="77777777" w:rsidR="00E040FD" w:rsidRDefault="00740D64">
            <w:pPr>
              <w:pStyle w:val="P68B1DB1-Normal7"/>
              <w:spacing w:after="0" w:line="240" w:lineRule="auto"/>
              <w:jc w:val="center"/>
              <w:rPr>
                <w:rFonts w:eastAsia="Times New Roman" w:cs="Calibri"/>
                <w:noProof/>
              </w:rPr>
            </w:pPr>
            <w:r>
              <w:rPr>
                <w:noProof/>
              </w:rPr>
              <w:t>3.15</w:t>
            </w:r>
          </w:p>
        </w:tc>
        <w:tc>
          <w:tcPr>
            <w:tcW w:w="1143" w:type="dxa"/>
            <w:shd w:val="clear" w:color="auto" w:fill="C4EFCE"/>
            <w:vAlign w:val="center"/>
            <w:hideMark/>
          </w:tcPr>
          <w:p w14:paraId="0B42AE83" w14:textId="77777777" w:rsidR="00E040FD" w:rsidRDefault="00740D6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182D975B"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81447A4" w14:textId="77777777" w:rsidR="00E040FD" w:rsidRDefault="00740D64">
            <w:pPr>
              <w:pStyle w:val="P68B1DB1-Normal8"/>
              <w:spacing w:after="0" w:line="240" w:lineRule="auto"/>
              <w:jc w:val="center"/>
              <w:rPr>
                <w:rFonts w:eastAsia="Times New Roman" w:cs="Calibri"/>
                <w:noProof/>
              </w:rPr>
            </w:pPr>
            <w:r>
              <w:rPr>
                <w:noProof/>
              </w:rPr>
              <w:t>Projekt för åldrande på plats</w:t>
            </w:r>
          </w:p>
        </w:tc>
        <w:tc>
          <w:tcPr>
            <w:tcW w:w="1486" w:type="dxa"/>
            <w:shd w:val="clear" w:color="auto" w:fill="C4EFCE"/>
            <w:vAlign w:val="center"/>
            <w:hideMark/>
          </w:tcPr>
          <w:p w14:paraId="2D0D204B"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B9C9C2F"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7220A717"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9B70C79" w14:textId="5A30131F" w:rsidR="00E040FD" w:rsidRDefault="00740D64">
            <w:pPr>
              <w:pStyle w:val="P68B1DB1-Normal8"/>
              <w:spacing w:after="0" w:line="240" w:lineRule="auto"/>
              <w:jc w:val="center"/>
              <w:rPr>
                <w:rFonts w:eastAsia="Times New Roman" w:cs="Calibri"/>
                <w:noProof/>
              </w:rPr>
            </w:pPr>
            <w:r>
              <w:rPr>
                <w:noProof/>
              </w:rPr>
              <w:t>425</w:t>
            </w:r>
          </w:p>
        </w:tc>
        <w:tc>
          <w:tcPr>
            <w:tcW w:w="680" w:type="dxa"/>
            <w:shd w:val="clear" w:color="auto" w:fill="C4EFCE"/>
            <w:vAlign w:val="center"/>
            <w:hideMark/>
          </w:tcPr>
          <w:p w14:paraId="2E66662F"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296AE5F4" w14:textId="77777777" w:rsidR="00E040FD" w:rsidRDefault="00740D6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0504830F" w14:textId="77777777" w:rsidR="00E040FD" w:rsidRDefault="00740D64">
            <w:pPr>
              <w:pStyle w:val="P68B1DB1-Normal8"/>
              <w:spacing w:after="0" w:line="240" w:lineRule="auto"/>
              <w:jc w:val="both"/>
              <w:rPr>
                <w:rFonts w:eastAsia="Times New Roman" w:cs="Calibri"/>
                <w:noProof/>
              </w:rPr>
            </w:pPr>
            <w:r>
              <w:rPr>
                <w:noProof/>
              </w:rPr>
              <w:t>Antal äldre eller personer med funktionsnedsättning som omfattas av projektet Aging in place i den autonoma regionen Azorerna.</w:t>
            </w:r>
          </w:p>
        </w:tc>
      </w:tr>
      <w:tr w:rsidR="00E040FD" w14:paraId="722BCAC5" w14:textId="77777777">
        <w:trPr>
          <w:trHeight w:val="420"/>
        </w:trPr>
        <w:tc>
          <w:tcPr>
            <w:tcW w:w="1124" w:type="dxa"/>
            <w:shd w:val="clear" w:color="auto" w:fill="C5EFCE"/>
            <w:vAlign w:val="center"/>
            <w:hideMark/>
          </w:tcPr>
          <w:p w14:paraId="27569718" w14:textId="77777777" w:rsidR="00E040FD" w:rsidRDefault="00740D64">
            <w:pPr>
              <w:pStyle w:val="P68B1DB1-Normal7"/>
              <w:spacing w:after="0" w:line="240" w:lineRule="auto"/>
              <w:jc w:val="center"/>
              <w:rPr>
                <w:rFonts w:eastAsia="Times New Roman" w:cs="Calibri"/>
                <w:noProof/>
              </w:rPr>
            </w:pPr>
            <w:r>
              <w:rPr>
                <w:noProof/>
              </w:rPr>
              <w:t>3.16</w:t>
            </w:r>
          </w:p>
        </w:tc>
        <w:tc>
          <w:tcPr>
            <w:tcW w:w="1143" w:type="dxa"/>
            <w:shd w:val="clear" w:color="auto" w:fill="C4EFCE"/>
            <w:vAlign w:val="center"/>
            <w:hideMark/>
          </w:tcPr>
          <w:p w14:paraId="3FEF3AE7" w14:textId="77777777" w:rsidR="00E040FD" w:rsidRDefault="00740D6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57B378D2"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1B2F0661" w14:textId="77777777" w:rsidR="00E040FD" w:rsidRDefault="00740D64">
            <w:pPr>
              <w:pStyle w:val="P68B1DB1-Normal8"/>
              <w:spacing w:after="0" w:line="240" w:lineRule="auto"/>
              <w:jc w:val="center"/>
              <w:rPr>
                <w:rFonts w:eastAsia="Times New Roman" w:cs="Calibri"/>
                <w:noProof/>
              </w:rPr>
            </w:pPr>
            <w:r>
              <w:rPr>
                <w:noProof/>
              </w:rPr>
              <w:t>Åtgärder för att motverka att barn och ungdomar lämnar skolan i förtid.</w:t>
            </w:r>
          </w:p>
        </w:tc>
        <w:tc>
          <w:tcPr>
            <w:tcW w:w="1486" w:type="dxa"/>
            <w:shd w:val="clear" w:color="auto" w:fill="C4EFCE"/>
            <w:vAlign w:val="center"/>
            <w:hideMark/>
          </w:tcPr>
          <w:p w14:paraId="761474E7"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9D5AE91" w14:textId="77777777" w:rsidR="00E040FD" w:rsidRDefault="00740D64">
            <w:pPr>
              <w:pStyle w:val="P68B1DB1-Normal8"/>
              <w:spacing w:after="0" w:line="240" w:lineRule="auto"/>
              <w:jc w:val="center"/>
              <w:rPr>
                <w:rFonts w:eastAsia="Times New Roman" w:cs="Calibri"/>
                <w:noProof/>
              </w:rPr>
            </w:pPr>
            <w:r>
              <w:rPr>
                <w:noProof/>
              </w:rPr>
              <w:t>Antal</w:t>
            </w:r>
          </w:p>
        </w:tc>
        <w:tc>
          <w:tcPr>
            <w:tcW w:w="1014" w:type="dxa"/>
            <w:shd w:val="clear" w:color="auto" w:fill="C4EFCE"/>
            <w:vAlign w:val="center"/>
            <w:hideMark/>
          </w:tcPr>
          <w:p w14:paraId="6596B2D6"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157A47D" w14:textId="77777777" w:rsidR="00E040FD" w:rsidRDefault="00740D64">
            <w:pPr>
              <w:pStyle w:val="P68B1DB1-Normal8"/>
              <w:spacing w:after="0" w:line="240" w:lineRule="auto"/>
              <w:jc w:val="center"/>
              <w:rPr>
                <w:rFonts w:eastAsia="Times New Roman" w:cs="Calibri"/>
                <w:noProof/>
              </w:rPr>
            </w:pPr>
            <w:r>
              <w:rPr>
                <w:noProof/>
              </w:rPr>
              <w:t>11 561</w:t>
            </w:r>
          </w:p>
        </w:tc>
        <w:tc>
          <w:tcPr>
            <w:tcW w:w="680" w:type="dxa"/>
            <w:shd w:val="clear" w:color="auto" w:fill="C4EFCE"/>
            <w:vAlign w:val="center"/>
            <w:hideMark/>
          </w:tcPr>
          <w:p w14:paraId="7A4E4D10"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28EF501B" w14:textId="77777777" w:rsidR="00E040FD" w:rsidRDefault="00740D6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5BF1ED67" w14:textId="77777777" w:rsidR="00E040FD" w:rsidRDefault="00740D64">
            <w:pPr>
              <w:pStyle w:val="P68B1DB1-Normal8"/>
              <w:spacing w:after="0" w:line="240" w:lineRule="auto"/>
              <w:jc w:val="both"/>
              <w:rPr>
                <w:rFonts w:eastAsia="Times New Roman" w:cs="Calibri"/>
                <w:noProof/>
              </w:rPr>
            </w:pPr>
            <w:r>
              <w:rPr>
                <w:noProof/>
              </w:rPr>
              <w:t xml:space="preserve">Barn och ungdomar som omfattas av åtgärder för att motverka avhopp från skolan och främja deltagande i högre utbildning genom </w:t>
            </w:r>
          </w:p>
          <w:p w14:paraId="7FE0E7DB" w14:textId="56A390AC" w:rsidR="00E040FD" w:rsidRDefault="00740D64">
            <w:pPr>
              <w:pStyle w:val="P68B1DB1-Normal8"/>
              <w:spacing w:after="0" w:line="240" w:lineRule="auto"/>
              <w:jc w:val="both"/>
              <w:rPr>
                <w:rFonts w:eastAsia="Times New Roman" w:cs="Calibri"/>
                <w:noProof/>
              </w:rPr>
            </w:pPr>
            <w:r>
              <w:rPr>
                <w:noProof/>
              </w:rPr>
              <w:t>i) subventioner till låginkomsthushåll som ett incitament för att främja närvaron av daghem. II) Inrättande av studiestödpunkter. betalning av avgifter för högre utbildning till studenter för låginkomstfamiljer. IV) inrättande av nya platser för barn på daghem och daghem.</w:t>
            </w:r>
          </w:p>
        </w:tc>
      </w:tr>
      <w:tr w:rsidR="00E040FD" w14:paraId="3E0BC186" w14:textId="77777777">
        <w:trPr>
          <w:trHeight w:val="1581"/>
        </w:trPr>
        <w:tc>
          <w:tcPr>
            <w:tcW w:w="1124" w:type="dxa"/>
            <w:shd w:val="clear" w:color="auto" w:fill="C5EFCE"/>
            <w:vAlign w:val="center"/>
            <w:hideMark/>
          </w:tcPr>
          <w:p w14:paraId="4AD1D11D" w14:textId="77777777" w:rsidR="00E040FD" w:rsidRDefault="00740D64">
            <w:pPr>
              <w:pStyle w:val="P68B1DB1-Normal7"/>
              <w:spacing w:after="0" w:line="240" w:lineRule="auto"/>
              <w:jc w:val="center"/>
              <w:rPr>
                <w:rFonts w:eastAsia="Times New Roman" w:cs="Calibri"/>
                <w:noProof/>
              </w:rPr>
            </w:pPr>
            <w:r>
              <w:rPr>
                <w:noProof/>
              </w:rPr>
              <w:t>3.17</w:t>
            </w:r>
          </w:p>
        </w:tc>
        <w:tc>
          <w:tcPr>
            <w:tcW w:w="1143" w:type="dxa"/>
            <w:shd w:val="clear" w:color="auto" w:fill="C4EFCE"/>
            <w:vAlign w:val="center"/>
            <w:hideMark/>
          </w:tcPr>
          <w:p w14:paraId="6E502AC3" w14:textId="77777777" w:rsidR="00E040FD" w:rsidRDefault="00740D64">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148563E4" w14:textId="77777777" w:rsidR="00E040FD" w:rsidRDefault="00740D6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5C55EEC7" w14:textId="77777777" w:rsidR="00E040FD" w:rsidRDefault="00740D64">
            <w:pPr>
              <w:pStyle w:val="P68B1DB1-Normal8"/>
              <w:spacing w:after="0" w:line="240" w:lineRule="auto"/>
              <w:jc w:val="center"/>
              <w:rPr>
                <w:rFonts w:eastAsia="Times New Roman" w:cs="Calibri"/>
                <w:noProof/>
              </w:rPr>
            </w:pPr>
            <w:r>
              <w:rPr>
                <w:noProof/>
              </w:rPr>
              <w:t xml:space="preserve">Offentliggörande av anbudet ”Uppbyggnad av digital infrastruktur för tillgänglighet 360°” </w:t>
            </w:r>
          </w:p>
        </w:tc>
        <w:tc>
          <w:tcPr>
            <w:tcW w:w="1486" w:type="dxa"/>
            <w:shd w:val="clear" w:color="auto" w:fill="C4EFCE"/>
            <w:vAlign w:val="center"/>
            <w:hideMark/>
          </w:tcPr>
          <w:p w14:paraId="67B63709" w14:textId="77777777" w:rsidR="00E040FD" w:rsidRDefault="00740D64">
            <w:pPr>
              <w:pStyle w:val="P68B1DB1-Normal8"/>
              <w:spacing w:after="0" w:line="240" w:lineRule="auto"/>
              <w:jc w:val="center"/>
              <w:rPr>
                <w:rFonts w:eastAsia="Times New Roman" w:cs="Calibri"/>
                <w:noProof/>
              </w:rPr>
            </w:pPr>
            <w:r>
              <w:rPr>
                <w:noProof/>
              </w:rPr>
              <w:t>Offentliggörande av meddelande om upphandling för förvärv av digital infrastruktur för tillgänglighet 360° i Europeiska unionens officiella tidning – Diario da Republica</w:t>
            </w:r>
          </w:p>
        </w:tc>
        <w:tc>
          <w:tcPr>
            <w:tcW w:w="1014" w:type="dxa"/>
            <w:shd w:val="clear" w:color="auto" w:fill="C4EFCE"/>
            <w:vAlign w:val="center"/>
            <w:hideMark/>
          </w:tcPr>
          <w:p w14:paraId="546A3FF1"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B23DB11" w14:textId="77777777" w:rsidR="00E040FD" w:rsidRDefault="00740D6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7997DED5" w14:textId="77777777" w:rsidR="00E040FD" w:rsidRDefault="00740D6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524C9268"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5E997187" w14:textId="77777777" w:rsidR="00E040FD" w:rsidRDefault="00740D6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3FA52867" w14:textId="77777777" w:rsidR="00E040FD" w:rsidRDefault="00740D64">
            <w:pPr>
              <w:pStyle w:val="P68B1DB1-Normal8"/>
              <w:spacing w:after="0" w:line="240" w:lineRule="auto"/>
              <w:jc w:val="both"/>
              <w:rPr>
                <w:rFonts w:eastAsia="Times New Roman" w:cs="Calibri"/>
                <w:noProof/>
              </w:rPr>
            </w:pPr>
            <w:r>
              <w:rPr>
                <w:noProof/>
              </w:rPr>
              <w:t>Offentliggörande av en anbudsinfordran för uppbyggnad av den digitala infrastrukturen som omfattar i) georefererad information om offentliga och privata byggnader, ii) globala informations- och positionssystem (GPS), iii) georeferering av parkeringsplatser.</w:t>
            </w:r>
          </w:p>
        </w:tc>
      </w:tr>
      <w:tr w:rsidR="00E040FD" w14:paraId="37722B84" w14:textId="77777777">
        <w:trPr>
          <w:trHeight w:val="838"/>
        </w:trPr>
        <w:tc>
          <w:tcPr>
            <w:tcW w:w="1124" w:type="dxa"/>
            <w:shd w:val="clear" w:color="auto" w:fill="C5EFCE"/>
            <w:vAlign w:val="center"/>
            <w:hideMark/>
          </w:tcPr>
          <w:p w14:paraId="640BFDCE" w14:textId="77777777" w:rsidR="00E040FD" w:rsidRDefault="00740D64">
            <w:pPr>
              <w:pStyle w:val="P68B1DB1-Normal7"/>
              <w:spacing w:after="0" w:line="240" w:lineRule="auto"/>
              <w:jc w:val="center"/>
              <w:rPr>
                <w:rFonts w:eastAsia="Times New Roman" w:cs="Calibri"/>
                <w:noProof/>
              </w:rPr>
            </w:pPr>
            <w:r>
              <w:rPr>
                <w:noProof/>
              </w:rPr>
              <w:t>3.18</w:t>
            </w:r>
          </w:p>
        </w:tc>
        <w:tc>
          <w:tcPr>
            <w:tcW w:w="1143" w:type="dxa"/>
            <w:shd w:val="clear" w:color="auto" w:fill="C4EFCE"/>
            <w:vAlign w:val="center"/>
            <w:hideMark/>
          </w:tcPr>
          <w:p w14:paraId="3B14B6A8" w14:textId="77777777" w:rsidR="00E040FD" w:rsidRDefault="00740D64">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24B0174F" w14:textId="77777777" w:rsidR="00E040FD" w:rsidRDefault="00740D6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127B0818" w14:textId="77777777" w:rsidR="00E040FD" w:rsidRDefault="00740D64">
            <w:pPr>
              <w:pStyle w:val="P68B1DB1-Normal8"/>
              <w:spacing w:after="0" w:line="240" w:lineRule="auto"/>
              <w:jc w:val="center"/>
              <w:rPr>
                <w:rFonts w:eastAsia="Times New Roman" w:cs="Calibri"/>
                <w:noProof/>
              </w:rPr>
            </w:pPr>
            <w:r>
              <w:rPr>
                <w:noProof/>
              </w:rPr>
              <w:t>Digital informationsplattform för personer med funktionsnedsättning</w:t>
            </w:r>
          </w:p>
        </w:tc>
        <w:tc>
          <w:tcPr>
            <w:tcW w:w="1486" w:type="dxa"/>
            <w:shd w:val="clear" w:color="auto" w:fill="C4EFCE"/>
            <w:vAlign w:val="center"/>
            <w:hideMark/>
          </w:tcPr>
          <w:p w14:paraId="14F244C2" w14:textId="77777777" w:rsidR="00E040FD" w:rsidRDefault="00740D64">
            <w:pPr>
              <w:pStyle w:val="P68B1DB1-Normal8"/>
              <w:spacing w:after="0" w:line="240" w:lineRule="auto"/>
              <w:jc w:val="center"/>
              <w:rPr>
                <w:rFonts w:eastAsia="Times New Roman" w:cs="Calibri"/>
                <w:noProof/>
              </w:rPr>
            </w:pPr>
            <w:r>
              <w:rPr>
                <w:noProof/>
              </w:rPr>
              <w:t>Idrifttagande av plattformen</w:t>
            </w:r>
          </w:p>
        </w:tc>
        <w:tc>
          <w:tcPr>
            <w:tcW w:w="1014" w:type="dxa"/>
            <w:shd w:val="clear" w:color="auto" w:fill="C4EFCE"/>
            <w:vAlign w:val="center"/>
            <w:hideMark/>
          </w:tcPr>
          <w:p w14:paraId="2D447742"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69FDBF8" w14:textId="77777777" w:rsidR="00E040FD" w:rsidRDefault="00740D6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2DC68D64" w14:textId="77777777" w:rsidR="00E040FD" w:rsidRDefault="00740D6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352AF611"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4C2EC19E" w14:textId="77777777" w:rsidR="00E040FD" w:rsidRDefault="00740D64">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38C6A344" w14:textId="77777777" w:rsidR="00E040FD" w:rsidRDefault="00740D64">
            <w:pPr>
              <w:pStyle w:val="P68B1DB1-Normal8"/>
              <w:spacing w:after="0" w:line="240" w:lineRule="auto"/>
              <w:jc w:val="both"/>
              <w:rPr>
                <w:rFonts w:eastAsia="Times New Roman" w:cs="Calibri"/>
                <w:noProof/>
              </w:rPr>
            </w:pPr>
            <w:r>
              <w:rPr>
                <w:noProof/>
              </w:rPr>
              <w:t>Idrifttagande av en digital informationsplattform som ska sammanställa och förenkla information om relevant lagstiftning och stödresurser för personer med funktionsnedsättning.</w:t>
            </w:r>
          </w:p>
        </w:tc>
      </w:tr>
      <w:tr w:rsidR="00E040FD" w14:paraId="29DF1015" w14:textId="77777777">
        <w:trPr>
          <w:trHeight w:val="928"/>
        </w:trPr>
        <w:tc>
          <w:tcPr>
            <w:tcW w:w="1124" w:type="dxa"/>
            <w:shd w:val="clear" w:color="auto" w:fill="C5EFCE"/>
            <w:vAlign w:val="center"/>
            <w:hideMark/>
          </w:tcPr>
          <w:p w14:paraId="31FC2931" w14:textId="77777777" w:rsidR="00E040FD" w:rsidRDefault="00740D64">
            <w:pPr>
              <w:pStyle w:val="P68B1DB1-Normal7"/>
              <w:spacing w:after="0" w:line="240" w:lineRule="auto"/>
              <w:jc w:val="center"/>
              <w:rPr>
                <w:rFonts w:eastAsia="Times New Roman" w:cs="Calibri"/>
                <w:noProof/>
              </w:rPr>
            </w:pPr>
            <w:r>
              <w:rPr>
                <w:noProof/>
              </w:rPr>
              <w:t>3.19</w:t>
            </w:r>
          </w:p>
        </w:tc>
        <w:tc>
          <w:tcPr>
            <w:tcW w:w="1143" w:type="dxa"/>
            <w:shd w:val="clear" w:color="auto" w:fill="C4EFCE"/>
            <w:vAlign w:val="center"/>
            <w:hideMark/>
          </w:tcPr>
          <w:p w14:paraId="31C50628" w14:textId="77777777" w:rsidR="00E040FD" w:rsidRDefault="00740D64">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6E89FFB3" w14:textId="77777777" w:rsidR="00E040FD" w:rsidRDefault="00740D6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F2367B2" w14:textId="77777777" w:rsidR="00E040FD" w:rsidRDefault="00740D64">
            <w:pPr>
              <w:pStyle w:val="P68B1DB1-Normal8"/>
              <w:spacing w:after="0" w:line="240" w:lineRule="auto"/>
              <w:jc w:val="center"/>
              <w:rPr>
                <w:rFonts w:eastAsia="Times New Roman" w:cs="Calibri"/>
                <w:noProof/>
              </w:rPr>
            </w:pPr>
            <w:r>
              <w:rPr>
                <w:noProof/>
              </w:rPr>
              <w:t>Call-center för portugisiska teckenspråk</w:t>
            </w:r>
          </w:p>
        </w:tc>
        <w:tc>
          <w:tcPr>
            <w:tcW w:w="1486" w:type="dxa"/>
            <w:shd w:val="clear" w:color="auto" w:fill="C4EFCE"/>
            <w:vAlign w:val="center"/>
            <w:hideMark/>
          </w:tcPr>
          <w:p w14:paraId="4C4DE045" w14:textId="77777777" w:rsidR="00E040FD" w:rsidRDefault="00740D64">
            <w:pPr>
              <w:pStyle w:val="P68B1DB1-Normal8"/>
              <w:spacing w:after="0" w:line="240" w:lineRule="auto"/>
              <w:jc w:val="center"/>
              <w:rPr>
                <w:rFonts w:eastAsia="Times New Roman" w:cs="Calibri"/>
                <w:noProof/>
              </w:rPr>
            </w:pPr>
            <w:r>
              <w:rPr>
                <w:noProof/>
              </w:rPr>
              <w:t>Idrifttagande av tjänsten vid Call-center för portugisiska teckenspråk</w:t>
            </w:r>
          </w:p>
        </w:tc>
        <w:tc>
          <w:tcPr>
            <w:tcW w:w="1014" w:type="dxa"/>
            <w:shd w:val="clear" w:color="auto" w:fill="C4EFCE"/>
            <w:vAlign w:val="center"/>
            <w:hideMark/>
          </w:tcPr>
          <w:p w14:paraId="62A19147"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B4F454E" w14:textId="77777777" w:rsidR="00E040FD" w:rsidRDefault="00740D6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5B22AC7B" w14:textId="77777777" w:rsidR="00E040FD" w:rsidRDefault="00740D6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5C3FE14B"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19B2E8B1" w14:textId="77777777" w:rsidR="00E040FD" w:rsidRDefault="00740D6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7F959E19" w14:textId="07AF1B38" w:rsidR="00E040FD" w:rsidRDefault="00740D64">
            <w:pPr>
              <w:pStyle w:val="P68B1DB1-Normal8"/>
              <w:spacing w:after="0" w:line="240" w:lineRule="auto"/>
              <w:jc w:val="both"/>
              <w:rPr>
                <w:rFonts w:eastAsia="Times New Roman" w:cs="Calibri"/>
                <w:noProof/>
              </w:rPr>
            </w:pPr>
            <w:r>
              <w:rPr>
                <w:noProof/>
              </w:rPr>
              <w:t>Idrifttagande av ett call-center som ska ge döva medborgare garanterad realtidstolkning på portugisiska teckenspråk (LGP) som är tillgänglig för hela den offentliga förvaltningen.</w:t>
            </w:r>
          </w:p>
        </w:tc>
      </w:tr>
      <w:tr w:rsidR="00E040FD" w14:paraId="0BDE969A" w14:textId="77777777">
        <w:trPr>
          <w:trHeight w:val="1690"/>
        </w:trPr>
        <w:tc>
          <w:tcPr>
            <w:tcW w:w="1124" w:type="dxa"/>
            <w:shd w:val="clear" w:color="auto" w:fill="C5EFCE"/>
            <w:vAlign w:val="center"/>
          </w:tcPr>
          <w:p w14:paraId="6D78B7CA" w14:textId="77777777" w:rsidR="00E040FD" w:rsidRDefault="00740D64">
            <w:pPr>
              <w:pStyle w:val="P68B1DB1-Normal7"/>
              <w:spacing w:after="0" w:line="240" w:lineRule="auto"/>
              <w:jc w:val="center"/>
              <w:rPr>
                <w:rFonts w:eastAsia="Times New Roman" w:cs="Calibri"/>
                <w:noProof/>
              </w:rPr>
            </w:pPr>
            <w:r>
              <w:rPr>
                <w:noProof/>
              </w:rPr>
              <w:t>3.20</w:t>
            </w:r>
          </w:p>
        </w:tc>
        <w:tc>
          <w:tcPr>
            <w:tcW w:w="1143" w:type="dxa"/>
            <w:shd w:val="clear" w:color="auto" w:fill="C4EFCE"/>
            <w:vAlign w:val="center"/>
          </w:tcPr>
          <w:p w14:paraId="4B2FA922" w14:textId="77777777" w:rsidR="00E040FD" w:rsidRDefault="00740D64">
            <w:pPr>
              <w:pStyle w:val="P68B1DB1-Normal8"/>
              <w:spacing w:after="0" w:line="240" w:lineRule="auto"/>
              <w:jc w:val="center"/>
              <w:rPr>
                <w:rFonts w:eastAsia="Times New Roman" w:cs="Calibri"/>
                <w:noProof/>
              </w:rPr>
            </w:pPr>
            <w:r>
              <w:rPr>
                <w:noProof/>
              </w:rPr>
              <w:t>RE-C03-r08</w:t>
            </w:r>
          </w:p>
        </w:tc>
        <w:tc>
          <w:tcPr>
            <w:tcW w:w="982" w:type="dxa"/>
            <w:shd w:val="clear" w:color="auto" w:fill="C4EFCE"/>
            <w:vAlign w:val="center"/>
          </w:tcPr>
          <w:p w14:paraId="7E7854CA" w14:textId="77777777" w:rsidR="00E040FD" w:rsidRDefault="00740D6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tcPr>
          <w:p w14:paraId="6959C89C" w14:textId="77777777" w:rsidR="00E040FD" w:rsidRDefault="00740D64">
            <w:pPr>
              <w:pStyle w:val="P68B1DB1-Normal8"/>
              <w:spacing w:after="0" w:line="240" w:lineRule="auto"/>
              <w:jc w:val="center"/>
              <w:rPr>
                <w:rFonts w:eastAsia="Times New Roman" w:cs="Calibri"/>
                <w:noProof/>
              </w:rPr>
            </w:pPr>
            <w:r>
              <w:rPr>
                <w:noProof/>
              </w:rPr>
              <w:t>Antagande av den nationella strategin för bekämpning av fattigdom</w:t>
            </w:r>
          </w:p>
        </w:tc>
        <w:tc>
          <w:tcPr>
            <w:tcW w:w="1486" w:type="dxa"/>
            <w:shd w:val="clear" w:color="auto" w:fill="C4EFCE"/>
            <w:vAlign w:val="center"/>
          </w:tcPr>
          <w:p w14:paraId="3471F2FF" w14:textId="77777777" w:rsidR="00E040FD" w:rsidRDefault="00740D64">
            <w:pPr>
              <w:pStyle w:val="P68B1DB1-Normal8"/>
              <w:spacing w:after="0" w:line="240" w:lineRule="auto"/>
              <w:jc w:val="center"/>
              <w:rPr>
                <w:rFonts w:eastAsia="Times New Roman" w:cs="Calibri"/>
                <w:noProof/>
              </w:rPr>
            </w:pPr>
            <w:r>
              <w:rPr>
                <w:noProof/>
              </w:rPr>
              <w:t>Antagande av den nationella strategin för bekämpning av fattigdom</w:t>
            </w:r>
          </w:p>
        </w:tc>
        <w:tc>
          <w:tcPr>
            <w:tcW w:w="1014" w:type="dxa"/>
            <w:shd w:val="clear" w:color="auto" w:fill="C4EFCE"/>
            <w:vAlign w:val="center"/>
          </w:tcPr>
          <w:p w14:paraId="1283F0D0"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tcPr>
          <w:p w14:paraId="6ABA1CAC" w14:textId="77777777" w:rsidR="00E040FD" w:rsidRDefault="00740D6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tcPr>
          <w:p w14:paraId="00EAECC6" w14:textId="77777777" w:rsidR="00E040FD" w:rsidRDefault="00740D6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tcPr>
          <w:p w14:paraId="4F8A05D3" w14:textId="77777777" w:rsidR="00E040FD" w:rsidRDefault="00740D64">
            <w:pPr>
              <w:pStyle w:val="P68B1DB1-Normal8"/>
              <w:spacing w:after="0" w:line="240" w:lineRule="auto"/>
              <w:jc w:val="center"/>
              <w:rPr>
                <w:rFonts w:eastAsia="Times New Roman" w:cs="Calibri"/>
                <w:noProof/>
              </w:rPr>
            </w:pPr>
            <w:r>
              <w:rPr>
                <w:noProof/>
              </w:rPr>
              <w:t>KVARTAL 3</w:t>
            </w:r>
          </w:p>
        </w:tc>
        <w:tc>
          <w:tcPr>
            <w:tcW w:w="845" w:type="dxa"/>
            <w:shd w:val="clear" w:color="auto" w:fill="C4EFCE"/>
            <w:vAlign w:val="center"/>
          </w:tcPr>
          <w:p w14:paraId="7D0E5BB2" w14:textId="77777777" w:rsidR="00E040FD" w:rsidRDefault="00740D6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tcPr>
          <w:p w14:paraId="2AE0C47C" w14:textId="77777777" w:rsidR="00E040FD" w:rsidRDefault="00740D64">
            <w:pPr>
              <w:pStyle w:val="P68B1DB1-Normal8"/>
              <w:spacing w:after="0" w:line="240" w:lineRule="auto"/>
              <w:jc w:val="both"/>
              <w:rPr>
                <w:rFonts w:eastAsia="Times New Roman" w:cs="Calibri"/>
                <w:noProof/>
              </w:rPr>
            </w:pPr>
            <w:r>
              <w:rPr>
                <w:noProof/>
              </w:rPr>
              <w:t>Den nationella strategin för bekämpning av fattigdom utgör ramen för tematiska insatser för särskilda grupper, från barndom till ålderdom, inklusive de mest utsatta grupperna. Där fastställs villkoren för utveckling och genomförande av en integrerad politik med inriktning på den sociala utestängningens och fattigdomens särdrag på lokal nivå. Dessutom föreskrivs det också att en gemensam övervakningsram för fattigdomsrelaterade indikatorer ska inrättas.</w:t>
            </w:r>
          </w:p>
        </w:tc>
      </w:tr>
      <w:tr w:rsidR="00E040FD" w14:paraId="533F5B1E" w14:textId="77777777">
        <w:trPr>
          <w:trHeight w:val="290"/>
        </w:trPr>
        <w:tc>
          <w:tcPr>
            <w:tcW w:w="1124" w:type="dxa"/>
            <w:shd w:val="clear" w:color="auto" w:fill="C5EFCE"/>
            <w:vAlign w:val="center"/>
            <w:hideMark/>
          </w:tcPr>
          <w:p w14:paraId="75444558" w14:textId="77777777" w:rsidR="00E040FD" w:rsidRDefault="00740D64">
            <w:pPr>
              <w:pStyle w:val="P68B1DB1-Normal7"/>
              <w:spacing w:after="0" w:line="240" w:lineRule="auto"/>
              <w:jc w:val="center"/>
              <w:rPr>
                <w:rFonts w:eastAsia="Times New Roman" w:cs="Calibri"/>
                <w:noProof/>
              </w:rPr>
            </w:pPr>
            <w:r>
              <w:rPr>
                <w:noProof/>
              </w:rPr>
              <w:t>3.21</w:t>
            </w:r>
          </w:p>
        </w:tc>
        <w:tc>
          <w:tcPr>
            <w:tcW w:w="1143" w:type="dxa"/>
            <w:shd w:val="clear" w:color="auto" w:fill="C4EFCE"/>
            <w:vAlign w:val="center"/>
            <w:hideMark/>
          </w:tcPr>
          <w:p w14:paraId="57253209" w14:textId="77777777" w:rsidR="00E040FD" w:rsidRDefault="00740D64">
            <w:pPr>
              <w:pStyle w:val="P68B1DB1-Normal8"/>
              <w:spacing w:after="0" w:line="240" w:lineRule="auto"/>
              <w:jc w:val="center"/>
              <w:rPr>
                <w:rFonts w:eastAsia="Times New Roman" w:cs="Calibri"/>
                <w:noProof/>
              </w:rPr>
            </w:pPr>
            <w:r>
              <w:rPr>
                <w:noProof/>
              </w:rPr>
              <w:t>RE-C03-r06</w:t>
            </w:r>
          </w:p>
        </w:tc>
        <w:tc>
          <w:tcPr>
            <w:tcW w:w="982" w:type="dxa"/>
            <w:shd w:val="clear" w:color="auto" w:fill="C4EFCE"/>
            <w:vAlign w:val="center"/>
            <w:hideMark/>
          </w:tcPr>
          <w:p w14:paraId="48FD60DB" w14:textId="77777777" w:rsidR="00E040FD" w:rsidRDefault="00740D6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B798661" w14:textId="77777777" w:rsidR="00E040FD" w:rsidRDefault="00740D64">
            <w:pPr>
              <w:pStyle w:val="P68B1DB1-Normal8"/>
              <w:spacing w:after="0" w:line="240" w:lineRule="auto"/>
              <w:jc w:val="center"/>
              <w:rPr>
                <w:rFonts w:eastAsia="Times New Roman" w:cs="Calibri"/>
                <w:noProof/>
              </w:rPr>
            </w:pPr>
            <w:r>
              <w:rPr>
                <w:noProof/>
              </w:rPr>
              <w:t>Antagande av den nationella strategin för inkludering av personer med funktionsnedsättning 2021–2025</w:t>
            </w:r>
          </w:p>
        </w:tc>
        <w:tc>
          <w:tcPr>
            <w:tcW w:w="1486" w:type="dxa"/>
            <w:shd w:val="clear" w:color="auto" w:fill="C4EFCE"/>
            <w:vAlign w:val="center"/>
            <w:hideMark/>
          </w:tcPr>
          <w:p w14:paraId="40250264" w14:textId="77777777" w:rsidR="00E040FD" w:rsidRDefault="00740D64">
            <w:pPr>
              <w:pStyle w:val="P68B1DB1-Normal8"/>
              <w:spacing w:after="0" w:line="240" w:lineRule="auto"/>
              <w:jc w:val="center"/>
              <w:rPr>
                <w:rFonts w:eastAsia="Times New Roman" w:cs="Calibri"/>
                <w:noProof/>
              </w:rPr>
            </w:pPr>
            <w:r>
              <w:rPr>
                <w:noProof/>
              </w:rPr>
              <w:t>Antagande av den nationella strategin för inkludering av personer med funktionsnedsättning 2021–2025</w:t>
            </w:r>
          </w:p>
        </w:tc>
        <w:tc>
          <w:tcPr>
            <w:tcW w:w="1014" w:type="dxa"/>
            <w:shd w:val="clear" w:color="auto" w:fill="C4EFCE"/>
            <w:vAlign w:val="center"/>
            <w:hideMark/>
          </w:tcPr>
          <w:p w14:paraId="66D99749"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448DA702" w14:textId="77777777" w:rsidR="00E040FD" w:rsidRDefault="00740D6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94CC941" w14:textId="77777777" w:rsidR="00E040FD" w:rsidRDefault="00740D6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61D167B3"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39843ADC" w14:textId="77777777" w:rsidR="00E040FD" w:rsidRDefault="00740D6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57651022" w14:textId="77777777" w:rsidR="00E040FD" w:rsidRDefault="00740D64">
            <w:pPr>
              <w:pStyle w:val="P68B1DB1-Normal8"/>
              <w:spacing w:after="0" w:line="240" w:lineRule="auto"/>
              <w:jc w:val="both"/>
              <w:rPr>
                <w:rFonts w:eastAsia="Times New Roman" w:cs="Calibri"/>
                <w:noProof/>
              </w:rPr>
            </w:pPr>
            <w:r>
              <w:rPr>
                <w:noProof/>
              </w:rPr>
              <w:t xml:space="preserve">Den nationella strategin för inkludering av personer med funktionsnedsättning ska skapa förutsättningar för </w:t>
            </w:r>
          </w:p>
          <w:p w14:paraId="5BEAE38C" w14:textId="77777777" w:rsidR="00E040FD" w:rsidRDefault="00740D6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ett nytt system för bedömning och certifiering av funktionsnedsättningar. </w:t>
            </w:r>
          </w:p>
          <w:p w14:paraId="1AE861D1" w14:textId="77777777" w:rsidR="00E040FD" w:rsidRDefault="00740D6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ett nytt system för insamling och behandling av uppgifter samt organisering av information om funktionshinder för att stödja beslutsfattandet. </w:t>
            </w:r>
          </w:p>
          <w:p w14:paraId="6C12A290" w14:textId="77777777" w:rsidR="00E040FD" w:rsidRDefault="00740D64">
            <w:pPr>
              <w:spacing w:after="0" w:line="240" w:lineRule="auto"/>
              <w:jc w:val="both"/>
              <w:rPr>
                <w:rFonts w:ascii="Calibri" w:eastAsia="Times New Roman" w:hAnsi="Calibri" w:cs="Calibri"/>
                <w:noProof/>
                <w:sz w:val="16"/>
              </w:rPr>
            </w:pPr>
            <w:r>
              <w:rPr>
                <w:rFonts w:ascii="Calibri" w:hAnsi="Calibri"/>
                <w:noProof/>
                <w:sz w:val="16"/>
              </w:rPr>
              <w:t>• kvalificering</w:t>
            </w:r>
            <w:r>
              <w:rPr>
                <w:rFonts w:ascii="Times New Roman" w:hAnsi="Times New Roman"/>
                <w:noProof/>
                <w:sz w:val="14"/>
              </w:rPr>
              <w:t xml:space="preserve"> </w:t>
            </w:r>
            <w:r>
              <w:rPr>
                <w:rFonts w:ascii="Calibri" w:hAnsi="Calibri"/>
                <w:noProof/>
                <w:sz w:val="16"/>
              </w:rPr>
              <w:t>av ingripanden på offentliga platser.</w:t>
            </w:r>
          </w:p>
          <w:p w14:paraId="090CA10D" w14:textId="77777777" w:rsidR="00E040FD" w:rsidRDefault="00740D6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integrering av funktionshindrade i beslut, åtgärder, program och projekt.</w:t>
            </w:r>
          </w:p>
          <w:p w14:paraId="47358F4D" w14:textId="77777777" w:rsidR="00E040FD" w:rsidRDefault="00740D64">
            <w:pPr>
              <w:spacing w:after="0" w:line="240" w:lineRule="auto"/>
              <w:jc w:val="both"/>
              <w:rPr>
                <w:rFonts w:ascii="Calibri" w:eastAsia="Times New Roman" w:hAnsi="Calibri" w:cs="Calibri"/>
                <w:noProof/>
                <w:sz w:val="16"/>
              </w:rPr>
            </w:pPr>
            <w:r>
              <w:rPr>
                <w:rFonts w:ascii="Calibri" w:hAnsi="Calibri"/>
                <w:noProof/>
                <w:sz w:val="16"/>
              </w:rPr>
              <w:t>• utvidgningen</w:t>
            </w:r>
            <w:r>
              <w:rPr>
                <w:rFonts w:ascii="Times New Roman" w:hAnsi="Times New Roman"/>
                <w:noProof/>
                <w:sz w:val="14"/>
              </w:rPr>
              <w:t xml:space="preserve"> </w:t>
            </w:r>
            <w:r>
              <w:rPr>
                <w:rFonts w:ascii="Calibri" w:hAnsi="Calibri"/>
                <w:noProof/>
                <w:sz w:val="16"/>
              </w:rPr>
              <w:t>av stödmodellen för ett självständigt liv, som ger personlig assistans till personer med funktionsnedsättning.</w:t>
            </w:r>
          </w:p>
          <w:p w14:paraId="20D2D4ED" w14:textId="0DE988E4" w:rsidR="00E040FD" w:rsidRDefault="00740D6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anpassning av utbildnings-, anställnings- och kvalifikationssystemet för personer med funktionshinder.</w:t>
            </w:r>
          </w:p>
        </w:tc>
      </w:tr>
      <w:tr w:rsidR="00E040FD" w14:paraId="259EB076" w14:textId="77777777">
        <w:trPr>
          <w:trHeight w:val="1060"/>
        </w:trPr>
        <w:tc>
          <w:tcPr>
            <w:tcW w:w="1124" w:type="dxa"/>
            <w:shd w:val="clear" w:color="auto" w:fill="C5EFCE"/>
            <w:vAlign w:val="center"/>
            <w:hideMark/>
          </w:tcPr>
          <w:p w14:paraId="26DEA246" w14:textId="77777777" w:rsidR="00E040FD" w:rsidRDefault="00740D64">
            <w:pPr>
              <w:pStyle w:val="P68B1DB1-Normal7"/>
              <w:spacing w:after="0" w:line="240" w:lineRule="auto"/>
              <w:jc w:val="center"/>
              <w:rPr>
                <w:rFonts w:eastAsia="Times New Roman" w:cs="Calibri"/>
                <w:noProof/>
              </w:rPr>
            </w:pPr>
            <w:r>
              <w:rPr>
                <w:noProof/>
              </w:rPr>
              <w:t>3.22</w:t>
            </w:r>
          </w:p>
        </w:tc>
        <w:tc>
          <w:tcPr>
            <w:tcW w:w="1143" w:type="dxa"/>
            <w:shd w:val="clear" w:color="auto" w:fill="C4EFCE"/>
            <w:vAlign w:val="center"/>
            <w:hideMark/>
          </w:tcPr>
          <w:p w14:paraId="46042C8C" w14:textId="77777777" w:rsidR="00E040FD" w:rsidRDefault="00740D64">
            <w:pPr>
              <w:pStyle w:val="P68B1DB1-Normal8"/>
              <w:spacing w:after="0" w:line="240" w:lineRule="auto"/>
              <w:jc w:val="center"/>
              <w:rPr>
                <w:rFonts w:eastAsia="Times New Roman" w:cs="Calibri"/>
                <w:noProof/>
              </w:rPr>
            </w:pPr>
            <w:r>
              <w:rPr>
                <w:noProof/>
              </w:rPr>
              <w:t>RE-C03-r05</w:t>
            </w:r>
          </w:p>
        </w:tc>
        <w:tc>
          <w:tcPr>
            <w:tcW w:w="982" w:type="dxa"/>
            <w:shd w:val="clear" w:color="auto" w:fill="C4EFCE"/>
            <w:vAlign w:val="center"/>
            <w:hideMark/>
          </w:tcPr>
          <w:p w14:paraId="292DDDE3" w14:textId="77777777" w:rsidR="00E040FD" w:rsidRDefault="00740D6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5FA61DF0" w14:textId="77777777" w:rsidR="00E040FD" w:rsidRDefault="00740D64">
            <w:pPr>
              <w:pStyle w:val="P68B1DB1-Normal8"/>
              <w:spacing w:after="0" w:line="240" w:lineRule="auto"/>
              <w:jc w:val="center"/>
              <w:rPr>
                <w:rFonts w:eastAsia="Times New Roman" w:cs="Calibri"/>
                <w:noProof/>
              </w:rPr>
            </w:pPr>
            <w:r>
              <w:rPr>
                <w:noProof/>
              </w:rPr>
              <w:t>Ikraftträdande av det förenklade installationssystemet för social utrustning</w:t>
            </w:r>
          </w:p>
        </w:tc>
        <w:tc>
          <w:tcPr>
            <w:tcW w:w="1486" w:type="dxa"/>
            <w:shd w:val="clear" w:color="auto" w:fill="C4EFCE"/>
            <w:vAlign w:val="center"/>
            <w:hideMark/>
          </w:tcPr>
          <w:p w14:paraId="02D75D2D" w14:textId="77777777" w:rsidR="00E040FD" w:rsidRDefault="00740D64">
            <w:pPr>
              <w:pStyle w:val="P68B1DB1-Normal8"/>
              <w:spacing w:after="0" w:line="240" w:lineRule="auto"/>
              <w:jc w:val="center"/>
              <w:rPr>
                <w:rFonts w:eastAsia="Times New Roman" w:cs="Calibri"/>
                <w:noProof/>
              </w:rPr>
            </w:pPr>
            <w:r>
              <w:rPr>
                <w:noProof/>
              </w:rPr>
              <w:t>Ikraftträdande av det förenklade installationssystemet för social utrustning</w:t>
            </w:r>
          </w:p>
        </w:tc>
        <w:tc>
          <w:tcPr>
            <w:tcW w:w="1014" w:type="dxa"/>
            <w:shd w:val="clear" w:color="auto" w:fill="C4EFCE"/>
            <w:vAlign w:val="center"/>
            <w:hideMark/>
          </w:tcPr>
          <w:p w14:paraId="1B1E4AC9"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7427C6C7" w14:textId="77777777" w:rsidR="00E040FD" w:rsidRDefault="00740D6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3501B542" w14:textId="77777777" w:rsidR="00E040FD" w:rsidRDefault="00740D6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1D936D49"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3BD447DC" w14:textId="77777777" w:rsidR="00E040FD" w:rsidRDefault="00740D6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59D5A18E" w14:textId="77777777" w:rsidR="00E040FD" w:rsidRDefault="00740D64">
            <w:pPr>
              <w:keepNext/>
              <w:spacing w:before="40" w:after="0" w:line="240" w:lineRule="auto"/>
              <w:jc w:val="both"/>
              <w:rPr>
                <w:rFonts w:ascii="Calibri" w:eastAsia="Times New Roman" w:hAnsi="Calibri" w:cs="Calibri"/>
                <w:noProof/>
                <w:sz w:val="16"/>
              </w:rPr>
            </w:pPr>
            <w:r>
              <w:rPr>
                <w:rFonts w:ascii="Calibri" w:hAnsi="Calibri"/>
                <w:noProof/>
                <w:sz w:val="16"/>
              </w:rPr>
              <w:t>Ikraftträdande av det förenklade installationssystemet för social utrustning med följande egenskaper:</w:t>
            </w:r>
            <w:r>
              <w:rPr>
                <w:noProof/>
              </w:rPr>
              <w:br/>
            </w:r>
            <w:r>
              <w:rPr>
                <w:rFonts w:ascii="Times New Roman" w:hAnsi="Times New Roman"/>
                <w:noProof/>
                <w:sz w:val="14"/>
              </w:rPr>
              <w:t xml:space="preserve"> </w:t>
            </w:r>
            <w:r>
              <w:rPr>
                <w:rFonts w:ascii="Calibri" w:hAnsi="Calibri"/>
                <w:noProof/>
                <w:sz w:val="16"/>
              </w:rPr>
              <w:t>Fastställa licensierings- och regleringskrav för bostadsstruktur för äldre som bedriver olaglig verksamhet</w:t>
            </w:r>
            <w:r>
              <w:rPr>
                <w:noProof/>
              </w:rPr>
              <w:t>,</w:t>
            </w:r>
            <w:r>
              <w:rPr>
                <w:noProof/>
              </w:rPr>
              <w:br/>
            </w:r>
            <w:r>
              <w:rPr>
                <w:rFonts w:ascii="Times New Roman" w:hAnsi="Times New Roman"/>
                <w:noProof/>
                <w:sz w:val="14"/>
              </w:rPr>
              <w:t xml:space="preserve"> </w:t>
            </w:r>
            <w:r>
              <w:rPr>
                <w:rFonts w:ascii="Calibri" w:hAnsi="Calibri"/>
                <w:noProof/>
                <w:sz w:val="16"/>
              </w:rPr>
              <w:t>Införa kvalitetskriterier för de tjänster och sociala inrättningar som tillhandahålls,</w:t>
            </w:r>
          </w:p>
          <w:p w14:paraId="73A3AE3B" w14:textId="77777777" w:rsidR="00E040FD" w:rsidRDefault="00740D64">
            <w:pPr>
              <w:keepNext/>
              <w:spacing w:before="40" w:after="0" w:line="240" w:lineRule="auto"/>
              <w:jc w:val="both"/>
              <w:rPr>
                <w:rFonts w:ascii="Calibri" w:eastAsia="Times New Roman" w:hAnsi="Calibri" w:cs="Calibri"/>
                <w:noProof/>
                <w:sz w:val="16"/>
              </w:rPr>
            </w:pPr>
            <w:r>
              <w:rPr>
                <w:rFonts w:ascii="Calibri" w:hAnsi="Calibri"/>
                <w:noProof/>
                <w:sz w:val="16"/>
              </w:rPr>
              <w:t>Skapa en ram för införandet av nya typer av sociala lösningar, såsom samverkande bostäder och nya modeller för hemstöd för att tillgodose äldres olika behov.</w:t>
            </w:r>
          </w:p>
          <w:p w14:paraId="696011FB" w14:textId="77777777" w:rsidR="00E040FD" w:rsidRDefault="00E040FD">
            <w:pPr>
              <w:spacing w:after="0" w:line="240" w:lineRule="auto"/>
              <w:jc w:val="both"/>
              <w:rPr>
                <w:rFonts w:ascii="Calibri" w:eastAsia="Times New Roman" w:hAnsi="Calibri" w:cs="Calibri"/>
                <w:noProof/>
                <w:sz w:val="16"/>
              </w:rPr>
            </w:pPr>
          </w:p>
        </w:tc>
      </w:tr>
      <w:tr w:rsidR="00E040FD" w14:paraId="4AAC7737" w14:textId="77777777">
        <w:trPr>
          <w:trHeight w:val="1470"/>
        </w:trPr>
        <w:tc>
          <w:tcPr>
            <w:tcW w:w="1124" w:type="dxa"/>
            <w:shd w:val="clear" w:color="auto" w:fill="C5EFCE"/>
            <w:vAlign w:val="center"/>
            <w:hideMark/>
          </w:tcPr>
          <w:p w14:paraId="53E47662" w14:textId="77777777" w:rsidR="00E040FD" w:rsidRDefault="00740D64">
            <w:pPr>
              <w:pStyle w:val="P68B1DB1-Normal7"/>
              <w:spacing w:after="0" w:line="240" w:lineRule="auto"/>
              <w:jc w:val="center"/>
              <w:rPr>
                <w:rFonts w:eastAsia="Times New Roman" w:cs="Calibri"/>
                <w:noProof/>
              </w:rPr>
            </w:pPr>
            <w:r>
              <w:rPr>
                <w:noProof/>
              </w:rPr>
              <w:t>3.23</w:t>
            </w:r>
          </w:p>
        </w:tc>
        <w:tc>
          <w:tcPr>
            <w:tcW w:w="1143" w:type="dxa"/>
            <w:shd w:val="clear" w:color="auto" w:fill="C4EFCE"/>
            <w:vAlign w:val="center"/>
            <w:hideMark/>
          </w:tcPr>
          <w:p w14:paraId="7E9E6D6E" w14:textId="77777777" w:rsidR="00E040FD" w:rsidRDefault="00740D64">
            <w:pPr>
              <w:pStyle w:val="P68B1DB1-Normal8"/>
              <w:spacing w:after="0" w:line="240" w:lineRule="auto"/>
              <w:jc w:val="center"/>
              <w:rPr>
                <w:rFonts w:eastAsia="Times New Roman" w:cs="Calibri"/>
                <w:noProof/>
              </w:rPr>
            </w:pPr>
            <w:r>
              <w:rPr>
                <w:noProof/>
              </w:rPr>
              <w:t>RE-C03-r07</w:t>
            </w:r>
          </w:p>
        </w:tc>
        <w:tc>
          <w:tcPr>
            <w:tcW w:w="982" w:type="dxa"/>
            <w:shd w:val="clear" w:color="auto" w:fill="C4EFCE"/>
            <w:vAlign w:val="center"/>
            <w:hideMark/>
          </w:tcPr>
          <w:p w14:paraId="1ED92161" w14:textId="77777777" w:rsidR="00E040FD" w:rsidRDefault="00740D6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0AE24901" w14:textId="77777777" w:rsidR="00E040FD" w:rsidRDefault="00740D64">
            <w:pPr>
              <w:pStyle w:val="P68B1DB1-Normal8"/>
              <w:spacing w:after="0" w:line="240" w:lineRule="auto"/>
              <w:jc w:val="center"/>
              <w:rPr>
                <w:rFonts w:eastAsia="Times New Roman" w:cs="Calibri"/>
                <w:noProof/>
              </w:rPr>
            </w:pPr>
            <w:r>
              <w:rPr>
                <w:noProof/>
              </w:rPr>
              <w:t>Godkännande av handlingsplaner för missgynnade samhällen i storstadsområdena Lissabon och Porto</w:t>
            </w:r>
          </w:p>
        </w:tc>
        <w:tc>
          <w:tcPr>
            <w:tcW w:w="1486" w:type="dxa"/>
            <w:shd w:val="clear" w:color="auto" w:fill="C4EFCE"/>
            <w:vAlign w:val="center"/>
            <w:hideMark/>
          </w:tcPr>
          <w:p w14:paraId="261758C6" w14:textId="77777777" w:rsidR="00E040FD" w:rsidRDefault="00740D64">
            <w:pPr>
              <w:pStyle w:val="P68B1DB1-Normal8"/>
              <w:spacing w:after="0" w:line="240" w:lineRule="auto"/>
              <w:jc w:val="center"/>
              <w:rPr>
                <w:rFonts w:eastAsia="Times New Roman" w:cs="Calibri"/>
                <w:noProof/>
              </w:rPr>
            </w:pPr>
            <w:r>
              <w:rPr>
                <w:noProof/>
              </w:rPr>
              <w:t>Godkännande av handlingsplaner för missgynnade samhällen i storstadsområdena Lissabon och Porto för de berörda territorierna.</w:t>
            </w:r>
          </w:p>
        </w:tc>
        <w:tc>
          <w:tcPr>
            <w:tcW w:w="1014" w:type="dxa"/>
            <w:shd w:val="clear" w:color="auto" w:fill="C4EFCE"/>
            <w:vAlign w:val="center"/>
            <w:hideMark/>
          </w:tcPr>
          <w:p w14:paraId="68B55A40"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10543D8B" w14:textId="77777777" w:rsidR="00E040FD" w:rsidRDefault="00740D6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AC9AD61" w14:textId="77777777" w:rsidR="00E040FD" w:rsidRDefault="00740D6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760D1855"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6F6B7AA0" w14:textId="77777777" w:rsidR="00E040FD" w:rsidRDefault="00740D6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094C2ECF" w14:textId="474A4AD6" w:rsidR="00E040FD" w:rsidRDefault="00740D64">
            <w:pPr>
              <w:pStyle w:val="P68B1DB1-Normal8"/>
              <w:spacing w:after="0" w:line="240" w:lineRule="auto"/>
              <w:jc w:val="both"/>
              <w:rPr>
                <w:rFonts w:eastAsia="Times New Roman" w:cs="Calibri"/>
                <w:noProof/>
              </w:rPr>
            </w:pPr>
            <w:r>
              <w:rPr>
                <w:noProof/>
              </w:rPr>
              <w:t>Godkännande av handlingsplaner för missgynnade samhällen i storstadsområdena Lissabon och Porto. Handlingsplanerna ska inriktas på två huvudområden: i) Interventioner i offentliga lokaler och social infrastruktur såsom daghem och grundskolor, hälso- och sjukvårdsinrättningar och inrättningar för kulturevenemang, workshoppar och/eller utbildningskurser. II) Insatser av immateriellt slag för att främja social sammanhållning, såsom att aktivt involvera lokalsamhällena i utformningen och genomförandet, främja entreprenörskap hos små och lokala företag, utforma projekt för att bekämpa misslyckad skolgång och avhopp från skolan, erbjuda yrkesutbildning och främja idrott. En styrningsmodell ska inrättas, baserad på principer om flernivåstyre och med deltagande av olika aktörer från centralregeringen till lokala områden/bostadsområden. Samtidigt ska det finnas lokala tekniska enheter som operativ föregångare för denna modell för att främja ägarskap och närhet i förvaltningen och genomförandet av kontrakten.</w:t>
            </w:r>
          </w:p>
        </w:tc>
      </w:tr>
      <w:tr w:rsidR="00E040FD" w14:paraId="6A8DEB67" w14:textId="77777777">
        <w:trPr>
          <w:trHeight w:val="54"/>
        </w:trPr>
        <w:tc>
          <w:tcPr>
            <w:tcW w:w="1124" w:type="dxa"/>
            <w:shd w:val="clear" w:color="auto" w:fill="C5EFCE"/>
            <w:vAlign w:val="center"/>
            <w:hideMark/>
          </w:tcPr>
          <w:p w14:paraId="2E2BCCE3" w14:textId="77777777" w:rsidR="00E040FD" w:rsidRDefault="00740D64">
            <w:pPr>
              <w:pStyle w:val="P68B1DB1-Normal7"/>
              <w:spacing w:after="0" w:line="240" w:lineRule="auto"/>
              <w:jc w:val="center"/>
              <w:rPr>
                <w:rFonts w:eastAsia="Times New Roman" w:cs="Calibri"/>
                <w:noProof/>
              </w:rPr>
            </w:pPr>
            <w:r>
              <w:rPr>
                <w:noProof/>
              </w:rPr>
              <w:t>3.24</w:t>
            </w:r>
          </w:p>
        </w:tc>
        <w:tc>
          <w:tcPr>
            <w:tcW w:w="1143" w:type="dxa"/>
            <w:shd w:val="clear" w:color="auto" w:fill="C4EFCE"/>
            <w:vAlign w:val="center"/>
            <w:hideMark/>
          </w:tcPr>
          <w:p w14:paraId="615FFB2A" w14:textId="3295EEAC" w:rsidR="00E040FD" w:rsidRDefault="00740D64">
            <w:pPr>
              <w:pStyle w:val="P68B1DB1-Normal9"/>
              <w:spacing w:after="0" w:line="240" w:lineRule="auto"/>
              <w:jc w:val="center"/>
              <w:rPr>
                <w:rFonts w:eastAsia="Times New Roman" w:cs="Calibri"/>
                <w:noProof/>
                <w:sz w:val="2"/>
              </w:rPr>
            </w:pPr>
            <w:r>
              <w:rPr>
                <w:noProof/>
                <w:sz w:val="16"/>
              </w:rPr>
              <w:t>RE-C03-i06</w:t>
            </w:r>
            <w:r>
              <w:rPr>
                <w:noProof/>
                <w:sz w:val="2"/>
              </w:rPr>
              <w:t xml:space="preserve"> </w:t>
            </w:r>
          </w:p>
        </w:tc>
        <w:tc>
          <w:tcPr>
            <w:tcW w:w="982" w:type="dxa"/>
            <w:shd w:val="clear" w:color="auto" w:fill="C4EFCE"/>
            <w:vAlign w:val="center"/>
            <w:hideMark/>
          </w:tcPr>
          <w:p w14:paraId="3A336285" w14:textId="340ADB5F" w:rsidR="00E040FD" w:rsidRDefault="00740D64">
            <w:pPr>
              <w:pStyle w:val="P68B1DB1-Normal9"/>
              <w:spacing w:after="0" w:line="240" w:lineRule="auto"/>
              <w:jc w:val="center"/>
              <w:rPr>
                <w:rFonts w:eastAsia="Times New Roman" w:cs="Calibri"/>
                <w:noProof/>
                <w:sz w:val="2"/>
              </w:rPr>
            </w:pPr>
            <w:r>
              <w:rPr>
                <w:noProof/>
                <w:sz w:val="16"/>
              </w:rPr>
              <w:t>M</w:t>
            </w:r>
            <w:r>
              <w:rPr>
                <w:noProof/>
                <w:sz w:val="2"/>
              </w:rPr>
              <w:t xml:space="preserve"> </w:t>
            </w:r>
          </w:p>
        </w:tc>
        <w:tc>
          <w:tcPr>
            <w:tcW w:w="1740" w:type="dxa"/>
            <w:shd w:val="clear" w:color="auto" w:fill="C4EFCE"/>
            <w:vAlign w:val="center"/>
            <w:hideMark/>
          </w:tcPr>
          <w:p w14:paraId="60576BD2" w14:textId="7F78B1AB" w:rsidR="00E040FD" w:rsidRDefault="00740D64">
            <w:pPr>
              <w:pStyle w:val="P68B1DB1-Normal9"/>
              <w:spacing w:after="0" w:line="240" w:lineRule="auto"/>
              <w:jc w:val="center"/>
              <w:rPr>
                <w:rFonts w:eastAsia="Times New Roman" w:cs="Calibri"/>
                <w:noProof/>
                <w:sz w:val="2"/>
              </w:rPr>
            </w:pPr>
            <w:r>
              <w:rPr>
                <w:noProof/>
                <w:sz w:val="16"/>
              </w:rPr>
              <w:t>Undertecknande av avtal mellan kommunerna i Lissabon/Porto och de lokala tekniska enheterna om omfattningen av de åtgärder som ska stödjas.</w:t>
            </w:r>
            <w:r>
              <w:rPr>
                <w:noProof/>
                <w:sz w:val="2"/>
              </w:rPr>
              <w:t xml:space="preserve"> </w:t>
            </w:r>
          </w:p>
        </w:tc>
        <w:tc>
          <w:tcPr>
            <w:tcW w:w="1486" w:type="dxa"/>
            <w:shd w:val="clear" w:color="auto" w:fill="C4EFCE"/>
            <w:vAlign w:val="center"/>
            <w:hideMark/>
          </w:tcPr>
          <w:p w14:paraId="14D03986" w14:textId="6BAAE04A" w:rsidR="00E040FD" w:rsidRDefault="00740D64">
            <w:pPr>
              <w:pStyle w:val="P68B1DB1-Normal9"/>
              <w:spacing w:after="0" w:line="240" w:lineRule="auto"/>
              <w:jc w:val="center"/>
              <w:rPr>
                <w:rFonts w:eastAsia="Times New Roman" w:cs="Calibri"/>
                <w:noProof/>
                <w:sz w:val="2"/>
              </w:rPr>
            </w:pPr>
            <w:r>
              <w:rPr>
                <w:noProof/>
                <w:sz w:val="16"/>
              </w:rPr>
              <w:t>Undertecknande av avtal om planerna för de 12 insatsområdena</w:t>
            </w:r>
            <w:r>
              <w:rPr>
                <w:noProof/>
                <w:sz w:val="2"/>
              </w:rPr>
              <w:t xml:space="preserve"> </w:t>
            </w:r>
          </w:p>
        </w:tc>
        <w:tc>
          <w:tcPr>
            <w:tcW w:w="1014" w:type="dxa"/>
            <w:shd w:val="clear" w:color="auto" w:fill="C4EFCE"/>
            <w:vAlign w:val="center"/>
            <w:hideMark/>
          </w:tcPr>
          <w:p w14:paraId="133B822E" w14:textId="77777777" w:rsidR="00E040FD" w:rsidRDefault="00740D64">
            <w:pPr>
              <w:pStyle w:val="P68B1DB1-Normal15"/>
              <w:spacing w:after="0" w:line="240" w:lineRule="auto"/>
              <w:jc w:val="center"/>
              <w:rPr>
                <w:rFonts w:eastAsia="Times New Roman" w:cs="Calibri"/>
                <w:noProof/>
              </w:rPr>
            </w:pPr>
            <w:r>
              <w:rPr>
                <w:noProof/>
              </w:rPr>
              <w:t> </w:t>
            </w:r>
          </w:p>
        </w:tc>
        <w:tc>
          <w:tcPr>
            <w:tcW w:w="1014" w:type="dxa"/>
            <w:shd w:val="clear" w:color="auto" w:fill="C4EFCE"/>
            <w:vAlign w:val="center"/>
            <w:hideMark/>
          </w:tcPr>
          <w:p w14:paraId="6CFDD089" w14:textId="77777777" w:rsidR="00E040FD" w:rsidRDefault="00740D64">
            <w:pPr>
              <w:pStyle w:val="P68B1DB1-Normal15"/>
              <w:spacing w:after="0" w:line="240" w:lineRule="auto"/>
              <w:jc w:val="center"/>
              <w:rPr>
                <w:rFonts w:eastAsia="Times New Roman" w:cs="Calibri"/>
                <w:noProof/>
              </w:rPr>
            </w:pPr>
            <w:r>
              <w:rPr>
                <w:noProof/>
              </w:rPr>
              <w:t> </w:t>
            </w:r>
          </w:p>
        </w:tc>
        <w:tc>
          <w:tcPr>
            <w:tcW w:w="882" w:type="dxa"/>
            <w:shd w:val="clear" w:color="auto" w:fill="C4EFCE"/>
            <w:vAlign w:val="center"/>
            <w:hideMark/>
          </w:tcPr>
          <w:p w14:paraId="60360FF4" w14:textId="77777777" w:rsidR="00E040FD" w:rsidRDefault="00740D64">
            <w:pPr>
              <w:pStyle w:val="P68B1DB1-Normal15"/>
              <w:spacing w:after="0" w:line="240" w:lineRule="auto"/>
              <w:jc w:val="center"/>
              <w:rPr>
                <w:rFonts w:eastAsia="Times New Roman" w:cs="Calibri"/>
                <w:noProof/>
              </w:rPr>
            </w:pPr>
            <w:r>
              <w:rPr>
                <w:noProof/>
              </w:rPr>
              <w:t> </w:t>
            </w:r>
          </w:p>
        </w:tc>
        <w:tc>
          <w:tcPr>
            <w:tcW w:w="680" w:type="dxa"/>
            <w:shd w:val="clear" w:color="auto" w:fill="C4EFCE"/>
            <w:vAlign w:val="center"/>
            <w:hideMark/>
          </w:tcPr>
          <w:p w14:paraId="150EEAF8" w14:textId="19C15C24" w:rsidR="00E040FD" w:rsidRDefault="00740D64">
            <w:pPr>
              <w:pStyle w:val="P68B1DB1-Normal9"/>
              <w:spacing w:after="0" w:line="240" w:lineRule="auto"/>
              <w:jc w:val="center"/>
              <w:rPr>
                <w:rFonts w:eastAsia="Times New Roman" w:cs="Calibri"/>
                <w:noProof/>
                <w:sz w:val="2"/>
              </w:rPr>
            </w:pPr>
            <w:r>
              <w:rPr>
                <w:noProof/>
                <w:sz w:val="16"/>
              </w:rPr>
              <w:t>KVARTAL 1</w:t>
            </w:r>
            <w:r>
              <w:rPr>
                <w:noProof/>
                <w:sz w:val="2"/>
              </w:rPr>
              <w:t xml:space="preserve"> </w:t>
            </w:r>
          </w:p>
        </w:tc>
        <w:tc>
          <w:tcPr>
            <w:tcW w:w="845" w:type="dxa"/>
            <w:shd w:val="clear" w:color="auto" w:fill="C4EFCE"/>
            <w:vAlign w:val="center"/>
            <w:hideMark/>
          </w:tcPr>
          <w:p w14:paraId="7858F213" w14:textId="0BA23128" w:rsidR="00E040FD" w:rsidRDefault="00740D64">
            <w:pPr>
              <w:pStyle w:val="P68B1DB1-Normal9"/>
              <w:spacing w:after="0" w:line="240" w:lineRule="auto"/>
              <w:jc w:val="center"/>
              <w:rPr>
                <w:rFonts w:eastAsia="Times New Roman" w:cs="Calibri"/>
                <w:noProof/>
                <w:sz w:val="2"/>
              </w:rPr>
            </w:pPr>
            <w:r>
              <w:rPr>
                <w:noProof/>
                <w:sz w:val="16"/>
              </w:rPr>
              <w:t>2022</w:t>
            </w:r>
            <w:r>
              <w:rPr>
                <w:noProof/>
                <w:sz w:val="2"/>
              </w:rPr>
              <w:t xml:space="preserve"> </w:t>
            </w:r>
          </w:p>
        </w:tc>
        <w:tc>
          <w:tcPr>
            <w:tcW w:w="4277" w:type="dxa"/>
            <w:shd w:val="clear" w:color="auto" w:fill="C4EFCE"/>
            <w:vAlign w:val="center"/>
            <w:hideMark/>
          </w:tcPr>
          <w:p w14:paraId="074BB5C5" w14:textId="77777777" w:rsidR="00E040FD" w:rsidRDefault="00E040FD">
            <w:pPr>
              <w:spacing w:after="0" w:line="240" w:lineRule="auto"/>
              <w:jc w:val="both"/>
              <w:rPr>
                <w:rFonts w:ascii="Calibri" w:eastAsia="Times New Roman" w:hAnsi="Calibri" w:cs="Calibri"/>
                <w:noProof/>
                <w:sz w:val="2"/>
              </w:rPr>
            </w:pPr>
          </w:p>
          <w:p w14:paraId="2B90755B" w14:textId="77777777" w:rsidR="00E040FD" w:rsidRDefault="00740D64">
            <w:pPr>
              <w:pStyle w:val="P68B1DB1-Normal8"/>
              <w:spacing w:after="0" w:line="240" w:lineRule="auto"/>
              <w:jc w:val="both"/>
              <w:rPr>
                <w:rFonts w:eastAsia="Times New Roman" w:cs="Calibri"/>
                <w:noProof/>
              </w:rPr>
            </w:pPr>
            <w:r>
              <w:rPr>
                <w:noProof/>
              </w:rPr>
              <w:t xml:space="preserve">Undertecknande av avtal mellan storstadsområdena Porto och Lissabon och de lokala tekniska enheter som ansvarar för vart och ett av de 12 insatsområdena (dvs. bostadsområden) som fastställer omfattningen av de åtgärder som ska stödjas, tidsplanen för deras genomförande, budgetstödet på 225 miljoner euro och de valda resultatindikatorerna. De åtgärder som ska stödjas ska tillhöra följande kategorier: </w:t>
            </w:r>
          </w:p>
          <w:p w14:paraId="17B62751" w14:textId="420F0041" w:rsidR="00E040FD" w:rsidRDefault="00740D64">
            <w:pPr>
              <w:pStyle w:val="P68B1DB1-Normal8"/>
              <w:spacing w:after="0" w:line="240" w:lineRule="auto"/>
              <w:jc w:val="both"/>
              <w:rPr>
                <w:rFonts w:eastAsia="Times New Roman" w:cs="Calibri"/>
                <w:noProof/>
              </w:rPr>
            </w:pPr>
            <w:r>
              <w:rPr>
                <w:noProof/>
              </w:rPr>
              <w:t>• Främjande av hälsa och livskvalitet i samhället</w:t>
            </w:r>
          </w:p>
          <w:p w14:paraId="54898F6F" w14:textId="01E4CBF5" w:rsidR="00E040FD" w:rsidRDefault="00740D64">
            <w:pPr>
              <w:pStyle w:val="P68B1DB1-Normal8"/>
              <w:spacing w:after="0" w:line="240" w:lineRule="auto"/>
              <w:jc w:val="both"/>
              <w:rPr>
                <w:rFonts w:eastAsia="Times New Roman" w:cs="Calibri"/>
                <w:noProof/>
              </w:rPr>
            </w:pPr>
            <w:r>
              <w:rPr>
                <w:noProof/>
              </w:rPr>
              <w:t>• Fysisk uppgradering av offentliga utrymmen eller förstärkning av social infrastruktur, hälso- och sjukvårds-, bostads- eller idrottsinfrastruktur</w:t>
            </w:r>
          </w:p>
          <w:p w14:paraId="624EBE3B" w14:textId="4572A9ED" w:rsidR="00E040FD" w:rsidRDefault="00740D64">
            <w:pPr>
              <w:pStyle w:val="P68B1DB1-Normal8"/>
              <w:spacing w:after="0" w:line="240" w:lineRule="auto"/>
              <w:jc w:val="both"/>
              <w:rPr>
                <w:rFonts w:eastAsia="Times New Roman" w:cs="Calibri"/>
                <w:noProof/>
              </w:rPr>
            </w:pPr>
            <w:r>
              <w:rPr>
                <w:noProof/>
              </w:rPr>
              <w:t>• Ekonomisk förnyelse av socialt missgynnade områden</w:t>
            </w:r>
          </w:p>
          <w:p w14:paraId="5AEDB899" w14:textId="1FE16CD3" w:rsidR="00E040FD" w:rsidRDefault="00740D64">
            <w:pPr>
              <w:pStyle w:val="P68B1DB1-Normal8"/>
              <w:spacing w:after="0" w:line="240" w:lineRule="auto"/>
              <w:jc w:val="both"/>
              <w:rPr>
                <w:rFonts w:eastAsia="Times New Roman" w:cs="Calibri"/>
                <w:noProof/>
              </w:rPr>
            </w:pPr>
            <w:r>
              <w:rPr>
                <w:noProof/>
              </w:rPr>
              <w:t>• Entreprenörskap i små, lokala företag</w:t>
            </w:r>
          </w:p>
          <w:p w14:paraId="2618AB0D" w14:textId="60D4AC3E" w:rsidR="00E040FD" w:rsidRDefault="00740D64">
            <w:pPr>
              <w:pStyle w:val="P68B1DB1-Normal8"/>
              <w:spacing w:after="0" w:line="240" w:lineRule="auto"/>
              <w:jc w:val="both"/>
              <w:rPr>
                <w:rFonts w:eastAsia="Times New Roman" w:cs="Calibri"/>
                <w:noProof/>
              </w:rPr>
            </w:pPr>
            <w:r>
              <w:rPr>
                <w:noProof/>
              </w:rPr>
              <w:t>• Tillgång till hälso- och sjukvård, utveckling av gemenskapens hälsa och bekämpning av beroendeförhållanden</w:t>
            </w:r>
          </w:p>
          <w:p w14:paraId="59E0A48F" w14:textId="2B2BB1BF" w:rsidR="00E040FD" w:rsidRDefault="00740D64">
            <w:pPr>
              <w:pStyle w:val="P68B1DB1-Normal8"/>
              <w:spacing w:after="0" w:line="240" w:lineRule="auto"/>
              <w:jc w:val="both"/>
              <w:rPr>
                <w:rFonts w:eastAsia="Times New Roman" w:cs="Calibri"/>
                <w:noProof/>
              </w:rPr>
            </w:pPr>
            <w:r>
              <w:rPr>
                <w:noProof/>
              </w:rPr>
              <w:t>• Program för aktivt och hälsosamt åldrande</w:t>
            </w:r>
          </w:p>
          <w:p w14:paraId="464EC0E8" w14:textId="7A5664FE" w:rsidR="00E040FD" w:rsidRDefault="00740D64">
            <w:pPr>
              <w:pStyle w:val="P68B1DB1-Normal8"/>
              <w:spacing w:after="0" w:line="240" w:lineRule="auto"/>
              <w:jc w:val="both"/>
              <w:rPr>
                <w:rFonts w:eastAsia="Times New Roman" w:cs="Calibri"/>
                <w:noProof/>
              </w:rPr>
            </w:pPr>
            <w:r>
              <w:rPr>
                <w:noProof/>
              </w:rPr>
              <w:t>• Projekt för att bekämpa misslyckad skolgång och avhopp från skolan</w:t>
            </w:r>
          </w:p>
          <w:p w14:paraId="5F6D5B68" w14:textId="2CE34C86" w:rsidR="00E040FD" w:rsidRDefault="00740D64">
            <w:pPr>
              <w:pStyle w:val="P68B1DB1-Normal8"/>
              <w:spacing w:after="0" w:line="240" w:lineRule="auto"/>
              <w:jc w:val="both"/>
              <w:rPr>
                <w:rFonts w:eastAsia="Times New Roman" w:cs="Calibri"/>
                <w:noProof/>
              </w:rPr>
            </w:pPr>
            <w:r>
              <w:rPr>
                <w:noProof/>
              </w:rPr>
              <w:t>• Vuxnas kvalifikationer och certifiering av färdigheter</w:t>
            </w:r>
          </w:p>
          <w:p w14:paraId="23C5A42E" w14:textId="572B3615" w:rsidR="00E040FD" w:rsidRDefault="00740D64">
            <w:pPr>
              <w:pStyle w:val="P68B1DB1-Normal8"/>
              <w:spacing w:after="0" w:line="240" w:lineRule="auto"/>
              <w:jc w:val="both"/>
              <w:rPr>
                <w:rFonts w:eastAsia="Times New Roman" w:cs="Calibri"/>
                <w:noProof/>
              </w:rPr>
            </w:pPr>
            <w:r>
              <w:rPr>
                <w:noProof/>
              </w:rPr>
              <w:t>• Diagnos av befolkningens behov och utveckling av läs- och skrivkunnighet för vuxna, portugisisk språkinlärning och program för digital inkludering.</w:t>
            </w:r>
          </w:p>
          <w:p w14:paraId="2FC6B1C6" w14:textId="707952D2" w:rsidR="00E040FD" w:rsidRDefault="00740D64">
            <w:pPr>
              <w:pStyle w:val="P68B1DB1-Normal8"/>
              <w:spacing w:after="0" w:line="240" w:lineRule="auto"/>
              <w:jc w:val="both"/>
              <w:rPr>
                <w:rFonts w:eastAsia="Times New Roman" w:cs="Calibri"/>
                <w:noProof/>
              </w:rPr>
            </w:pPr>
            <w:r>
              <w:rPr>
                <w:noProof/>
              </w:rPr>
              <w:t xml:space="preserve">• Yrkesutbildning och politik  </w:t>
            </w:r>
          </w:p>
          <w:p w14:paraId="0C19E077" w14:textId="16BBF976" w:rsidR="00E040FD" w:rsidRDefault="00740D64">
            <w:pPr>
              <w:pStyle w:val="P68B1DB1-Normal8"/>
              <w:spacing w:after="0" w:line="240" w:lineRule="auto"/>
              <w:jc w:val="both"/>
              <w:rPr>
                <w:rFonts w:eastAsia="Times New Roman" w:cs="Calibri"/>
                <w:noProof/>
              </w:rPr>
            </w:pPr>
            <w:r>
              <w:rPr>
                <w:noProof/>
              </w:rPr>
              <w:t xml:space="preserve">• Tillgång till kultur och kreativitet  </w:t>
            </w:r>
          </w:p>
          <w:p w14:paraId="445DE787" w14:textId="15E88B9F" w:rsidR="00E040FD" w:rsidRDefault="00740D64">
            <w:pPr>
              <w:pStyle w:val="P68B1DB1-Normal8"/>
              <w:spacing w:after="0" w:line="240" w:lineRule="auto"/>
              <w:jc w:val="both"/>
              <w:rPr>
                <w:rFonts w:eastAsia="Times New Roman" w:cs="Calibri"/>
                <w:noProof/>
              </w:rPr>
            </w:pPr>
            <w:r>
              <w:rPr>
                <w:noProof/>
              </w:rPr>
              <w:t>• Gemenskapens deltagande i förvaltningen av programmet</w:t>
            </w:r>
          </w:p>
          <w:p w14:paraId="1541178C" w14:textId="77FC312E" w:rsidR="00E040FD" w:rsidRDefault="00740D64">
            <w:pPr>
              <w:pStyle w:val="P68B1DB1-Normal8"/>
              <w:spacing w:after="0" w:line="240" w:lineRule="auto"/>
              <w:jc w:val="both"/>
              <w:rPr>
                <w:rFonts w:eastAsia="Times New Roman" w:cs="Calibri"/>
                <w:noProof/>
              </w:rPr>
            </w:pPr>
            <w:r>
              <w:rPr>
                <w:noProof/>
              </w:rPr>
              <w:t>• Att stärka lokala aktörer i partnerskapsnätverk</w:t>
            </w:r>
          </w:p>
          <w:p w14:paraId="20F7BB6E" w14:textId="58EAC5BB" w:rsidR="00E040FD" w:rsidRDefault="00740D64">
            <w:pPr>
              <w:pStyle w:val="P68B1DB1-Normal8"/>
              <w:spacing w:after="0" w:line="240" w:lineRule="auto"/>
              <w:jc w:val="both"/>
              <w:rPr>
                <w:rFonts w:eastAsia="Times New Roman" w:cs="Calibri"/>
                <w:noProof/>
              </w:rPr>
            </w:pPr>
            <w:r>
              <w:rPr>
                <w:noProof/>
              </w:rPr>
              <w:t>• Lösningar för att bekämpa fattigdom och social utestängning</w:t>
            </w:r>
          </w:p>
          <w:p w14:paraId="41B06FE0" w14:textId="626AE119" w:rsidR="00E040FD" w:rsidRDefault="00740D64">
            <w:pPr>
              <w:pStyle w:val="P68B1DB1-Normal8"/>
              <w:spacing w:after="0" w:line="240" w:lineRule="auto"/>
              <w:jc w:val="both"/>
              <w:rPr>
                <w:rFonts w:eastAsia="Times New Roman" w:cs="Calibri"/>
                <w:noProof/>
              </w:rPr>
            </w:pPr>
            <w:r>
              <w:rPr>
                <w:noProof/>
              </w:rPr>
              <w:t>• Främjande av idrott</w:t>
            </w:r>
          </w:p>
          <w:p w14:paraId="652D8882" w14:textId="77777777" w:rsidR="00E040FD" w:rsidRDefault="00740D64">
            <w:pPr>
              <w:pStyle w:val="P68B1DB1-Normal8"/>
              <w:spacing w:after="0" w:line="240" w:lineRule="auto"/>
              <w:jc w:val="both"/>
              <w:rPr>
                <w:rFonts w:eastAsia="Times New Roman" w:cs="Calibri"/>
                <w:noProof/>
              </w:rPr>
            </w:pPr>
            <w:r>
              <w:rPr>
                <w:noProof/>
              </w:rPr>
              <w:t>• Medborgarskap och tillgång till rättigheter och medborgardeltagande</w:t>
            </w:r>
          </w:p>
          <w:p w14:paraId="394A6176" w14:textId="316BED13" w:rsidR="00E040FD" w:rsidRDefault="00E040FD">
            <w:pPr>
              <w:spacing w:after="0" w:line="240" w:lineRule="auto"/>
              <w:jc w:val="both"/>
              <w:rPr>
                <w:rFonts w:ascii="Calibri" w:eastAsia="Times New Roman" w:hAnsi="Calibri" w:cs="Calibri"/>
                <w:noProof/>
                <w:sz w:val="16"/>
              </w:rPr>
            </w:pPr>
          </w:p>
          <w:p w14:paraId="1472C29A" w14:textId="2ED36D93" w:rsidR="00E040FD" w:rsidRDefault="00740D64">
            <w:pPr>
              <w:pStyle w:val="P68B1DB1-Normal8"/>
              <w:spacing w:after="0" w:line="240" w:lineRule="auto"/>
              <w:jc w:val="both"/>
              <w:rPr>
                <w:rFonts w:eastAsia="Times New Roman" w:cs="Calibri"/>
                <w:noProof/>
              </w:rPr>
            </w:pPr>
            <w:r>
              <w:rPr>
                <w:noProof/>
              </w:rPr>
              <w:t>Kravspecifikationerna för kommande ansökningsomgångar ska omfatta kriterier för stödberättigande som säkerställer att de utvalda projekten uppfyller den tekniska vägledningen om att inte orsaka betydande skada (2021/C58/01) genom användning av en uteslutningslista och kravet på överensstämmelse med relevant EU-lagstiftning och nationell miljölagstiftning.</w:t>
            </w:r>
          </w:p>
          <w:p w14:paraId="7E890B92" w14:textId="3B827B04" w:rsidR="00E040FD" w:rsidRDefault="00E040FD">
            <w:pPr>
              <w:spacing w:after="0" w:line="240" w:lineRule="auto"/>
              <w:jc w:val="both"/>
              <w:rPr>
                <w:rFonts w:ascii="Calibri" w:eastAsia="Times New Roman" w:hAnsi="Calibri" w:cs="Calibri"/>
                <w:noProof/>
                <w:sz w:val="2"/>
              </w:rPr>
            </w:pPr>
          </w:p>
        </w:tc>
      </w:tr>
      <w:tr w:rsidR="00E040FD" w14:paraId="4A758E18" w14:textId="77777777">
        <w:trPr>
          <w:trHeight w:val="1610"/>
        </w:trPr>
        <w:tc>
          <w:tcPr>
            <w:tcW w:w="1124" w:type="dxa"/>
            <w:shd w:val="clear" w:color="auto" w:fill="C5EFCE"/>
            <w:vAlign w:val="center"/>
            <w:hideMark/>
          </w:tcPr>
          <w:p w14:paraId="497D6364" w14:textId="77777777" w:rsidR="00E040FD" w:rsidRDefault="00740D64">
            <w:pPr>
              <w:pStyle w:val="P68B1DB1-Normal7"/>
              <w:spacing w:after="0" w:line="240" w:lineRule="auto"/>
              <w:jc w:val="center"/>
              <w:rPr>
                <w:rFonts w:eastAsia="Times New Roman" w:cs="Calibri"/>
                <w:noProof/>
              </w:rPr>
            </w:pPr>
            <w:r>
              <w:rPr>
                <w:noProof/>
              </w:rPr>
              <w:t>3.25</w:t>
            </w:r>
          </w:p>
        </w:tc>
        <w:tc>
          <w:tcPr>
            <w:tcW w:w="1143" w:type="dxa"/>
            <w:shd w:val="clear" w:color="auto" w:fill="C4EFCE"/>
            <w:vAlign w:val="center"/>
            <w:hideMark/>
          </w:tcPr>
          <w:p w14:paraId="6A5AD6FB" w14:textId="77777777" w:rsidR="00E040FD" w:rsidRDefault="00740D64">
            <w:pPr>
              <w:pStyle w:val="P68B1DB1-Normal8"/>
              <w:spacing w:after="0" w:line="240" w:lineRule="auto"/>
              <w:jc w:val="center"/>
              <w:rPr>
                <w:rFonts w:eastAsia="Times New Roman" w:cs="Calibri"/>
                <w:noProof/>
              </w:rPr>
            </w:pPr>
            <w:r>
              <w:rPr>
                <w:noProof/>
              </w:rPr>
              <w:t>RE-C03-i06</w:t>
            </w:r>
          </w:p>
        </w:tc>
        <w:tc>
          <w:tcPr>
            <w:tcW w:w="982" w:type="dxa"/>
            <w:shd w:val="clear" w:color="auto" w:fill="C4EFCE"/>
            <w:vAlign w:val="center"/>
            <w:hideMark/>
          </w:tcPr>
          <w:p w14:paraId="39F64B5A" w14:textId="77777777" w:rsidR="00E040FD" w:rsidRDefault="00740D6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8B59250" w14:textId="77777777" w:rsidR="00E040FD" w:rsidRDefault="00740D64">
            <w:pPr>
              <w:pStyle w:val="P68B1DB1-Normal8"/>
              <w:spacing w:after="0" w:line="240" w:lineRule="auto"/>
              <w:jc w:val="center"/>
              <w:rPr>
                <w:rFonts w:eastAsia="Times New Roman" w:cs="Calibri"/>
                <w:noProof/>
              </w:rPr>
            </w:pPr>
            <w:r>
              <w:rPr>
                <w:noProof/>
              </w:rPr>
              <w:t>Offentliggörande av en övervakningsrapport från storstadsområdena Porto och Lissabon om de åtgärder som vidtagits i vart och ett av de 12 insatsområdena.</w:t>
            </w:r>
          </w:p>
        </w:tc>
        <w:tc>
          <w:tcPr>
            <w:tcW w:w="1486" w:type="dxa"/>
            <w:shd w:val="clear" w:color="auto" w:fill="C4EFCE"/>
            <w:vAlign w:val="center"/>
            <w:hideMark/>
          </w:tcPr>
          <w:p w14:paraId="28BAE001" w14:textId="77777777" w:rsidR="00E040FD" w:rsidRDefault="00740D64">
            <w:pPr>
              <w:pStyle w:val="P68B1DB1-Normal8"/>
              <w:spacing w:after="0" w:line="240" w:lineRule="auto"/>
              <w:jc w:val="center"/>
              <w:rPr>
                <w:rFonts w:eastAsia="Times New Roman" w:cs="Calibri"/>
                <w:noProof/>
              </w:rPr>
            </w:pPr>
            <w:r>
              <w:rPr>
                <w:noProof/>
              </w:rPr>
              <w:t>Offentliggörande av en övervakningsrapport från storstadsområdena Porto och Lissabon</w:t>
            </w:r>
          </w:p>
        </w:tc>
        <w:tc>
          <w:tcPr>
            <w:tcW w:w="1014" w:type="dxa"/>
            <w:shd w:val="clear" w:color="auto" w:fill="C4EFCE"/>
            <w:vAlign w:val="center"/>
            <w:hideMark/>
          </w:tcPr>
          <w:p w14:paraId="24305125"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CA5B68E" w14:textId="77777777" w:rsidR="00E040FD" w:rsidRDefault="00740D6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2C5955AE" w14:textId="77777777" w:rsidR="00E040FD" w:rsidRDefault="00740D6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7A38C3DB" w14:textId="77777777" w:rsidR="00E040FD" w:rsidRDefault="00740D64">
            <w:pPr>
              <w:pStyle w:val="P68B1DB1-Normal8"/>
              <w:spacing w:after="0" w:line="240" w:lineRule="auto"/>
              <w:jc w:val="center"/>
              <w:rPr>
                <w:rFonts w:eastAsia="Times New Roman" w:cs="Calibri"/>
                <w:noProof/>
              </w:rPr>
            </w:pPr>
            <w:r>
              <w:rPr>
                <w:noProof/>
              </w:rPr>
              <w:t>KVARTAL 2</w:t>
            </w:r>
          </w:p>
        </w:tc>
        <w:tc>
          <w:tcPr>
            <w:tcW w:w="845" w:type="dxa"/>
            <w:shd w:val="clear" w:color="auto" w:fill="C4EFCE"/>
            <w:vAlign w:val="center"/>
            <w:hideMark/>
          </w:tcPr>
          <w:p w14:paraId="6EBEABFB" w14:textId="77777777" w:rsidR="00E040FD" w:rsidRDefault="00740D64">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23D8AD1A" w14:textId="77777777" w:rsidR="00E040FD" w:rsidRDefault="00740D64">
            <w:pPr>
              <w:pStyle w:val="P68B1DB1-Normal8"/>
              <w:spacing w:after="0" w:line="240" w:lineRule="auto"/>
              <w:jc w:val="both"/>
              <w:rPr>
                <w:rFonts w:eastAsia="Times New Roman" w:cs="Calibri"/>
                <w:noProof/>
              </w:rPr>
            </w:pPr>
            <w:r>
              <w:rPr>
                <w:noProof/>
              </w:rPr>
              <w:t>Offentliggörande av en övervakningsrapport från storstadsområdena Porto och Lissabon med en beskrivning av de framsteg som gjorts i genomförandet av de åtgärder som finansieras genom programmet inom varje insatsområde, inklusive budgetgenomförande och resultat i förhållande till de indikatorer som valts för varje åtgärd.</w:t>
            </w:r>
          </w:p>
        </w:tc>
      </w:tr>
      <w:tr w:rsidR="00E040FD" w14:paraId="729825A9" w14:textId="77777777">
        <w:trPr>
          <w:trHeight w:val="1060"/>
        </w:trPr>
        <w:tc>
          <w:tcPr>
            <w:tcW w:w="1124" w:type="dxa"/>
            <w:shd w:val="clear" w:color="auto" w:fill="C4EFCE"/>
            <w:vAlign w:val="center"/>
            <w:hideMark/>
          </w:tcPr>
          <w:p w14:paraId="1AD90BC8" w14:textId="77777777" w:rsidR="00E040FD" w:rsidRDefault="00740D64">
            <w:pPr>
              <w:pStyle w:val="P68B1DB1-Normal7"/>
              <w:spacing w:after="0" w:line="240" w:lineRule="auto"/>
              <w:jc w:val="center"/>
              <w:rPr>
                <w:rFonts w:eastAsia="Times New Roman" w:cs="Calibri"/>
                <w:noProof/>
              </w:rPr>
            </w:pPr>
            <w:r>
              <w:rPr>
                <w:noProof/>
              </w:rPr>
              <w:t>3.26</w:t>
            </w:r>
          </w:p>
        </w:tc>
        <w:tc>
          <w:tcPr>
            <w:tcW w:w="1143" w:type="dxa"/>
            <w:shd w:val="clear" w:color="auto" w:fill="C4EFCE"/>
            <w:vAlign w:val="center"/>
            <w:hideMark/>
          </w:tcPr>
          <w:p w14:paraId="13A5C210" w14:textId="77777777" w:rsidR="00E040FD" w:rsidRDefault="00740D64">
            <w:pPr>
              <w:pStyle w:val="P68B1DB1-Normal8"/>
              <w:spacing w:after="0" w:line="240" w:lineRule="auto"/>
              <w:jc w:val="center"/>
              <w:rPr>
                <w:rFonts w:eastAsia="Times New Roman" w:cs="Calibri"/>
                <w:noProof/>
              </w:rPr>
            </w:pPr>
            <w:r>
              <w:rPr>
                <w:noProof/>
              </w:rPr>
              <w:t>RE-C03-i06</w:t>
            </w:r>
          </w:p>
        </w:tc>
        <w:tc>
          <w:tcPr>
            <w:tcW w:w="982" w:type="dxa"/>
            <w:shd w:val="clear" w:color="auto" w:fill="C4EFCE"/>
            <w:vAlign w:val="center"/>
            <w:hideMark/>
          </w:tcPr>
          <w:p w14:paraId="5912A173" w14:textId="77777777" w:rsidR="00E040FD" w:rsidRDefault="00740D6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3AC8971D" w14:textId="77777777" w:rsidR="00E040FD" w:rsidRDefault="00740D64">
            <w:pPr>
              <w:pStyle w:val="P68B1DB1-Normal8"/>
              <w:spacing w:after="0" w:line="240" w:lineRule="auto"/>
              <w:jc w:val="center"/>
              <w:rPr>
                <w:rFonts w:eastAsia="Times New Roman" w:cs="Calibri"/>
                <w:noProof/>
              </w:rPr>
            </w:pPr>
            <w:r>
              <w:rPr>
                <w:noProof/>
              </w:rPr>
              <w:t>Fullständigt genomförande av minst 90 % av åtgärderna</w:t>
            </w:r>
          </w:p>
        </w:tc>
        <w:tc>
          <w:tcPr>
            <w:tcW w:w="1486" w:type="dxa"/>
            <w:shd w:val="clear" w:color="auto" w:fill="C4EFCE"/>
            <w:vAlign w:val="center"/>
            <w:hideMark/>
          </w:tcPr>
          <w:p w14:paraId="3C5A0150" w14:textId="77777777" w:rsidR="00E040FD" w:rsidRDefault="00740D6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3F1225E" w14:textId="77777777" w:rsidR="00E040FD" w:rsidRDefault="00740D64">
            <w:pPr>
              <w:pStyle w:val="P68B1DB1-Normal8"/>
              <w:spacing w:after="0" w:line="240" w:lineRule="auto"/>
              <w:jc w:val="center"/>
              <w:rPr>
                <w:rFonts w:eastAsia="Times New Roman" w:cs="Calibri"/>
                <w:noProof/>
              </w:rPr>
            </w:pPr>
            <w:r>
              <w:rPr>
                <w:noProof/>
              </w:rPr>
              <w:t>%</w:t>
            </w:r>
          </w:p>
        </w:tc>
        <w:tc>
          <w:tcPr>
            <w:tcW w:w="1014" w:type="dxa"/>
            <w:shd w:val="clear" w:color="auto" w:fill="C4EFCE"/>
            <w:vAlign w:val="center"/>
            <w:hideMark/>
          </w:tcPr>
          <w:p w14:paraId="34C054DA" w14:textId="77777777" w:rsidR="00E040FD" w:rsidRDefault="00740D6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51840DD4" w14:textId="77777777" w:rsidR="00E040FD" w:rsidRDefault="00740D64">
            <w:pPr>
              <w:pStyle w:val="P68B1DB1-Normal8"/>
              <w:spacing w:after="0" w:line="240" w:lineRule="auto"/>
              <w:jc w:val="center"/>
              <w:rPr>
                <w:rFonts w:eastAsia="Times New Roman" w:cs="Calibri"/>
                <w:noProof/>
              </w:rPr>
            </w:pPr>
            <w:r>
              <w:rPr>
                <w:noProof/>
              </w:rPr>
              <w:t>90</w:t>
            </w:r>
          </w:p>
        </w:tc>
        <w:tc>
          <w:tcPr>
            <w:tcW w:w="680" w:type="dxa"/>
            <w:shd w:val="clear" w:color="auto" w:fill="C4EFCE"/>
            <w:vAlign w:val="center"/>
            <w:hideMark/>
          </w:tcPr>
          <w:p w14:paraId="521367AA" w14:textId="77777777" w:rsidR="00E040FD" w:rsidRDefault="00740D64">
            <w:pPr>
              <w:pStyle w:val="P68B1DB1-Normal8"/>
              <w:spacing w:after="0" w:line="240" w:lineRule="auto"/>
              <w:jc w:val="center"/>
              <w:rPr>
                <w:rFonts w:eastAsia="Times New Roman" w:cs="Calibri"/>
                <w:noProof/>
              </w:rPr>
            </w:pPr>
            <w:r>
              <w:rPr>
                <w:noProof/>
              </w:rPr>
              <w:t>KVARTAL 4</w:t>
            </w:r>
          </w:p>
        </w:tc>
        <w:tc>
          <w:tcPr>
            <w:tcW w:w="845" w:type="dxa"/>
            <w:shd w:val="clear" w:color="auto" w:fill="C4EFCE"/>
            <w:vAlign w:val="center"/>
            <w:hideMark/>
          </w:tcPr>
          <w:p w14:paraId="4D7CC2F1" w14:textId="77777777" w:rsidR="00E040FD" w:rsidRDefault="00740D6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464F7DC1" w14:textId="77777777" w:rsidR="00E040FD" w:rsidRDefault="00740D64">
            <w:pPr>
              <w:pStyle w:val="P68B1DB1-Normal8"/>
              <w:spacing w:after="0" w:line="240" w:lineRule="auto"/>
              <w:jc w:val="both"/>
              <w:rPr>
                <w:rFonts w:eastAsia="Times New Roman" w:cs="Calibri"/>
                <w:noProof/>
              </w:rPr>
            </w:pPr>
            <w:r>
              <w:rPr>
                <w:noProof/>
              </w:rPr>
              <w:t>Fullständigt genomförande av minst 90 % av de åtgärder som överenskommits i de avtal som undertecknats för de 12 insatsområdena, med en budget på minst 225 000 000 EUR.</w:t>
            </w:r>
          </w:p>
        </w:tc>
      </w:tr>
      <w:tr w:rsidR="00E040FD" w14:paraId="4DC276BA" w14:textId="77777777">
        <w:trPr>
          <w:trHeight w:val="1060"/>
        </w:trPr>
        <w:tc>
          <w:tcPr>
            <w:tcW w:w="1124" w:type="dxa"/>
            <w:shd w:val="clear" w:color="auto" w:fill="C4EFCE"/>
            <w:vAlign w:val="center"/>
          </w:tcPr>
          <w:p w14:paraId="4507E8E2" w14:textId="4B98B2CA" w:rsidR="00E040FD" w:rsidRDefault="00740D64">
            <w:pPr>
              <w:pStyle w:val="P68B1DB1-Normal11"/>
              <w:spacing w:after="0" w:line="240" w:lineRule="auto"/>
              <w:jc w:val="center"/>
              <w:rPr>
                <w:rFonts w:eastAsia="Times New Roman" w:cstheme="minorHAnsi"/>
                <w:noProof/>
              </w:rPr>
            </w:pPr>
            <w:r>
              <w:rPr>
                <w:noProof/>
              </w:rPr>
              <w:t>3.28</w:t>
            </w:r>
          </w:p>
        </w:tc>
        <w:tc>
          <w:tcPr>
            <w:tcW w:w="1143" w:type="dxa"/>
            <w:shd w:val="clear" w:color="auto" w:fill="C4EFCE"/>
            <w:vAlign w:val="center"/>
          </w:tcPr>
          <w:p w14:paraId="5B7E0077" w14:textId="4E1DBF5D" w:rsidR="00E040FD" w:rsidRDefault="00740D64">
            <w:pPr>
              <w:pStyle w:val="P68B1DB1-Normal12"/>
              <w:spacing w:after="0" w:line="240" w:lineRule="auto"/>
              <w:jc w:val="center"/>
              <w:rPr>
                <w:rFonts w:eastAsia="Times New Roman"/>
                <w:noProof/>
              </w:rPr>
            </w:pPr>
            <w:r>
              <w:rPr>
                <w:noProof/>
              </w:rPr>
              <w:t>RE-03-i07-RAA</w:t>
            </w:r>
          </w:p>
        </w:tc>
        <w:tc>
          <w:tcPr>
            <w:tcW w:w="982" w:type="dxa"/>
            <w:shd w:val="clear" w:color="auto" w:fill="C4EFCE"/>
            <w:vAlign w:val="center"/>
          </w:tcPr>
          <w:p w14:paraId="0BE4B152" w14:textId="6BC582B8" w:rsidR="00E040FD" w:rsidRDefault="00740D64">
            <w:pPr>
              <w:pStyle w:val="P68B1DB1-Normal12"/>
              <w:spacing w:after="0" w:line="240" w:lineRule="auto"/>
              <w:jc w:val="center"/>
              <w:rPr>
                <w:rFonts w:eastAsia="Times New Roman" w:cstheme="minorHAnsi"/>
                <w:noProof/>
              </w:rPr>
            </w:pPr>
            <w:r>
              <w:rPr>
                <w:noProof/>
              </w:rPr>
              <w:t>T</w:t>
            </w:r>
          </w:p>
        </w:tc>
        <w:tc>
          <w:tcPr>
            <w:tcW w:w="1740" w:type="dxa"/>
            <w:shd w:val="clear" w:color="auto" w:fill="C4EFCE"/>
            <w:vAlign w:val="center"/>
          </w:tcPr>
          <w:p w14:paraId="5F735354" w14:textId="27282FEA" w:rsidR="00E040FD" w:rsidRDefault="00740D64">
            <w:pPr>
              <w:pStyle w:val="P68B1DB1-Normal12"/>
              <w:spacing w:after="0" w:line="240" w:lineRule="auto"/>
              <w:jc w:val="center"/>
              <w:rPr>
                <w:rFonts w:eastAsia="Times New Roman" w:cstheme="minorHAnsi"/>
                <w:noProof/>
              </w:rPr>
            </w:pPr>
            <w:r>
              <w:rPr>
                <w:noProof/>
              </w:rPr>
              <w:t>Utbyggda eller renoverade platser på äldreboenden</w:t>
            </w:r>
          </w:p>
        </w:tc>
        <w:tc>
          <w:tcPr>
            <w:tcW w:w="1486" w:type="dxa"/>
            <w:shd w:val="clear" w:color="auto" w:fill="C4EFCE"/>
            <w:vAlign w:val="center"/>
          </w:tcPr>
          <w:p w14:paraId="6650B4B9" w14:textId="77777777" w:rsidR="00E040FD" w:rsidRDefault="00E040FD">
            <w:pPr>
              <w:spacing w:after="0" w:line="240" w:lineRule="auto"/>
              <w:jc w:val="center"/>
              <w:rPr>
                <w:rFonts w:eastAsia="Times New Roman" w:cstheme="minorHAnsi"/>
                <w:noProof/>
                <w:sz w:val="16"/>
              </w:rPr>
            </w:pPr>
          </w:p>
        </w:tc>
        <w:tc>
          <w:tcPr>
            <w:tcW w:w="1014" w:type="dxa"/>
            <w:shd w:val="clear" w:color="auto" w:fill="C4EFCE"/>
            <w:vAlign w:val="center"/>
          </w:tcPr>
          <w:p w14:paraId="41321D09" w14:textId="260F65A8" w:rsidR="00E040FD" w:rsidRDefault="00740D64">
            <w:pPr>
              <w:pStyle w:val="P68B1DB1-Normal12"/>
              <w:spacing w:after="0" w:line="240" w:lineRule="auto"/>
              <w:jc w:val="center"/>
              <w:rPr>
                <w:rFonts w:eastAsia="Times New Roman" w:cstheme="minorHAnsi"/>
                <w:noProof/>
              </w:rPr>
            </w:pPr>
            <w:r>
              <w:rPr>
                <w:noProof/>
              </w:rPr>
              <w:t>Antal</w:t>
            </w:r>
          </w:p>
        </w:tc>
        <w:tc>
          <w:tcPr>
            <w:tcW w:w="1014" w:type="dxa"/>
            <w:shd w:val="clear" w:color="auto" w:fill="C4EFCE"/>
            <w:vAlign w:val="center"/>
          </w:tcPr>
          <w:p w14:paraId="3A90B777" w14:textId="37BB98B3" w:rsidR="00E040FD" w:rsidRDefault="00740D64">
            <w:pPr>
              <w:pStyle w:val="P68B1DB1-Normal12"/>
              <w:spacing w:after="0" w:line="240" w:lineRule="auto"/>
              <w:jc w:val="center"/>
              <w:rPr>
                <w:rFonts w:eastAsia="Times New Roman" w:cstheme="minorHAnsi"/>
                <w:noProof/>
              </w:rPr>
            </w:pPr>
            <w:r>
              <w:rPr>
                <w:noProof/>
              </w:rPr>
              <w:t>0</w:t>
            </w:r>
          </w:p>
        </w:tc>
        <w:tc>
          <w:tcPr>
            <w:tcW w:w="882" w:type="dxa"/>
            <w:shd w:val="clear" w:color="auto" w:fill="C4EFCE"/>
            <w:vAlign w:val="center"/>
          </w:tcPr>
          <w:p w14:paraId="5CDB17DC" w14:textId="772002B1" w:rsidR="00E040FD" w:rsidRDefault="00740D64">
            <w:pPr>
              <w:pStyle w:val="P68B1DB1-Normal12"/>
              <w:spacing w:after="0" w:line="240" w:lineRule="auto"/>
              <w:jc w:val="center"/>
              <w:rPr>
                <w:rFonts w:eastAsia="Times New Roman" w:cstheme="minorHAnsi"/>
                <w:noProof/>
              </w:rPr>
            </w:pPr>
            <w:r>
              <w:rPr>
                <w:noProof/>
              </w:rPr>
              <w:t>91</w:t>
            </w:r>
          </w:p>
        </w:tc>
        <w:tc>
          <w:tcPr>
            <w:tcW w:w="680" w:type="dxa"/>
            <w:shd w:val="clear" w:color="auto" w:fill="C4EFCE"/>
            <w:vAlign w:val="center"/>
          </w:tcPr>
          <w:p w14:paraId="5C2F45A3" w14:textId="06EC7B74" w:rsidR="00E040FD" w:rsidRDefault="00740D64">
            <w:pPr>
              <w:pStyle w:val="P68B1DB1-Normal12"/>
              <w:spacing w:after="0" w:line="240" w:lineRule="auto"/>
              <w:jc w:val="center"/>
              <w:rPr>
                <w:rFonts w:eastAsia="Times New Roman" w:cstheme="minorHAnsi"/>
                <w:noProof/>
              </w:rPr>
            </w:pPr>
            <w:r>
              <w:rPr>
                <w:noProof/>
              </w:rPr>
              <w:t>KVARTAL 1</w:t>
            </w:r>
          </w:p>
        </w:tc>
        <w:tc>
          <w:tcPr>
            <w:tcW w:w="845" w:type="dxa"/>
            <w:shd w:val="clear" w:color="auto" w:fill="C4EFCE"/>
            <w:vAlign w:val="center"/>
          </w:tcPr>
          <w:p w14:paraId="1C8F5B94" w14:textId="3948B69B" w:rsidR="00E040FD" w:rsidRDefault="00740D64">
            <w:pPr>
              <w:pStyle w:val="P68B1DB1-Normal12"/>
              <w:spacing w:after="0" w:line="240" w:lineRule="auto"/>
              <w:jc w:val="center"/>
              <w:rPr>
                <w:rFonts w:eastAsia="Times New Roman" w:cstheme="minorHAnsi"/>
                <w:noProof/>
              </w:rPr>
            </w:pPr>
            <w:r>
              <w:rPr>
                <w:noProof/>
              </w:rPr>
              <w:t>2026</w:t>
            </w:r>
          </w:p>
        </w:tc>
        <w:tc>
          <w:tcPr>
            <w:tcW w:w="4277" w:type="dxa"/>
            <w:shd w:val="clear" w:color="auto" w:fill="C4EFCE"/>
          </w:tcPr>
          <w:p w14:paraId="42B8FCAE" w14:textId="3605253D" w:rsidR="00E040FD" w:rsidRDefault="00740D64">
            <w:pPr>
              <w:pStyle w:val="P68B1DB1-Normal12"/>
              <w:spacing w:after="0" w:line="240" w:lineRule="auto"/>
              <w:jc w:val="both"/>
              <w:rPr>
                <w:rFonts w:eastAsia="Times New Roman" w:cstheme="minorHAnsi"/>
                <w:noProof/>
              </w:rPr>
            </w:pPr>
            <w:r>
              <w:rPr>
                <w:noProof/>
              </w:rPr>
              <w:t xml:space="preserve">Antal platser på äldreboenden som byggts ut eller renoverats i den autonoma regionen Azorerna. </w:t>
            </w:r>
            <w:r>
              <w:rPr>
                <w:noProof/>
              </w:rPr>
              <w:br/>
              <w:t>Vid uppförande av nya byggnader ska de nya byggnaderna ha ett primärenergibehov som är minst 20 % lägre än kraven för nära-nollenergibyggnader.</w:t>
            </w:r>
          </w:p>
        </w:tc>
      </w:tr>
      <w:tr w:rsidR="00E040FD" w14:paraId="51E16407" w14:textId="77777777">
        <w:trPr>
          <w:trHeight w:val="1060"/>
        </w:trPr>
        <w:tc>
          <w:tcPr>
            <w:tcW w:w="1124" w:type="dxa"/>
            <w:shd w:val="clear" w:color="auto" w:fill="C4EFCE"/>
            <w:vAlign w:val="center"/>
          </w:tcPr>
          <w:p w14:paraId="31ECAE86" w14:textId="3C0FD4B9" w:rsidR="00E040FD" w:rsidRDefault="00740D64">
            <w:pPr>
              <w:pStyle w:val="P68B1DB1-Normal11"/>
              <w:spacing w:after="0" w:line="240" w:lineRule="auto"/>
              <w:jc w:val="center"/>
              <w:rPr>
                <w:rFonts w:cstheme="minorHAnsi"/>
                <w:noProof/>
              </w:rPr>
            </w:pPr>
            <w:r>
              <w:rPr>
                <w:noProof/>
              </w:rPr>
              <w:t>3.29</w:t>
            </w:r>
          </w:p>
        </w:tc>
        <w:tc>
          <w:tcPr>
            <w:tcW w:w="1143" w:type="dxa"/>
            <w:shd w:val="clear" w:color="auto" w:fill="C4EFCE"/>
            <w:vAlign w:val="center"/>
          </w:tcPr>
          <w:p w14:paraId="5FF028A3" w14:textId="7F4C3916" w:rsidR="00E040FD" w:rsidRDefault="00740D64">
            <w:pPr>
              <w:pStyle w:val="P68B1DB1-Normal12"/>
              <w:spacing w:after="0" w:line="240" w:lineRule="auto"/>
              <w:jc w:val="center"/>
              <w:rPr>
                <w:rFonts w:cstheme="minorHAnsi"/>
                <w:noProof/>
              </w:rPr>
            </w:pPr>
            <w:r>
              <w:rPr>
                <w:noProof/>
              </w:rPr>
              <w:t>RE-C03-r38</w:t>
            </w:r>
          </w:p>
        </w:tc>
        <w:tc>
          <w:tcPr>
            <w:tcW w:w="982" w:type="dxa"/>
            <w:shd w:val="clear" w:color="auto" w:fill="C4EFCE"/>
            <w:vAlign w:val="center"/>
          </w:tcPr>
          <w:p w14:paraId="1B53ECE1" w14:textId="6640AC21" w:rsidR="00E040FD" w:rsidRDefault="00740D64">
            <w:pPr>
              <w:pStyle w:val="P68B1DB1-Normal12"/>
              <w:spacing w:after="0" w:line="240" w:lineRule="auto"/>
              <w:jc w:val="center"/>
              <w:rPr>
                <w:rFonts w:cstheme="minorHAnsi"/>
                <w:noProof/>
              </w:rPr>
            </w:pPr>
            <w:r>
              <w:rPr>
                <w:noProof/>
              </w:rPr>
              <w:t>M</w:t>
            </w:r>
          </w:p>
        </w:tc>
        <w:tc>
          <w:tcPr>
            <w:tcW w:w="1740" w:type="dxa"/>
            <w:shd w:val="clear" w:color="auto" w:fill="C4EFCE"/>
            <w:vAlign w:val="center"/>
          </w:tcPr>
          <w:p w14:paraId="7DB32A48" w14:textId="5A1867D2" w:rsidR="00E040FD" w:rsidRDefault="00740D64">
            <w:pPr>
              <w:pStyle w:val="P68B1DB1-Normal12"/>
              <w:spacing w:after="0" w:line="240" w:lineRule="auto"/>
              <w:jc w:val="center"/>
              <w:rPr>
                <w:rFonts w:cstheme="minorHAnsi"/>
                <w:noProof/>
              </w:rPr>
            </w:pPr>
            <w:r>
              <w:rPr>
                <w:noProof/>
              </w:rPr>
              <w:t>Rapport från arbetsgruppen för en enda social förmån</w:t>
            </w:r>
          </w:p>
        </w:tc>
        <w:tc>
          <w:tcPr>
            <w:tcW w:w="1486" w:type="dxa"/>
            <w:shd w:val="clear" w:color="auto" w:fill="C4EFCE"/>
            <w:vAlign w:val="center"/>
          </w:tcPr>
          <w:p w14:paraId="5D6A1559" w14:textId="7553CA76" w:rsidR="00E040FD" w:rsidRDefault="00740D64">
            <w:pPr>
              <w:pStyle w:val="P68B1DB1-Normal12"/>
              <w:spacing w:after="0" w:line="240" w:lineRule="auto"/>
              <w:jc w:val="center"/>
              <w:rPr>
                <w:rFonts w:eastAsia="Times New Roman" w:cstheme="minorHAnsi"/>
                <w:noProof/>
              </w:rPr>
            </w:pPr>
            <w:r>
              <w:rPr>
                <w:noProof/>
              </w:rPr>
              <w:t xml:space="preserve">Offentliggörande av rapporten från arbetsgruppen för en enda social förmån </w:t>
            </w:r>
          </w:p>
        </w:tc>
        <w:tc>
          <w:tcPr>
            <w:tcW w:w="1014" w:type="dxa"/>
            <w:shd w:val="clear" w:color="auto" w:fill="C4EFCE"/>
            <w:vAlign w:val="center"/>
          </w:tcPr>
          <w:p w14:paraId="49C1E7A6" w14:textId="77777777" w:rsidR="00E040FD" w:rsidRDefault="00E040FD">
            <w:pPr>
              <w:spacing w:after="0" w:line="240" w:lineRule="auto"/>
              <w:jc w:val="center"/>
              <w:rPr>
                <w:rFonts w:cstheme="minorHAnsi"/>
                <w:noProof/>
                <w:sz w:val="16"/>
              </w:rPr>
            </w:pPr>
          </w:p>
        </w:tc>
        <w:tc>
          <w:tcPr>
            <w:tcW w:w="1014" w:type="dxa"/>
            <w:shd w:val="clear" w:color="auto" w:fill="C4EFCE"/>
            <w:vAlign w:val="center"/>
          </w:tcPr>
          <w:p w14:paraId="2EE0AFDC" w14:textId="77777777" w:rsidR="00E040FD" w:rsidRDefault="00E040FD">
            <w:pPr>
              <w:spacing w:after="0" w:line="240" w:lineRule="auto"/>
              <w:jc w:val="center"/>
              <w:rPr>
                <w:rFonts w:cstheme="minorHAnsi"/>
                <w:noProof/>
                <w:sz w:val="16"/>
              </w:rPr>
            </w:pPr>
          </w:p>
        </w:tc>
        <w:tc>
          <w:tcPr>
            <w:tcW w:w="882" w:type="dxa"/>
            <w:shd w:val="clear" w:color="auto" w:fill="C4EFCE"/>
            <w:vAlign w:val="center"/>
          </w:tcPr>
          <w:p w14:paraId="7CC75B9E" w14:textId="77777777" w:rsidR="00E040FD" w:rsidRDefault="00E040FD">
            <w:pPr>
              <w:spacing w:after="0" w:line="240" w:lineRule="auto"/>
              <w:jc w:val="center"/>
              <w:rPr>
                <w:rFonts w:cstheme="minorHAnsi"/>
                <w:noProof/>
                <w:sz w:val="16"/>
              </w:rPr>
            </w:pPr>
          </w:p>
        </w:tc>
        <w:tc>
          <w:tcPr>
            <w:tcW w:w="680" w:type="dxa"/>
            <w:shd w:val="clear" w:color="auto" w:fill="C4EFCE"/>
            <w:vAlign w:val="center"/>
          </w:tcPr>
          <w:p w14:paraId="0712AE4B" w14:textId="2A8B15A4" w:rsidR="00E040FD" w:rsidRDefault="00740D64">
            <w:pPr>
              <w:pStyle w:val="P68B1DB1-Normal12"/>
              <w:spacing w:after="0" w:line="240" w:lineRule="auto"/>
              <w:jc w:val="center"/>
              <w:rPr>
                <w:rFonts w:cstheme="minorHAnsi"/>
                <w:noProof/>
              </w:rPr>
            </w:pPr>
            <w:r>
              <w:rPr>
                <w:noProof/>
              </w:rPr>
              <w:t>KVARTAL 1</w:t>
            </w:r>
          </w:p>
        </w:tc>
        <w:tc>
          <w:tcPr>
            <w:tcW w:w="845" w:type="dxa"/>
            <w:shd w:val="clear" w:color="auto" w:fill="C4EFCE"/>
            <w:vAlign w:val="center"/>
          </w:tcPr>
          <w:p w14:paraId="72B52A51" w14:textId="34CA0953" w:rsidR="00E040FD" w:rsidRDefault="00740D64">
            <w:pPr>
              <w:pStyle w:val="P68B1DB1-Normal12"/>
              <w:spacing w:after="0" w:line="240" w:lineRule="auto"/>
              <w:jc w:val="center"/>
              <w:rPr>
                <w:rFonts w:cstheme="minorHAnsi"/>
                <w:noProof/>
              </w:rPr>
            </w:pPr>
            <w:r>
              <w:rPr>
                <w:noProof/>
              </w:rPr>
              <w:t>2025</w:t>
            </w:r>
          </w:p>
        </w:tc>
        <w:tc>
          <w:tcPr>
            <w:tcW w:w="4277" w:type="dxa"/>
            <w:shd w:val="clear" w:color="auto" w:fill="C4EFCE"/>
          </w:tcPr>
          <w:p w14:paraId="2B2552AC" w14:textId="033FBD53" w:rsidR="00E040FD" w:rsidRDefault="00740D64">
            <w:pPr>
              <w:pStyle w:val="P68B1DB1-Normal12"/>
              <w:spacing w:after="0" w:line="240" w:lineRule="auto"/>
              <w:jc w:val="both"/>
              <w:rPr>
                <w:rFonts w:cstheme="minorHAnsi"/>
                <w:noProof/>
              </w:rPr>
            </w:pPr>
            <w:r>
              <w:rPr>
                <w:noProof/>
              </w:rPr>
              <w:t>Offentliggörande av rapporten från arbetsgruppen för en enda social förmån, som innehåller de viktigaste inslagen i dess utformning och formella genomförande. Rapporten ska innehålla en bedömning av dess inverkan på täckning, tillräcklighet och effektivitet, inbegripet när det gäller sådana aspekter som förebyggande av överlappningar, åtgärdande av luckor i det sociala skyddet och förbättring av utnyttjandenivåerna.</w:t>
            </w:r>
          </w:p>
        </w:tc>
      </w:tr>
      <w:tr w:rsidR="00E040FD" w14:paraId="320C179B" w14:textId="77777777">
        <w:trPr>
          <w:trHeight w:val="1060"/>
        </w:trPr>
        <w:tc>
          <w:tcPr>
            <w:tcW w:w="1124" w:type="dxa"/>
            <w:shd w:val="clear" w:color="auto" w:fill="C4EFCE"/>
            <w:vAlign w:val="center"/>
          </w:tcPr>
          <w:p w14:paraId="6DED1EC3" w14:textId="46609D91" w:rsidR="00E040FD" w:rsidRDefault="00740D64">
            <w:pPr>
              <w:pStyle w:val="P68B1DB1-Normal11"/>
              <w:spacing w:after="0" w:line="240" w:lineRule="auto"/>
              <w:jc w:val="center"/>
              <w:rPr>
                <w:rFonts w:cstheme="minorHAnsi"/>
                <w:noProof/>
              </w:rPr>
            </w:pPr>
            <w:r>
              <w:rPr>
                <w:noProof/>
              </w:rPr>
              <w:t>3.30</w:t>
            </w:r>
          </w:p>
        </w:tc>
        <w:tc>
          <w:tcPr>
            <w:tcW w:w="1143" w:type="dxa"/>
            <w:shd w:val="clear" w:color="auto" w:fill="C4EFCE"/>
            <w:vAlign w:val="center"/>
          </w:tcPr>
          <w:p w14:paraId="3CC2208B" w14:textId="71329F96" w:rsidR="00E040FD" w:rsidRDefault="00740D64">
            <w:pPr>
              <w:pStyle w:val="P68B1DB1-Normal12"/>
              <w:spacing w:after="0" w:line="240" w:lineRule="auto"/>
              <w:jc w:val="center"/>
              <w:rPr>
                <w:rFonts w:cstheme="minorHAnsi"/>
                <w:noProof/>
              </w:rPr>
            </w:pPr>
            <w:r>
              <w:rPr>
                <w:noProof/>
              </w:rPr>
              <w:t>RE-C03-r38</w:t>
            </w:r>
          </w:p>
        </w:tc>
        <w:tc>
          <w:tcPr>
            <w:tcW w:w="982" w:type="dxa"/>
            <w:shd w:val="clear" w:color="auto" w:fill="C4EFCE"/>
            <w:vAlign w:val="center"/>
          </w:tcPr>
          <w:p w14:paraId="7E673827" w14:textId="115241B8" w:rsidR="00E040FD" w:rsidRDefault="00740D64">
            <w:pPr>
              <w:pStyle w:val="P68B1DB1-Normal12"/>
              <w:spacing w:after="0" w:line="240" w:lineRule="auto"/>
              <w:jc w:val="center"/>
              <w:rPr>
                <w:rFonts w:cstheme="minorHAnsi"/>
                <w:noProof/>
              </w:rPr>
            </w:pPr>
            <w:r>
              <w:rPr>
                <w:noProof/>
              </w:rPr>
              <w:t>M</w:t>
            </w:r>
          </w:p>
        </w:tc>
        <w:tc>
          <w:tcPr>
            <w:tcW w:w="1740" w:type="dxa"/>
            <w:shd w:val="clear" w:color="auto" w:fill="C4EFCE"/>
            <w:vAlign w:val="center"/>
          </w:tcPr>
          <w:p w14:paraId="58E23131" w14:textId="741F88C0" w:rsidR="00E040FD" w:rsidRDefault="00740D64">
            <w:pPr>
              <w:pStyle w:val="P68B1DB1-Normal12"/>
              <w:spacing w:after="0" w:line="240" w:lineRule="auto"/>
              <w:jc w:val="center"/>
              <w:rPr>
                <w:noProof/>
              </w:rPr>
            </w:pPr>
            <w:r>
              <w:rPr>
                <w:noProof/>
              </w:rPr>
              <w:t xml:space="preserve">Ikraftträdande av den samlade sociala förmånen (inom ramen för det sociala trygghetssystemet för medborgarskap) och av lagen om sociala förmåner </w:t>
            </w:r>
          </w:p>
        </w:tc>
        <w:tc>
          <w:tcPr>
            <w:tcW w:w="1486" w:type="dxa"/>
            <w:shd w:val="clear" w:color="auto" w:fill="C4EFCE"/>
            <w:vAlign w:val="center"/>
          </w:tcPr>
          <w:p w14:paraId="78861CE8" w14:textId="020506AF" w:rsidR="00E040FD" w:rsidRDefault="00740D64">
            <w:pPr>
              <w:pStyle w:val="P68B1DB1-Normal12"/>
              <w:spacing w:after="0" w:line="240" w:lineRule="auto"/>
              <w:jc w:val="center"/>
              <w:rPr>
                <w:rFonts w:eastAsia="Times New Roman" w:cstheme="minorHAnsi"/>
                <w:noProof/>
              </w:rPr>
            </w:pPr>
            <w:r>
              <w:rPr>
                <w:noProof/>
              </w:rPr>
              <w:t xml:space="preserve">Bestämmelse i lagstiftningen som anger att lagstiftningen träder i kraft </w:t>
            </w:r>
          </w:p>
        </w:tc>
        <w:tc>
          <w:tcPr>
            <w:tcW w:w="1014" w:type="dxa"/>
            <w:shd w:val="clear" w:color="auto" w:fill="C4EFCE"/>
            <w:vAlign w:val="center"/>
          </w:tcPr>
          <w:p w14:paraId="4C0FF700" w14:textId="77777777" w:rsidR="00E040FD" w:rsidRDefault="00E040FD">
            <w:pPr>
              <w:spacing w:after="0" w:line="240" w:lineRule="auto"/>
              <w:jc w:val="center"/>
              <w:rPr>
                <w:rFonts w:cstheme="minorHAnsi"/>
                <w:noProof/>
                <w:sz w:val="16"/>
              </w:rPr>
            </w:pPr>
          </w:p>
        </w:tc>
        <w:tc>
          <w:tcPr>
            <w:tcW w:w="1014" w:type="dxa"/>
            <w:shd w:val="clear" w:color="auto" w:fill="C4EFCE"/>
            <w:vAlign w:val="center"/>
          </w:tcPr>
          <w:p w14:paraId="1B83AB9F" w14:textId="77777777" w:rsidR="00E040FD" w:rsidRDefault="00E040FD">
            <w:pPr>
              <w:spacing w:after="0" w:line="240" w:lineRule="auto"/>
              <w:jc w:val="center"/>
              <w:rPr>
                <w:rFonts w:cstheme="minorHAnsi"/>
                <w:noProof/>
                <w:sz w:val="16"/>
              </w:rPr>
            </w:pPr>
          </w:p>
        </w:tc>
        <w:tc>
          <w:tcPr>
            <w:tcW w:w="882" w:type="dxa"/>
            <w:shd w:val="clear" w:color="auto" w:fill="C4EFCE"/>
            <w:vAlign w:val="center"/>
          </w:tcPr>
          <w:p w14:paraId="255BA677" w14:textId="77777777" w:rsidR="00E040FD" w:rsidRDefault="00E040FD">
            <w:pPr>
              <w:spacing w:after="0" w:line="240" w:lineRule="auto"/>
              <w:jc w:val="center"/>
              <w:rPr>
                <w:rFonts w:cstheme="minorHAnsi"/>
                <w:noProof/>
                <w:sz w:val="16"/>
              </w:rPr>
            </w:pPr>
          </w:p>
        </w:tc>
        <w:tc>
          <w:tcPr>
            <w:tcW w:w="680" w:type="dxa"/>
            <w:shd w:val="clear" w:color="auto" w:fill="C4EFCE"/>
            <w:vAlign w:val="center"/>
          </w:tcPr>
          <w:p w14:paraId="480DE372" w14:textId="1647FFAA" w:rsidR="00E040FD" w:rsidRDefault="00740D64">
            <w:pPr>
              <w:pStyle w:val="P68B1DB1-Normal12"/>
              <w:spacing w:after="0" w:line="240" w:lineRule="auto"/>
              <w:jc w:val="center"/>
              <w:rPr>
                <w:rFonts w:cstheme="minorHAnsi"/>
                <w:noProof/>
              </w:rPr>
            </w:pPr>
            <w:r>
              <w:rPr>
                <w:noProof/>
              </w:rPr>
              <w:t>KVARTAL 2</w:t>
            </w:r>
          </w:p>
        </w:tc>
        <w:tc>
          <w:tcPr>
            <w:tcW w:w="845" w:type="dxa"/>
            <w:shd w:val="clear" w:color="auto" w:fill="C4EFCE"/>
            <w:vAlign w:val="center"/>
          </w:tcPr>
          <w:p w14:paraId="57DB5970" w14:textId="6327CAC3" w:rsidR="00E040FD" w:rsidRDefault="00740D64">
            <w:pPr>
              <w:pStyle w:val="P68B1DB1-Normal12"/>
              <w:spacing w:after="0" w:line="240" w:lineRule="auto"/>
              <w:jc w:val="center"/>
              <w:rPr>
                <w:rFonts w:cstheme="minorHAnsi"/>
                <w:noProof/>
              </w:rPr>
            </w:pPr>
            <w:r>
              <w:rPr>
                <w:noProof/>
              </w:rPr>
              <w:t>2026</w:t>
            </w:r>
          </w:p>
        </w:tc>
        <w:tc>
          <w:tcPr>
            <w:tcW w:w="4277" w:type="dxa"/>
            <w:shd w:val="clear" w:color="auto" w:fill="C4EFCE"/>
            <w:vAlign w:val="center"/>
          </w:tcPr>
          <w:p w14:paraId="5ECEC7B1" w14:textId="737ABB65" w:rsidR="00E040FD" w:rsidRDefault="00740D64">
            <w:pPr>
              <w:pStyle w:val="P68B1DB1-Normal12"/>
              <w:spacing w:after="0" w:line="240" w:lineRule="auto"/>
              <w:jc w:val="both"/>
              <w:rPr>
                <w:noProof/>
              </w:rPr>
            </w:pPr>
            <w:r>
              <w:rPr>
                <w:noProof/>
              </w:rPr>
              <w:t xml:space="preserve">Ikraftträdande av lagstiftningen om inrättande av en enda social förmån (inom ramen för medborgarsystemet för socialt skydd), efter offentliggörandet av rapporten från arbetsgruppen för den gemensamma sociala förmånen och samråd med berörda parter. </w:t>
            </w:r>
          </w:p>
          <w:p w14:paraId="32A056B9" w14:textId="49C14321" w:rsidR="00E040FD" w:rsidRDefault="00E040FD">
            <w:pPr>
              <w:spacing w:after="0" w:line="240" w:lineRule="auto"/>
              <w:jc w:val="both"/>
              <w:rPr>
                <w:noProof/>
                <w:sz w:val="16"/>
              </w:rPr>
            </w:pPr>
          </w:p>
          <w:p w14:paraId="15031367" w14:textId="7F2F4187" w:rsidR="00E040FD" w:rsidRDefault="00740D64">
            <w:pPr>
              <w:pStyle w:val="P68B1DB1-Normal12"/>
              <w:spacing w:after="0" w:line="240" w:lineRule="auto"/>
              <w:jc w:val="both"/>
              <w:rPr>
                <w:noProof/>
              </w:rPr>
            </w:pPr>
            <w:r>
              <w:rPr>
                <w:noProof/>
              </w:rPr>
              <w:t>Ikraftträdande av lagstiftningen om införande av lagen om sociala förmåner, som ska förenkla, harmonisera och konsolidera lagstiftningen om sociala förmåner.</w:t>
            </w:r>
          </w:p>
        </w:tc>
      </w:tr>
    </w:tbl>
    <w:p w14:paraId="01FFACF8"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08BEF5A8" w14:textId="77777777" w:rsidR="00E040FD" w:rsidRDefault="00E040FD">
      <w:pPr>
        <w:keepNext/>
        <w:spacing w:before="40" w:after="0" w:line="259" w:lineRule="auto"/>
        <w:jc w:val="both"/>
        <w:rPr>
          <w:rFonts w:ascii="Times New Roman" w:eastAsiaTheme="minorEastAsia" w:hAnsi="Times New Roman" w:cs="Times New Roman"/>
          <w:noProof/>
          <w:sz w:val="24"/>
        </w:rPr>
        <w:sectPr w:rsidR="00E040FD" w:rsidSect="00E00EDD">
          <w:headerReference w:type="even" r:id="rId78"/>
          <w:headerReference w:type="default" r:id="rId79"/>
          <w:footerReference w:type="even" r:id="rId80"/>
          <w:footerReference w:type="default" r:id="rId81"/>
          <w:headerReference w:type="first" r:id="rId82"/>
          <w:footerReference w:type="first" r:id="rId83"/>
          <w:pgSz w:w="16839" w:h="11907" w:orient="landscape"/>
          <w:pgMar w:top="1134" w:right="1134" w:bottom="1134" w:left="1134" w:header="567" w:footer="567" w:gutter="0"/>
          <w:cols w:space="720"/>
          <w:docGrid w:linePitch="360"/>
        </w:sectPr>
      </w:pPr>
    </w:p>
    <w:p w14:paraId="20E2D1A0"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D. KOMPONENT 4: Kultur</w:t>
      </w:r>
    </w:p>
    <w:p w14:paraId="3890A551" w14:textId="77777777" w:rsidR="00E040FD" w:rsidRDefault="00740D64">
      <w:pPr>
        <w:pStyle w:val="P68B1DB1-Normal4"/>
        <w:keepNext/>
        <w:spacing w:before="40" w:after="0" w:line="259" w:lineRule="auto"/>
        <w:jc w:val="both"/>
        <w:rPr>
          <w:rFonts w:eastAsiaTheme="minorEastAsia" w:cs="Times New Roman"/>
          <w:noProof/>
        </w:rPr>
      </w:pPr>
      <w:r>
        <w:rPr>
          <w:noProof/>
        </w:rPr>
        <w:t>Komponenten tar upp både utmaningarna i samband med effekterna av covid-19-pandemin och de problem som uppstått till följd av en situation med kronisk brist på resurser för underhåll, renovering och modernisering av kulturanläggningar och kulturutrustning.</w:t>
      </w:r>
    </w:p>
    <w:p w14:paraId="2022E520" w14:textId="77777777" w:rsidR="00E040FD" w:rsidRDefault="00740D64">
      <w:pPr>
        <w:pStyle w:val="P68B1DB1-Normal4"/>
        <w:keepNext/>
        <w:spacing w:before="40" w:after="0" w:line="259" w:lineRule="auto"/>
        <w:jc w:val="both"/>
        <w:rPr>
          <w:rFonts w:eastAsiaTheme="minorEastAsia" w:cs="Times New Roman"/>
          <w:noProof/>
        </w:rPr>
      </w:pPr>
      <w:r>
        <w:rPr>
          <w:noProof/>
        </w:rPr>
        <w:t>De viktigaste målen för komponenten Kultur är renovering av byggnader och nationella monument. skydd av hantverksteknik och hantverksyrken, modernisering av teknisk infrastruktur och kulturanläggningar. digitalisering av konstverk och kulturarv, samt internationalisering, modernisering och digital omställning av bokhandlare och bokutgivning.</w:t>
      </w:r>
    </w:p>
    <w:p w14:paraId="75BCC826"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Komponenten bidrar till att följa de landsspecifika rekommendationerna för att vidta alla nödvändiga åtgärder för att effektivt hantera pandemin, upprätthålla ekonomin och stödja dess återhämtning (landsspecifik rekommendation 1 2020). och stödja användningen av digital teknik för att öka företagens konkurrenskraft (landsspecifik rekommendation 2 2020). </w:t>
      </w:r>
    </w:p>
    <w:p w14:paraId="66575D9A" w14:textId="77777777" w:rsidR="00E040FD" w:rsidRDefault="00740D64">
      <w:pPr>
        <w:pStyle w:val="P68B1DB1-Normal4"/>
        <w:keepNext/>
        <w:spacing w:before="40" w:after="0" w:line="259" w:lineRule="auto"/>
        <w:jc w:val="both"/>
        <w:rPr>
          <w:rFonts w:eastAsiaTheme="minorEastAsia" w:cs="Times New Roman"/>
          <w:noProof/>
        </w:rPr>
      </w:pPr>
      <w:r>
        <w:rPr>
          <w:noProof/>
        </w:rPr>
        <w:t>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w:t>
      </w:r>
    </w:p>
    <w:p w14:paraId="40AECA44" w14:textId="77777777"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D.1. Beskrivning av reformer och investeringar avseende icke återbetalningspliktigt ekonomiskt stöd</w:t>
      </w:r>
    </w:p>
    <w:p w14:paraId="0C926D12"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RE-C04-i01: Kulturella nätverk och digital omställning</w:t>
      </w:r>
    </w:p>
    <w:p w14:paraId="686F0143" w14:textId="1C6FCC1E" w:rsidR="00E040FD" w:rsidRDefault="00740D64">
      <w:pPr>
        <w:pStyle w:val="P68B1DB1-Normal4"/>
        <w:widowControl w:val="0"/>
        <w:spacing w:before="120" w:after="140" w:line="257" w:lineRule="auto"/>
        <w:jc w:val="both"/>
        <w:rPr>
          <w:rFonts w:eastAsiaTheme="minorEastAsia" w:cs="Times New Roman"/>
          <w:noProof/>
        </w:rPr>
      </w:pPr>
      <w:r>
        <w:rPr>
          <w:noProof/>
        </w:rPr>
        <w:t>Syftet med åtgärden är att uppgradera den tekniska infrastrukturen för offentliga kulturanläggningar som främjar deras digitala omställning. Mer specifikt handlar det om att i framtiden bevara konstverk och kulturarv. förbättra kulturupplevelsen, öka efterfrågan på kulturell verksamhet och nå ut till en ny publik, särskilt de nya generationerna. Sektorns motståndskraft förväntas öka genom främjande av nya affärsmodeller såsom abonnemang och direktuppspelning. samt stöd till kulturområden med en stark teknisk komponent, såsom produktion av 3D-filmer.</w:t>
      </w:r>
    </w:p>
    <w:p w14:paraId="05904A40" w14:textId="77777777" w:rsidR="00E040FD" w:rsidRDefault="00740D64">
      <w:pPr>
        <w:pStyle w:val="P68B1DB1-Normal4"/>
        <w:spacing w:before="40" w:after="0" w:line="259" w:lineRule="auto"/>
        <w:jc w:val="both"/>
        <w:rPr>
          <w:rFonts w:eastAsiaTheme="minorEastAsia" w:cs="Times New Roman"/>
          <w:noProof/>
        </w:rPr>
      </w:pPr>
      <w:r>
        <w:rPr>
          <w:noProof/>
        </w:rPr>
        <w:t xml:space="preserve">Denna investering ska bestå av följande interventioner: </w:t>
      </w:r>
    </w:p>
    <w:p w14:paraId="0B7D23BD" w14:textId="77777777" w:rsidR="00E040FD" w:rsidRDefault="00740D64">
      <w:pPr>
        <w:pStyle w:val="P68B1DB1-Normal4"/>
        <w:numPr>
          <w:ilvl w:val="0"/>
          <w:numId w:val="56"/>
        </w:numPr>
        <w:spacing w:before="40" w:after="160" w:line="259" w:lineRule="auto"/>
        <w:ind w:hanging="357"/>
        <w:contextualSpacing/>
        <w:jc w:val="both"/>
        <w:rPr>
          <w:rFonts w:eastAsiaTheme="minorEastAsia" w:cs="Times New Roman"/>
          <w:noProof/>
        </w:rPr>
      </w:pPr>
      <w:r>
        <w:rPr>
          <w:noProof/>
        </w:rPr>
        <w:t>modernisering av den tekniska infrastrukturen för kulturanläggningar</w:t>
      </w:r>
    </w:p>
    <w:p w14:paraId="5AD0BCC3" w14:textId="7FCD7F04" w:rsidR="00E040FD" w:rsidRDefault="00740D64">
      <w:pPr>
        <w:pStyle w:val="P68B1DB1-Normal4"/>
        <w:numPr>
          <w:ilvl w:val="1"/>
          <w:numId w:val="70"/>
        </w:numPr>
        <w:spacing w:before="40" w:after="160" w:line="259" w:lineRule="auto"/>
        <w:ind w:hanging="357"/>
        <w:contextualSpacing/>
        <w:jc w:val="both"/>
        <w:rPr>
          <w:rFonts w:eastAsiaTheme="minorEastAsia" w:cs="Times New Roman"/>
          <w:noProof/>
        </w:rPr>
      </w:pPr>
      <w:r>
        <w:rPr>
          <w:noProof/>
        </w:rPr>
        <w:t>inköp av it-utrustning, skapande av mobila bibliotek, informationssystem och integrerade kataloger för 239 offentliga bibliotek.</w:t>
      </w:r>
    </w:p>
    <w:p w14:paraId="14E65A09" w14:textId="727DB745" w:rsidR="00E040FD" w:rsidRDefault="00740D64">
      <w:pPr>
        <w:pStyle w:val="P68B1DB1-Normal4"/>
        <w:numPr>
          <w:ilvl w:val="1"/>
          <w:numId w:val="70"/>
        </w:numPr>
        <w:spacing w:before="40" w:after="160" w:line="259" w:lineRule="auto"/>
        <w:ind w:hanging="357"/>
        <w:contextualSpacing/>
        <w:jc w:val="both"/>
        <w:rPr>
          <w:rFonts w:eastAsiaTheme="minorEastAsia" w:cs="Times New Roman"/>
          <w:noProof/>
        </w:rPr>
      </w:pPr>
      <w:r>
        <w:rPr>
          <w:noProof/>
        </w:rPr>
        <w:t xml:space="preserve">installation av </w:t>
      </w:r>
      <w:r>
        <w:rPr>
          <w:i/>
          <w:noProof/>
        </w:rPr>
        <w:t>wifi-täckning</w:t>
      </w:r>
      <w:r>
        <w:rPr>
          <w:noProof/>
        </w:rPr>
        <w:t xml:space="preserve"> på 50 museer, palats och monument.</w:t>
      </w:r>
    </w:p>
    <w:p w14:paraId="6418D2E6" w14:textId="77777777" w:rsidR="00E040FD" w:rsidRDefault="00740D64">
      <w:pPr>
        <w:pStyle w:val="P68B1DB1-Normal4"/>
        <w:numPr>
          <w:ilvl w:val="1"/>
          <w:numId w:val="70"/>
        </w:numPr>
        <w:spacing w:before="40" w:after="160" w:line="259" w:lineRule="auto"/>
        <w:ind w:hanging="357"/>
        <w:contextualSpacing/>
        <w:jc w:val="both"/>
        <w:rPr>
          <w:rFonts w:eastAsiaTheme="minorEastAsia" w:cs="Times New Roman"/>
          <w:noProof/>
        </w:rPr>
      </w:pPr>
      <w:r>
        <w:rPr>
          <w:noProof/>
        </w:rPr>
        <w:t>inköp av digital utrustning och videoprojektionsutrustning för 155 cineatrar och offentliga centrum för samtida konst.</w:t>
      </w:r>
    </w:p>
    <w:p w14:paraId="60152140" w14:textId="3D336127" w:rsidR="00E040FD" w:rsidRDefault="00740D64">
      <w:pPr>
        <w:pStyle w:val="P68B1DB1-Normal4"/>
        <w:numPr>
          <w:ilvl w:val="1"/>
          <w:numId w:val="70"/>
        </w:numPr>
        <w:spacing w:before="40" w:after="160" w:line="259" w:lineRule="auto"/>
        <w:ind w:hanging="357"/>
        <w:contextualSpacing/>
        <w:jc w:val="both"/>
        <w:rPr>
          <w:rFonts w:eastAsiaTheme="minorEastAsia" w:cs="Times New Roman"/>
          <w:noProof/>
        </w:rPr>
      </w:pPr>
      <w:r>
        <w:rPr>
          <w:noProof/>
        </w:rPr>
        <w:t>teknisk modernisering och upprätthållande av offentliga laboratorier.</w:t>
      </w:r>
    </w:p>
    <w:p w14:paraId="1D93986E" w14:textId="596F8A12" w:rsidR="00E040FD" w:rsidRDefault="00740D64">
      <w:pPr>
        <w:pStyle w:val="ListParagraph"/>
        <w:numPr>
          <w:ilvl w:val="1"/>
          <w:numId w:val="70"/>
        </w:numPr>
        <w:spacing w:before="40"/>
        <w:rPr>
          <w:noProof/>
        </w:rPr>
      </w:pPr>
      <w:r>
        <w:rPr>
          <w:noProof/>
        </w:rPr>
        <w:t>teknisk modernisering av ANIM (National Archive of Moving Images).</w:t>
      </w:r>
    </w:p>
    <w:p w14:paraId="129B1E79" w14:textId="4144A407" w:rsidR="00E040FD" w:rsidRDefault="00740D64">
      <w:pPr>
        <w:pStyle w:val="P68B1DB1-Normal4"/>
        <w:numPr>
          <w:ilvl w:val="1"/>
          <w:numId w:val="70"/>
        </w:numPr>
        <w:spacing w:before="40" w:after="160" w:line="259" w:lineRule="auto"/>
        <w:ind w:hanging="357"/>
        <w:contextualSpacing/>
        <w:jc w:val="both"/>
        <w:rPr>
          <w:rFonts w:eastAsia="Times New Roman" w:cs="Times New Roman"/>
          <w:noProof/>
        </w:rPr>
      </w:pPr>
      <w:r>
        <w:rPr>
          <w:noProof/>
        </w:rPr>
        <w:t>installation av det nationella ljudarkivet.</w:t>
      </w:r>
    </w:p>
    <w:p w14:paraId="63A92FE4" w14:textId="1C99C7CC" w:rsidR="00E040FD" w:rsidRDefault="00740D64">
      <w:pPr>
        <w:pStyle w:val="P68B1DB1-Normal4"/>
        <w:numPr>
          <w:ilvl w:val="0"/>
          <w:numId w:val="56"/>
        </w:numPr>
        <w:spacing w:before="40" w:after="160" w:line="259" w:lineRule="auto"/>
        <w:ind w:hanging="357"/>
        <w:contextualSpacing/>
        <w:jc w:val="both"/>
        <w:rPr>
          <w:rFonts w:eastAsiaTheme="minorEastAsia" w:cs="Times New Roman"/>
          <w:noProof/>
        </w:rPr>
      </w:pPr>
      <w:r>
        <w:rPr>
          <w:noProof/>
        </w:rPr>
        <w:t>digitalisering och virtualisering av samlingarna från generaldirektoratet för böcker, arkiv och bibliotek (DGLAB), Portugals nationalbibliotek, Évora Public Library, Cinematheque, samlingar som förvaltas av generaldirektoratet för kulturarv (DGPC) och de regionala direktoraten för kultur och digitalisering av audiovisuellt material från landets historiska arkiv:</w:t>
      </w:r>
    </w:p>
    <w:p w14:paraId="6C9F1DA9" w14:textId="77777777" w:rsidR="00E040FD" w:rsidRDefault="00740D64">
      <w:pPr>
        <w:pStyle w:val="P68B1DB1-Normal4"/>
        <w:numPr>
          <w:ilvl w:val="1"/>
          <w:numId w:val="70"/>
        </w:numPr>
        <w:spacing w:before="40" w:after="160" w:line="259" w:lineRule="auto"/>
        <w:ind w:hanging="357"/>
        <w:contextualSpacing/>
        <w:jc w:val="both"/>
        <w:rPr>
          <w:rFonts w:eastAsiaTheme="minorEastAsia" w:cs="Times New Roman"/>
          <w:noProof/>
        </w:rPr>
      </w:pPr>
      <w:r>
        <w:rPr>
          <w:noProof/>
        </w:rPr>
        <w:t>digitalisering och virtualisering av samlingarna i offentliga bibliotek (20 000 000 bilder).</w:t>
      </w:r>
    </w:p>
    <w:p w14:paraId="2F41C273" w14:textId="77777777" w:rsidR="00E040FD" w:rsidRDefault="00740D64">
      <w:pPr>
        <w:pStyle w:val="P68B1DB1-Normal4"/>
        <w:numPr>
          <w:ilvl w:val="1"/>
          <w:numId w:val="70"/>
        </w:numPr>
        <w:spacing w:before="40" w:after="160" w:line="259" w:lineRule="auto"/>
        <w:ind w:hanging="357"/>
        <w:contextualSpacing/>
        <w:jc w:val="both"/>
        <w:rPr>
          <w:rFonts w:eastAsiaTheme="minorEastAsia" w:cs="Times New Roman"/>
          <w:noProof/>
        </w:rPr>
      </w:pPr>
      <w:r>
        <w:rPr>
          <w:noProof/>
        </w:rPr>
        <w:t>digitalisering och virtualisering av samlingarna i nationella arkiv (19 5 00 000 dokument).</w:t>
      </w:r>
    </w:p>
    <w:p w14:paraId="08CD788B" w14:textId="77777777" w:rsidR="00E040FD" w:rsidRDefault="00740D64">
      <w:pPr>
        <w:pStyle w:val="P68B1DB1-Normal4"/>
        <w:numPr>
          <w:ilvl w:val="1"/>
          <w:numId w:val="70"/>
        </w:numPr>
        <w:spacing w:before="40" w:after="160" w:line="259" w:lineRule="auto"/>
        <w:ind w:hanging="357"/>
        <w:contextualSpacing/>
        <w:jc w:val="both"/>
        <w:rPr>
          <w:rFonts w:eastAsiaTheme="minorEastAsia" w:cs="Times New Roman"/>
          <w:noProof/>
        </w:rPr>
      </w:pPr>
      <w:r>
        <w:rPr>
          <w:noProof/>
        </w:rPr>
        <w:t>digitalisering av 59 500 offentliga museer.</w:t>
      </w:r>
    </w:p>
    <w:p w14:paraId="4D9619E7" w14:textId="63B3EDDD" w:rsidR="00E040FD" w:rsidRDefault="00740D64">
      <w:pPr>
        <w:pStyle w:val="P68B1DB1-Normal4"/>
        <w:numPr>
          <w:ilvl w:val="1"/>
          <w:numId w:val="70"/>
        </w:numPr>
        <w:spacing w:before="40" w:after="160" w:line="259" w:lineRule="auto"/>
        <w:ind w:hanging="357"/>
        <w:contextualSpacing/>
        <w:jc w:val="both"/>
        <w:rPr>
          <w:rFonts w:eastAsiaTheme="minorEastAsia" w:cs="Times New Roman"/>
          <w:noProof/>
        </w:rPr>
      </w:pPr>
      <w:r>
        <w:rPr>
          <w:noProof/>
        </w:rPr>
        <w:t>virtuella besök på museer.</w:t>
      </w:r>
    </w:p>
    <w:p w14:paraId="6147E91E" w14:textId="0637379A" w:rsidR="00E040FD" w:rsidRDefault="00740D64">
      <w:pPr>
        <w:pStyle w:val="P68B1DB1-Normal4"/>
        <w:numPr>
          <w:ilvl w:val="1"/>
          <w:numId w:val="70"/>
        </w:numPr>
        <w:spacing w:before="40" w:after="160" w:line="259" w:lineRule="auto"/>
        <w:ind w:hanging="357"/>
        <w:contextualSpacing/>
        <w:jc w:val="both"/>
        <w:rPr>
          <w:rFonts w:eastAsiaTheme="minorEastAsia" w:cs="Times New Roman"/>
          <w:noProof/>
        </w:rPr>
      </w:pPr>
      <w:r>
        <w:rPr>
          <w:noProof/>
        </w:rPr>
        <w:t>digitalisering av 1 000 filmer (film). och</w:t>
      </w:r>
    </w:p>
    <w:p w14:paraId="126C8F9B" w14:textId="08B9174F" w:rsidR="00E040FD" w:rsidRDefault="00740D64">
      <w:pPr>
        <w:pStyle w:val="P68B1DB1-Normal4"/>
        <w:numPr>
          <w:ilvl w:val="1"/>
          <w:numId w:val="70"/>
        </w:numPr>
        <w:spacing w:before="40" w:after="160" w:line="259" w:lineRule="auto"/>
        <w:ind w:hanging="357"/>
        <w:contextualSpacing/>
        <w:jc w:val="both"/>
        <w:rPr>
          <w:rFonts w:eastAsiaTheme="minorEastAsia" w:cs="Times New Roman"/>
          <w:noProof/>
        </w:rPr>
      </w:pPr>
      <w:r>
        <w:rPr>
          <w:noProof/>
        </w:rPr>
        <w:t>digitalisering och tillgängliggörande för allmänheten av 45 000-timmars audiovisuellt material från landets historiska medier och programföretagens arkiv</w:t>
      </w:r>
    </w:p>
    <w:p w14:paraId="69CDFB3B" w14:textId="6E712039" w:rsidR="00E040FD" w:rsidRDefault="00740D64">
      <w:pPr>
        <w:pStyle w:val="ListParagraph"/>
        <w:numPr>
          <w:ilvl w:val="0"/>
          <w:numId w:val="71"/>
        </w:numPr>
        <w:spacing w:before="40"/>
        <w:rPr>
          <w:noProof/>
        </w:rPr>
      </w:pPr>
      <w:r>
        <w:rPr>
          <w:noProof/>
        </w:rPr>
        <w:t>Internationalisering, modernisering och digital omställning av böcker och författare:</w:t>
      </w:r>
    </w:p>
    <w:p w14:paraId="1E2C030B" w14:textId="6017B88F" w:rsidR="00E040FD" w:rsidRDefault="00740D64">
      <w:pPr>
        <w:pStyle w:val="P68B1DB1-Normal4"/>
        <w:numPr>
          <w:ilvl w:val="1"/>
          <w:numId w:val="70"/>
        </w:numPr>
        <w:spacing w:before="40" w:after="160" w:line="259" w:lineRule="auto"/>
        <w:ind w:hanging="357"/>
        <w:contextualSpacing/>
        <w:jc w:val="both"/>
        <w:rPr>
          <w:rFonts w:eastAsiaTheme="minorEastAsia" w:cs="Times New Roman"/>
          <w:noProof/>
        </w:rPr>
      </w:pPr>
      <w:r>
        <w:rPr>
          <w:noProof/>
        </w:rPr>
        <w:t>stöd till översättning och utgivning av böcker till främmande språk.</w:t>
      </w:r>
    </w:p>
    <w:p w14:paraId="197D7319" w14:textId="77777777" w:rsidR="00E040FD" w:rsidRDefault="00740D64">
      <w:pPr>
        <w:pStyle w:val="P68B1DB1-Normal4"/>
        <w:numPr>
          <w:ilvl w:val="1"/>
          <w:numId w:val="70"/>
        </w:numPr>
        <w:spacing w:before="40" w:after="160" w:line="259" w:lineRule="auto"/>
        <w:ind w:hanging="357"/>
        <w:contextualSpacing/>
        <w:jc w:val="both"/>
        <w:rPr>
          <w:rFonts w:eastAsiaTheme="minorEastAsia" w:cs="Times New Roman"/>
          <w:noProof/>
        </w:rPr>
      </w:pPr>
      <w:r>
        <w:rPr>
          <w:noProof/>
        </w:rPr>
        <w:t>stöd till översättning och upplaga av litterära verk, inbegripet ljudböcker och e-böcker.</w:t>
      </w:r>
    </w:p>
    <w:p w14:paraId="2A41A423" w14:textId="6D165E09" w:rsidR="00E040FD" w:rsidRDefault="00740D64">
      <w:pPr>
        <w:pStyle w:val="P68B1DB1-Normal4"/>
        <w:numPr>
          <w:ilvl w:val="1"/>
          <w:numId w:val="70"/>
        </w:numPr>
        <w:spacing w:before="40" w:after="160" w:line="259" w:lineRule="auto"/>
        <w:ind w:hanging="357"/>
        <w:contextualSpacing/>
        <w:jc w:val="both"/>
        <w:rPr>
          <w:rFonts w:eastAsia="Times New Roman" w:cs="Times New Roman"/>
          <w:noProof/>
        </w:rPr>
      </w:pPr>
      <w:r>
        <w:rPr>
          <w:noProof/>
        </w:rPr>
        <w:t>stöd till modernisering och digital omställning av bokhandlare för inköp av utrustning och teknik.</w:t>
      </w:r>
    </w:p>
    <w:p w14:paraId="496B0AF5" w14:textId="57DF3BD5" w:rsidR="00E040FD" w:rsidRDefault="00E040FD">
      <w:pPr>
        <w:spacing w:before="40" w:after="160" w:line="259" w:lineRule="auto"/>
        <w:ind w:left="1800"/>
        <w:contextualSpacing/>
        <w:jc w:val="both"/>
        <w:rPr>
          <w:rFonts w:ascii="Times New Roman" w:eastAsia="Times New Roman" w:hAnsi="Times New Roman" w:cs="Times New Roman"/>
          <w:noProof/>
          <w:sz w:val="24"/>
        </w:rPr>
      </w:pPr>
    </w:p>
    <w:p w14:paraId="75954FB6" w14:textId="41574F0B" w:rsidR="00E040FD" w:rsidRDefault="00740D64">
      <w:pPr>
        <w:pStyle w:val="P68B1DB1-Normal4"/>
        <w:spacing w:before="40" w:after="0" w:line="259" w:lineRule="auto"/>
        <w:jc w:val="both"/>
        <w:rPr>
          <w:rFonts w:eastAsiaTheme="minorEastAsia" w:cs="Times New Roman"/>
          <w:noProof/>
        </w:rPr>
      </w:pPr>
      <w:r>
        <w:rPr>
          <w:noProof/>
        </w:rPr>
        <w:t>Investeringen ska vara genomförd senast den 31 mars 2026.</w:t>
      </w:r>
    </w:p>
    <w:p w14:paraId="0CCAFF13" w14:textId="06C899D3" w:rsidR="00E040FD" w:rsidRDefault="00E040FD">
      <w:pPr>
        <w:spacing w:before="40" w:after="0" w:line="259" w:lineRule="auto"/>
        <w:jc w:val="both"/>
        <w:rPr>
          <w:rFonts w:ascii="Times New Roman" w:eastAsiaTheme="minorEastAsia" w:hAnsi="Times New Roman" w:cs="Times New Roman"/>
          <w:noProof/>
          <w:sz w:val="24"/>
        </w:rPr>
      </w:pPr>
    </w:p>
    <w:p w14:paraId="28A8ED10"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RE-C04-i02: Kulturarv</w:t>
      </w:r>
    </w:p>
    <w:p w14:paraId="739B4265" w14:textId="3F51DE11" w:rsidR="00E040FD" w:rsidRDefault="00740D64">
      <w:pPr>
        <w:pStyle w:val="P68B1DB1-Normal4"/>
        <w:keepNext/>
        <w:widowControl w:val="0"/>
        <w:spacing w:before="120" w:after="120" w:line="259" w:lineRule="auto"/>
        <w:jc w:val="both"/>
        <w:rPr>
          <w:rFonts w:eastAsiaTheme="minorEastAsia" w:cs="Times New Roman"/>
          <w:noProof/>
        </w:rPr>
      </w:pPr>
      <w:r>
        <w:rPr>
          <w:noProof/>
        </w:rPr>
        <w:t>Syftet med denna åtgärd är att renovera kulturanläggningar som klassificeras som kulturarv. Ett av huvudmålen är att anpassa dessa anläggningar till de nya miljönormerna. Detta inbegriper åtgärder såsom minskad primärenergiförbrukning i byggnader, tillsammans med insatser i historiska grönparker med unik flora och fauna för att främja anpassning till och begränsning av klimatförändringar genom effektiv återanvändning av vatten för bevattning.</w:t>
      </w:r>
    </w:p>
    <w:p w14:paraId="264F16C0" w14:textId="77777777" w:rsidR="00E040FD" w:rsidRDefault="00740D64">
      <w:pPr>
        <w:pStyle w:val="P68B1DB1-Normal4"/>
        <w:spacing w:before="120" w:after="120" w:line="259" w:lineRule="auto"/>
        <w:jc w:val="both"/>
        <w:rPr>
          <w:rFonts w:eastAsiaTheme="minorEastAsia" w:cs="Times New Roman"/>
          <w:noProof/>
        </w:rPr>
      </w:pPr>
      <w:r>
        <w:rPr>
          <w:noProof/>
        </w:rPr>
        <w:t xml:space="preserve">Denna investering ska bestå av följande interventioner: </w:t>
      </w:r>
    </w:p>
    <w:p w14:paraId="4328998B" w14:textId="77777777" w:rsidR="00E040FD" w:rsidRDefault="00740D64">
      <w:pPr>
        <w:pStyle w:val="P68B1DB1-Normal4"/>
        <w:keepNext/>
        <w:numPr>
          <w:ilvl w:val="0"/>
          <w:numId w:val="51"/>
        </w:numPr>
        <w:spacing w:before="120" w:after="120" w:line="259" w:lineRule="auto"/>
        <w:contextualSpacing/>
        <w:jc w:val="both"/>
        <w:rPr>
          <w:rFonts w:eastAsiaTheme="minorEastAsia" w:cs="Times New Roman"/>
          <w:noProof/>
        </w:rPr>
      </w:pPr>
      <w:r>
        <w:rPr>
          <w:noProof/>
        </w:rPr>
        <w:t>inrättande av en databas med information och dokumentation om inhemsk hantverksmässig produktion, identifiering och kartläggning av råvaror.</w:t>
      </w:r>
    </w:p>
    <w:p w14:paraId="07974284" w14:textId="77777777" w:rsidR="00E040FD" w:rsidRDefault="00740D64">
      <w:pPr>
        <w:pStyle w:val="P68B1DB1-Normal4"/>
        <w:keepNext/>
        <w:numPr>
          <w:ilvl w:val="0"/>
          <w:numId w:val="51"/>
        </w:numPr>
        <w:spacing w:before="120" w:after="120" w:line="259" w:lineRule="auto"/>
        <w:contextualSpacing/>
        <w:jc w:val="both"/>
        <w:rPr>
          <w:rFonts w:eastAsiaTheme="minorEastAsia" w:cs="Times New Roman"/>
          <w:noProof/>
        </w:rPr>
      </w:pPr>
      <w:r>
        <w:rPr>
          <w:noProof/>
        </w:rPr>
        <w:t>installation av laboratorier och rutter för initiativet ”</w:t>
      </w:r>
      <w:r>
        <w:rPr>
          <w:i/>
          <w:noProof/>
        </w:rPr>
        <w:t>Saber Fazer</w:t>
      </w:r>
      <w:r>
        <w:rPr>
          <w:noProof/>
        </w:rPr>
        <w:t>” Tekniskt centrum (skydd av hantverksteknik och hantverksyrken), inklusive saluföring av produkter.</w:t>
      </w:r>
    </w:p>
    <w:p w14:paraId="50DF6D56" w14:textId="106A4F30" w:rsidR="00E040FD" w:rsidRDefault="00740D64">
      <w:pPr>
        <w:pStyle w:val="P68B1DB1-Normal4"/>
        <w:keepNext/>
        <w:numPr>
          <w:ilvl w:val="0"/>
          <w:numId w:val="51"/>
        </w:numPr>
        <w:spacing w:before="120" w:after="120" w:line="259" w:lineRule="auto"/>
        <w:contextualSpacing/>
        <w:jc w:val="both"/>
        <w:rPr>
          <w:rFonts w:eastAsiaTheme="minorEastAsia" w:cs="Times New Roman"/>
          <w:noProof/>
        </w:rPr>
      </w:pPr>
      <w:r>
        <w:rPr>
          <w:noProof/>
        </w:rPr>
        <w:t>skapande av verksamhet (pedagogisk och informativ om traditionell teknik).</w:t>
      </w:r>
    </w:p>
    <w:p w14:paraId="773D0F6E" w14:textId="596CA147" w:rsidR="00E040FD" w:rsidRDefault="00740D64">
      <w:pPr>
        <w:pStyle w:val="P68B1DB1-Normal4"/>
        <w:keepNext/>
        <w:numPr>
          <w:ilvl w:val="0"/>
          <w:numId w:val="51"/>
        </w:numPr>
        <w:spacing w:before="120" w:after="0" w:line="259" w:lineRule="auto"/>
        <w:ind w:left="714" w:hanging="357"/>
        <w:contextualSpacing/>
        <w:jc w:val="both"/>
        <w:rPr>
          <w:rFonts w:eastAsiaTheme="minorEastAsia" w:cs="Times New Roman"/>
          <w:noProof/>
        </w:rPr>
      </w:pPr>
      <w:r>
        <w:rPr>
          <w:noProof/>
        </w:rPr>
        <w:t>färdigställande av arbeten på museer, monument, statspatrar och nationella teatrar, inbegripet renovering och/eller omskolning.</w:t>
      </w:r>
    </w:p>
    <w:p w14:paraId="78989F13" w14:textId="56AD200E" w:rsidR="00E040FD" w:rsidRDefault="00740D64">
      <w:pPr>
        <w:pStyle w:val="P68B1DB1-Normal4"/>
        <w:keepNext/>
        <w:numPr>
          <w:ilvl w:val="0"/>
          <w:numId w:val="51"/>
        </w:numPr>
        <w:spacing w:before="120" w:after="0" w:line="259" w:lineRule="auto"/>
        <w:ind w:left="714" w:hanging="357"/>
        <w:contextualSpacing/>
        <w:jc w:val="both"/>
        <w:rPr>
          <w:rFonts w:eastAsiaTheme="minorEastAsia" w:cs="Times New Roman"/>
          <w:noProof/>
        </w:rPr>
      </w:pPr>
      <w:r>
        <w:rPr>
          <w:noProof/>
        </w:rPr>
        <w:t>uppförande av byggnaden av det nationella ljudarkivet.</w:t>
      </w:r>
    </w:p>
    <w:p w14:paraId="07BCF263" w14:textId="5FACEEE5" w:rsidR="00E040FD" w:rsidRDefault="00E040FD">
      <w:pPr>
        <w:keepNext/>
        <w:spacing w:before="120" w:after="0" w:line="259" w:lineRule="auto"/>
        <w:contextualSpacing/>
        <w:jc w:val="both"/>
        <w:rPr>
          <w:rFonts w:ascii="Times New Roman" w:eastAsia="Times New Roman" w:hAnsi="Times New Roman" w:cs="Times New Roman"/>
          <w:noProof/>
          <w:sz w:val="24"/>
        </w:rPr>
      </w:pPr>
    </w:p>
    <w:p w14:paraId="406F9B64" w14:textId="7A3749EE" w:rsidR="00E040FD" w:rsidRDefault="00740D64">
      <w:pPr>
        <w:pStyle w:val="P68B1DB1-Normal4"/>
        <w:keepNext/>
        <w:spacing w:before="120" w:after="0" w:line="259" w:lineRule="auto"/>
        <w:contextualSpacing/>
        <w:jc w:val="both"/>
        <w:rPr>
          <w:rFonts w:eastAsiaTheme="minorEastAsia" w:cs="Times New Roman"/>
          <w:noProof/>
        </w:rPr>
      </w:pPr>
      <w:r>
        <w:rPr>
          <w:noProof/>
        </w:rPr>
        <w:t>Investeringen ska vara genomförd senast den 31 mars 2026.</w:t>
      </w:r>
    </w:p>
    <w:p w14:paraId="22EEA54D" w14:textId="77777777" w:rsidR="00E040FD" w:rsidRDefault="00E040FD">
      <w:pPr>
        <w:rPr>
          <w:rFonts w:ascii="Times New Roman" w:eastAsiaTheme="minorEastAsia" w:hAnsi="Times New Roman" w:cs="Times New Roman"/>
          <w:noProof/>
          <w:sz w:val="24"/>
        </w:rPr>
      </w:pPr>
    </w:p>
    <w:p w14:paraId="461EECF2" w14:textId="77777777" w:rsidR="00E040FD" w:rsidRDefault="00E040FD">
      <w:pPr>
        <w:rPr>
          <w:rFonts w:ascii="Times New Roman" w:eastAsiaTheme="minorEastAsia" w:hAnsi="Times New Roman" w:cs="Times New Roman"/>
          <w:noProof/>
          <w:sz w:val="24"/>
        </w:rPr>
      </w:pPr>
    </w:p>
    <w:p w14:paraId="3E877F21" w14:textId="77777777" w:rsidR="00E040FD" w:rsidRDefault="00E040FD">
      <w:pPr>
        <w:rPr>
          <w:rFonts w:ascii="Times New Roman" w:eastAsiaTheme="minorEastAsia" w:hAnsi="Times New Roman" w:cs="Times New Roman"/>
          <w:noProof/>
          <w:sz w:val="24"/>
        </w:rPr>
      </w:pPr>
    </w:p>
    <w:p w14:paraId="74F6E330" w14:textId="5CC31371" w:rsidR="00E040FD" w:rsidRDefault="00740D64">
      <w:pPr>
        <w:pStyle w:val="P68B1DB1-Normal4"/>
        <w:tabs>
          <w:tab w:val="left" w:pos="3527"/>
        </w:tabs>
        <w:rPr>
          <w:rFonts w:eastAsia="Times New Roman" w:cs="Times New Roman"/>
          <w:noProof/>
        </w:rPr>
      </w:pPr>
      <w:r>
        <w:rPr>
          <w:noProof/>
        </w:rPr>
        <w:tab/>
      </w:r>
    </w:p>
    <w:p w14:paraId="67590288" w14:textId="77777777" w:rsidR="00E040FD" w:rsidRDefault="00E040FD">
      <w:pPr>
        <w:rPr>
          <w:rFonts w:ascii="Times New Roman" w:eastAsia="Times New Roman" w:hAnsi="Times New Roman" w:cs="Times New Roman"/>
          <w:noProof/>
          <w:sz w:val="24"/>
        </w:rPr>
      </w:pPr>
    </w:p>
    <w:p w14:paraId="33277AD8" w14:textId="77777777" w:rsidR="00E040FD" w:rsidRDefault="00E040FD">
      <w:pPr>
        <w:rPr>
          <w:rFonts w:ascii="Times New Roman" w:eastAsiaTheme="minorEastAsia" w:hAnsi="Times New Roman" w:cs="Times New Roman"/>
          <w:noProof/>
          <w:sz w:val="24"/>
        </w:rPr>
        <w:sectPr w:rsidR="00E040FD" w:rsidSect="00E00EDD">
          <w:headerReference w:type="even" r:id="rId84"/>
          <w:headerReference w:type="default" r:id="rId85"/>
          <w:footerReference w:type="even" r:id="rId86"/>
          <w:footerReference w:type="default" r:id="rId87"/>
          <w:headerReference w:type="first" r:id="rId88"/>
          <w:footerReference w:type="first" r:id="rId89"/>
          <w:pgSz w:w="11907" w:h="16839"/>
          <w:pgMar w:top="1134" w:right="1134" w:bottom="1134" w:left="1134" w:header="567" w:footer="567" w:gutter="0"/>
          <w:cols w:space="720"/>
          <w:docGrid w:linePitch="360"/>
        </w:sectPr>
      </w:pPr>
    </w:p>
    <w:p w14:paraId="0CA086A4" w14:textId="77777777" w:rsidR="00E040FD" w:rsidRDefault="00740D64">
      <w:pPr>
        <w:keepNext/>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D.2. </w:t>
      </w:r>
      <w:r>
        <w:rPr>
          <w:noProof/>
        </w:rPr>
        <w:tab/>
      </w:r>
      <w:r>
        <w:rPr>
          <w:rFonts w:ascii="Times New Roman" w:hAnsi="Times New Roman"/>
          <w:b/>
          <w:noProof/>
          <w:sz w:val="24"/>
          <w:u w:val="single"/>
        </w:rPr>
        <w:t>Delmål, mål, indikatorer och tidsplan för övervakning och genomförande avseende icke återbetalningspliktigt ekonomiskt stöd</w:t>
      </w:r>
    </w:p>
    <w:p w14:paraId="0559F0B6"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191"/>
        <w:gridCol w:w="1060"/>
        <w:gridCol w:w="1588"/>
        <w:gridCol w:w="1193"/>
        <w:gridCol w:w="930"/>
        <w:gridCol w:w="1225"/>
        <w:gridCol w:w="671"/>
        <w:gridCol w:w="539"/>
        <w:gridCol w:w="672"/>
        <w:gridCol w:w="3756"/>
      </w:tblGrid>
      <w:tr w:rsidR="00E040FD" w14:paraId="04D8F8F1" w14:textId="77777777">
        <w:trPr>
          <w:trHeight w:val="910"/>
          <w:tblHeader/>
        </w:trPr>
        <w:tc>
          <w:tcPr>
            <w:tcW w:w="1067" w:type="dxa"/>
            <w:vMerge w:val="restart"/>
            <w:shd w:val="clear" w:color="auto" w:fill="B4C6E7"/>
            <w:vAlign w:val="center"/>
            <w:hideMark/>
          </w:tcPr>
          <w:p w14:paraId="66743342"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191" w:type="dxa"/>
            <w:vMerge w:val="restart"/>
            <w:shd w:val="clear" w:color="auto" w:fill="B4C6E7"/>
            <w:vAlign w:val="center"/>
            <w:hideMark/>
          </w:tcPr>
          <w:p w14:paraId="12DF4D36" w14:textId="77777777" w:rsidR="00E040FD" w:rsidRDefault="00740D64">
            <w:pPr>
              <w:pStyle w:val="P68B1DB1-Normal16"/>
              <w:spacing w:after="0" w:line="240" w:lineRule="auto"/>
              <w:jc w:val="center"/>
              <w:rPr>
                <w:rFonts w:eastAsia="Times New Roman" w:cs="Times New Roman"/>
                <w:b/>
                <w:noProof/>
              </w:rPr>
            </w:pPr>
            <w:r>
              <w:rPr>
                <w:b/>
                <w:noProof/>
              </w:rPr>
              <w:t>Åtgärd (reform eller investering)</w:t>
            </w:r>
            <w:r>
              <w:rPr>
                <w:noProof/>
              </w:rPr>
              <w:t> </w:t>
            </w:r>
          </w:p>
        </w:tc>
        <w:tc>
          <w:tcPr>
            <w:tcW w:w="1060" w:type="dxa"/>
            <w:vMerge w:val="restart"/>
            <w:shd w:val="clear" w:color="auto" w:fill="B4C6E7"/>
            <w:vAlign w:val="center"/>
            <w:hideMark/>
          </w:tcPr>
          <w:p w14:paraId="1BA1C91E" w14:textId="292277FC" w:rsidR="00E040FD" w:rsidRDefault="00740D64">
            <w:pPr>
              <w:pStyle w:val="P68B1DB1-Normal16"/>
              <w:spacing w:after="0" w:line="240" w:lineRule="auto"/>
              <w:jc w:val="center"/>
              <w:rPr>
                <w:rFonts w:eastAsia="Times New Roman" w:cs="Times New Roman"/>
                <w:b/>
                <w:noProof/>
              </w:rPr>
            </w:pPr>
            <w:r>
              <w:rPr>
                <w:b/>
                <w:noProof/>
              </w:rPr>
              <w:t>Milementon/</w:t>
            </w:r>
            <w:r>
              <w:rPr>
                <w:noProof/>
              </w:rPr>
              <w:t xml:space="preserve"> </w:t>
            </w:r>
            <w:r>
              <w:rPr>
                <w:b/>
                <w:noProof/>
              </w:rPr>
              <w:t>Mål</w:t>
            </w:r>
          </w:p>
        </w:tc>
        <w:tc>
          <w:tcPr>
            <w:tcW w:w="1588" w:type="dxa"/>
            <w:vMerge w:val="restart"/>
            <w:shd w:val="clear" w:color="auto" w:fill="B4C6E7"/>
            <w:vAlign w:val="center"/>
            <w:hideMark/>
          </w:tcPr>
          <w:p w14:paraId="28AD35BA" w14:textId="77777777" w:rsidR="00E040FD" w:rsidRDefault="00740D64">
            <w:pPr>
              <w:pStyle w:val="P68B1DB1-Normal16"/>
              <w:spacing w:after="0" w:line="240" w:lineRule="auto"/>
              <w:jc w:val="center"/>
              <w:rPr>
                <w:rFonts w:eastAsia="Times New Roman" w:cs="Times New Roman"/>
                <w:b/>
                <w:noProof/>
              </w:rPr>
            </w:pPr>
            <w:r>
              <w:rPr>
                <w:b/>
                <w:noProof/>
              </w:rPr>
              <w:t>Namn</w:t>
            </w:r>
            <w:r>
              <w:rPr>
                <w:noProof/>
              </w:rPr>
              <w:t> </w:t>
            </w:r>
          </w:p>
        </w:tc>
        <w:tc>
          <w:tcPr>
            <w:tcW w:w="1193" w:type="dxa"/>
            <w:vMerge w:val="restart"/>
            <w:shd w:val="clear" w:color="auto" w:fill="B4C6E7"/>
            <w:vAlign w:val="center"/>
            <w:hideMark/>
          </w:tcPr>
          <w:p w14:paraId="17F2F265" w14:textId="77777777" w:rsidR="00E040FD" w:rsidRDefault="00740D64">
            <w:pPr>
              <w:pStyle w:val="P68B1DB1-Normal16"/>
              <w:spacing w:after="0" w:line="240" w:lineRule="auto"/>
              <w:jc w:val="center"/>
              <w:rPr>
                <w:rFonts w:eastAsia="Times New Roman" w:cs="Times New Roman"/>
                <w:b/>
                <w:noProof/>
              </w:rPr>
            </w:pPr>
            <w:r>
              <w:rPr>
                <w:b/>
                <w:noProof/>
              </w:rPr>
              <w:t>Kvalitativa indikatorer (för delmål)</w:t>
            </w:r>
            <w:r>
              <w:rPr>
                <w:noProof/>
              </w:rPr>
              <w:t> </w:t>
            </w:r>
          </w:p>
        </w:tc>
        <w:tc>
          <w:tcPr>
            <w:tcW w:w="2826" w:type="dxa"/>
            <w:gridSpan w:val="3"/>
            <w:shd w:val="clear" w:color="auto" w:fill="B4C6E7"/>
            <w:vAlign w:val="center"/>
            <w:hideMark/>
          </w:tcPr>
          <w:p w14:paraId="5E49CDA7" w14:textId="77777777" w:rsidR="00E040FD" w:rsidRDefault="00740D64">
            <w:pPr>
              <w:pStyle w:val="P68B1DB1-Normal16"/>
              <w:spacing w:after="0" w:line="240" w:lineRule="auto"/>
              <w:jc w:val="center"/>
              <w:rPr>
                <w:rFonts w:eastAsia="Times New Roman" w:cs="Times New Roman"/>
                <w:b/>
                <w:noProof/>
              </w:rPr>
            </w:pPr>
            <w:r>
              <w:rPr>
                <w:b/>
                <w:noProof/>
              </w:rPr>
              <w:t>Kvantitativa indikatorer (för mål)</w:t>
            </w:r>
            <w:r>
              <w:rPr>
                <w:noProof/>
              </w:rPr>
              <w:t> </w:t>
            </w:r>
          </w:p>
        </w:tc>
        <w:tc>
          <w:tcPr>
            <w:tcW w:w="1211" w:type="dxa"/>
            <w:gridSpan w:val="2"/>
            <w:shd w:val="clear" w:color="auto" w:fill="B4C6E7"/>
            <w:vAlign w:val="center"/>
            <w:hideMark/>
          </w:tcPr>
          <w:p w14:paraId="50636C03" w14:textId="77777777" w:rsidR="00E040FD" w:rsidRDefault="00740D64">
            <w:pPr>
              <w:pStyle w:val="P68B1DB1-Normal16"/>
              <w:spacing w:after="0" w:line="240" w:lineRule="auto"/>
              <w:jc w:val="center"/>
              <w:rPr>
                <w:rFonts w:eastAsia="Times New Roman" w:cs="Times New Roman"/>
                <w:b/>
                <w:noProof/>
              </w:rPr>
            </w:pPr>
            <w:r>
              <w:rPr>
                <w:b/>
                <w:noProof/>
              </w:rPr>
              <w:t>Preliminär tidsplan för slutförande</w:t>
            </w:r>
            <w:r>
              <w:rPr>
                <w:noProof/>
              </w:rPr>
              <w:t> </w:t>
            </w:r>
          </w:p>
        </w:tc>
        <w:tc>
          <w:tcPr>
            <w:tcW w:w="3756" w:type="dxa"/>
            <w:vMerge w:val="restart"/>
            <w:shd w:val="clear" w:color="auto" w:fill="B4C6E7"/>
            <w:noWrap/>
            <w:vAlign w:val="center"/>
            <w:hideMark/>
          </w:tcPr>
          <w:p w14:paraId="1133A1F5" w14:textId="77777777" w:rsidR="00E040FD" w:rsidRDefault="00740D64">
            <w:pPr>
              <w:pStyle w:val="P68B1DB1-Normal16"/>
              <w:spacing w:after="0" w:line="240" w:lineRule="auto"/>
              <w:jc w:val="center"/>
              <w:rPr>
                <w:rFonts w:eastAsia="Times New Roman" w:cs="Times New Roman"/>
                <w:b/>
                <w:noProof/>
              </w:rPr>
            </w:pPr>
            <w:r>
              <w:rPr>
                <w:b/>
                <w:noProof/>
              </w:rPr>
              <w:t>Beskrivning och tydlig definition av varje delmål och mål</w:t>
            </w:r>
            <w:r>
              <w:rPr>
                <w:noProof/>
              </w:rPr>
              <w:t> </w:t>
            </w:r>
          </w:p>
        </w:tc>
      </w:tr>
      <w:tr w:rsidR="00E040FD" w14:paraId="52076021" w14:textId="77777777">
        <w:trPr>
          <w:trHeight w:val="470"/>
          <w:tblHeader/>
        </w:trPr>
        <w:tc>
          <w:tcPr>
            <w:tcW w:w="1067" w:type="dxa"/>
            <w:vMerge/>
            <w:vAlign w:val="center"/>
            <w:hideMark/>
          </w:tcPr>
          <w:p w14:paraId="12D2ED3A" w14:textId="77777777" w:rsidR="00E040FD" w:rsidRDefault="00E040FD">
            <w:pPr>
              <w:spacing w:after="0" w:line="240" w:lineRule="auto"/>
              <w:rPr>
                <w:rFonts w:ascii="Times New Roman" w:eastAsia="Times New Roman" w:hAnsi="Times New Roman" w:cs="Times New Roman"/>
                <w:b/>
                <w:noProof/>
                <w:sz w:val="18"/>
              </w:rPr>
            </w:pPr>
          </w:p>
        </w:tc>
        <w:tc>
          <w:tcPr>
            <w:tcW w:w="1191" w:type="dxa"/>
            <w:vMerge/>
            <w:vAlign w:val="center"/>
            <w:hideMark/>
          </w:tcPr>
          <w:p w14:paraId="40E37BF9" w14:textId="77777777" w:rsidR="00E040FD" w:rsidRDefault="00E040FD">
            <w:pPr>
              <w:spacing w:after="0" w:line="240" w:lineRule="auto"/>
              <w:rPr>
                <w:rFonts w:ascii="Times New Roman" w:eastAsia="Times New Roman" w:hAnsi="Times New Roman" w:cs="Times New Roman"/>
                <w:b/>
                <w:noProof/>
                <w:sz w:val="18"/>
              </w:rPr>
            </w:pPr>
          </w:p>
        </w:tc>
        <w:tc>
          <w:tcPr>
            <w:tcW w:w="1060" w:type="dxa"/>
            <w:vMerge/>
            <w:vAlign w:val="center"/>
            <w:hideMark/>
          </w:tcPr>
          <w:p w14:paraId="7217D83F" w14:textId="40991F61" w:rsidR="00E040FD" w:rsidRDefault="00E040FD">
            <w:pPr>
              <w:spacing w:after="0" w:line="240" w:lineRule="auto"/>
              <w:jc w:val="center"/>
              <w:rPr>
                <w:rFonts w:ascii="Times New Roman" w:eastAsia="Times New Roman" w:hAnsi="Times New Roman" w:cs="Times New Roman"/>
                <w:b/>
                <w:noProof/>
                <w:sz w:val="18"/>
              </w:rPr>
            </w:pPr>
          </w:p>
        </w:tc>
        <w:tc>
          <w:tcPr>
            <w:tcW w:w="1588" w:type="dxa"/>
            <w:vMerge/>
            <w:vAlign w:val="center"/>
            <w:hideMark/>
          </w:tcPr>
          <w:p w14:paraId="17CFCC18" w14:textId="77777777" w:rsidR="00E040FD" w:rsidRDefault="00E040FD">
            <w:pPr>
              <w:spacing w:after="0" w:line="240" w:lineRule="auto"/>
              <w:rPr>
                <w:rFonts w:ascii="Times New Roman" w:eastAsia="Times New Roman" w:hAnsi="Times New Roman" w:cs="Times New Roman"/>
                <w:b/>
                <w:noProof/>
                <w:sz w:val="18"/>
              </w:rPr>
            </w:pPr>
          </w:p>
        </w:tc>
        <w:tc>
          <w:tcPr>
            <w:tcW w:w="1193" w:type="dxa"/>
            <w:vMerge/>
            <w:vAlign w:val="center"/>
            <w:hideMark/>
          </w:tcPr>
          <w:p w14:paraId="19D57B14" w14:textId="77777777" w:rsidR="00E040FD" w:rsidRDefault="00E040FD">
            <w:pPr>
              <w:spacing w:after="0" w:line="240" w:lineRule="auto"/>
              <w:rPr>
                <w:rFonts w:ascii="Times New Roman" w:eastAsia="Times New Roman" w:hAnsi="Times New Roman" w:cs="Times New Roman"/>
                <w:b/>
                <w:noProof/>
                <w:sz w:val="18"/>
              </w:rPr>
            </w:pPr>
          </w:p>
        </w:tc>
        <w:tc>
          <w:tcPr>
            <w:tcW w:w="930" w:type="dxa"/>
            <w:shd w:val="clear" w:color="auto" w:fill="B4C6E7"/>
            <w:vAlign w:val="center"/>
            <w:hideMark/>
          </w:tcPr>
          <w:p w14:paraId="2DDF773F" w14:textId="77777777" w:rsidR="00E040FD" w:rsidRDefault="00740D64">
            <w:pPr>
              <w:pStyle w:val="P68B1DB1-Normal16"/>
              <w:spacing w:after="0" w:line="240" w:lineRule="auto"/>
              <w:jc w:val="center"/>
              <w:rPr>
                <w:rFonts w:eastAsia="Times New Roman" w:cs="Times New Roman"/>
                <w:b/>
                <w:noProof/>
              </w:rPr>
            </w:pPr>
            <w:r>
              <w:rPr>
                <w:b/>
                <w:noProof/>
              </w:rPr>
              <w:t>Enhet för åtgärd</w:t>
            </w:r>
            <w:r>
              <w:rPr>
                <w:noProof/>
              </w:rPr>
              <w:t> </w:t>
            </w:r>
          </w:p>
        </w:tc>
        <w:tc>
          <w:tcPr>
            <w:tcW w:w="1225" w:type="dxa"/>
            <w:shd w:val="clear" w:color="auto" w:fill="B4C6E7"/>
            <w:vAlign w:val="center"/>
            <w:hideMark/>
          </w:tcPr>
          <w:p w14:paraId="70EE8293" w14:textId="77777777" w:rsidR="00E040FD" w:rsidRDefault="00740D64">
            <w:pPr>
              <w:pStyle w:val="P68B1DB1-Normal16"/>
              <w:spacing w:after="0" w:line="240" w:lineRule="auto"/>
              <w:jc w:val="center"/>
              <w:rPr>
                <w:rFonts w:eastAsia="Times New Roman" w:cs="Times New Roman"/>
                <w:b/>
                <w:noProof/>
              </w:rPr>
            </w:pPr>
            <w:r>
              <w:rPr>
                <w:b/>
                <w:noProof/>
              </w:rPr>
              <w:t>Baslinjen</w:t>
            </w:r>
            <w:r>
              <w:rPr>
                <w:noProof/>
              </w:rPr>
              <w:t> </w:t>
            </w:r>
          </w:p>
        </w:tc>
        <w:tc>
          <w:tcPr>
            <w:tcW w:w="671" w:type="dxa"/>
            <w:shd w:val="clear" w:color="auto" w:fill="B4C6E7"/>
            <w:vAlign w:val="center"/>
            <w:hideMark/>
          </w:tcPr>
          <w:p w14:paraId="091447AD" w14:textId="77777777" w:rsidR="00E040FD" w:rsidRDefault="00740D64">
            <w:pPr>
              <w:pStyle w:val="P68B1DB1-Normal16"/>
              <w:spacing w:after="0" w:line="240" w:lineRule="auto"/>
              <w:jc w:val="center"/>
              <w:rPr>
                <w:rFonts w:eastAsia="Times New Roman" w:cs="Times New Roman"/>
                <w:b/>
                <w:noProof/>
              </w:rPr>
            </w:pPr>
            <w:r>
              <w:rPr>
                <w:b/>
                <w:noProof/>
              </w:rPr>
              <w:t>Mål</w:t>
            </w:r>
            <w:r>
              <w:rPr>
                <w:noProof/>
              </w:rPr>
              <w:t> </w:t>
            </w:r>
          </w:p>
        </w:tc>
        <w:tc>
          <w:tcPr>
            <w:tcW w:w="539" w:type="dxa"/>
            <w:shd w:val="clear" w:color="auto" w:fill="B4C6E7"/>
            <w:vAlign w:val="center"/>
            <w:hideMark/>
          </w:tcPr>
          <w:p w14:paraId="6A0E7E81" w14:textId="77777777" w:rsidR="00E040FD" w:rsidRDefault="00740D64">
            <w:pPr>
              <w:pStyle w:val="P68B1DB1-Normal16"/>
              <w:spacing w:after="0" w:line="240" w:lineRule="auto"/>
              <w:jc w:val="center"/>
              <w:rPr>
                <w:rFonts w:eastAsia="Times New Roman" w:cs="Times New Roman"/>
                <w:b/>
                <w:noProof/>
              </w:rPr>
            </w:pPr>
            <w:r>
              <w:rPr>
                <w:b/>
                <w:noProof/>
              </w:rPr>
              <w:t>Q</w:t>
            </w:r>
            <w:r>
              <w:rPr>
                <w:noProof/>
              </w:rPr>
              <w:t> </w:t>
            </w:r>
          </w:p>
        </w:tc>
        <w:tc>
          <w:tcPr>
            <w:tcW w:w="672" w:type="dxa"/>
            <w:shd w:val="clear" w:color="auto" w:fill="B4C6E7"/>
            <w:vAlign w:val="center"/>
            <w:hideMark/>
          </w:tcPr>
          <w:p w14:paraId="4917FFB7" w14:textId="77777777" w:rsidR="00E040FD" w:rsidRDefault="00740D64">
            <w:pPr>
              <w:pStyle w:val="P68B1DB1-Normal16"/>
              <w:spacing w:after="0" w:line="240" w:lineRule="auto"/>
              <w:jc w:val="center"/>
              <w:rPr>
                <w:rFonts w:eastAsia="Times New Roman" w:cs="Times New Roman"/>
                <w:b/>
                <w:noProof/>
              </w:rPr>
            </w:pPr>
            <w:r>
              <w:rPr>
                <w:b/>
                <w:noProof/>
              </w:rPr>
              <w:t>Året</w:t>
            </w:r>
            <w:r>
              <w:rPr>
                <w:noProof/>
              </w:rPr>
              <w:t> </w:t>
            </w:r>
          </w:p>
        </w:tc>
        <w:tc>
          <w:tcPr>
            <w:tcW w:w="3756" w:type="dxa"/>
            <w:vMerge/>
            <w:vAlign w:val="center"/>
            <w:hideMark/>
          </w:tcPr>
          <w:p w14:paraId="38B9FC0D" w14:textId="77777777" w:rsidR="00E040FD" w:rsidRDefault="00E040FD">
            <w:pPr>
              <w:spacing w:after="0" w:line="240" w:lineRule="auto"/>
              <w:rPr>
                <w:rFonts w:ascii="Times New Roman" w:eastAsia="Times New Roman" w:hAnsi="Times New Roman" w:cs="Times New Roman"/>
                <w:b/>
                <w:noProof/>
                <w:sz w:val="18"/>
              </w:rPr>
            </w:pPr>
          </w:p>
        </w:tc>
      </w:tr>
      <w:tr w:rsidR="00E040FD" w14:paraId="69100ED4" w14:textId="77777777">
        <w:trPr>
          <w:trHeight w:val="1480"/>
        </w:trPr>
        <w:tc>
          <w:tcPr>
            <w:tcW w:w="1067" w:type="dxa"/>
            <w:shd w:val="clear" w:color="auto" w:fill="C5EFCE"/>
            <w:vAlign w:val="center"/>
            <w:hideMark/>
          </w:tcPr>
          <w:p w14:paraId="7FFFB0EB" w14:textId="77777777" w:rsidR="00E040FD" w:rsidRDefault="00740D64">
            <w:pPr>
              <w:pStyle w:val="P68B1DB1-Normal7"/>
              <w:spacing w:after="0" w:line="240" w:lineRule="auto"/>
              <w:jc w:val="center"/>
              <w:rPr>
                <w:rFonts w:eastAsia="Times New Roman" w:cs="Calibri"/>
                <w:noProof/>
              </w:rPr>
            </w:pPr>
            <w:r>
              <w:rPr>
                <w:noProof/>
              </w:rPr>
              <w:t>4.1</w:t>
            </w:r>
          </w:p>
        </w:tc>
        <w:tc>
          <w:tcPr>
            <w:tcW w:w="1191" w:type="dxa"/>
            <w:shd w:val="clear" w:color="auto" w:fill="C4EFCE"/>
            <w:vAlign w:val="center"/>
            <w:hideMark/>
          </w:tcPr>
          <w:p w14:paraId="0F332CE6" w14:textId="77777777" w:rsidR="00E040FD" w:rsidRDefault="00740D6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394E1B0B" w14:textId="77777777" w:rsidR="00E040FD" w:rsidRDefault="00740D64">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04704446" w14:textId="77777777" w:rsidR="00E040FD" w:rsidRDefault="00740D64">
            <w:pPr>
              <w:pStyle w:val="P68B1DB1-Normal8"/>
              <w:spacing w:after="0" w:line="240" w:lineRule="auto"/>
              <w:jc w:val="center"/>
              <w:rPr>
                <w:rFonts w:eastAsia="Times New Roman" w:cs="Calibri"/>
                <w:noProof/>
              </w:rPr>
            </w:pPr>
            <w:r>
              <w:rPr>
                <w:noProof/>
              </w:rPr>
              <w:t>Tekniska specifikationer för nätverket av kulturanläggningar</w:t>
            </w:r>
          </w:p>
        </w:tc>
        <w:tc>
          <w:tcPr>
            <w:tcW w:w="1193" w:type="dxa"/>
            <w:shd w:val="clear" w:color="auto" w:fill="C4EFCE"/>
            <w:vAlign w:val="center"/>
            <w:hideMark/>
          </w:tcPr>
          <w:p w14:paraId="61F7EBA6" w14:textId="77777777" w:rsidR="00E040FD" w:rsidRDefault="00740D64">
            <w:pPr>
              <w:pStyle w:val="P68B1DB1-Normal8"/>
              <w:spacing w:after="0" w:line="240" w:lineRule="auto"/>
              <w:jc w:val="center"/>
              <w:rPr>
                <w:rFonts w:eastAsia="Times New Roman" w:cs="Calibri"/>
                <w:noProof/>
              </w:rPr>
            </w:pPr>
            <w:r>
              <w:rPr>
                <w:noProof/>
              </w:rPr>
              <w:t>Rapport om tekniska specifikationer för nätverket av kulturanläggningar</w:t>
            </w:r>
          </w:p>
        </w:tc>
        <w:tc>
          <w:tcPr>
            <w:tcW w:w="930" w:type="dxa"/>
            <w:shd w:val="clear" w:color="auto" w:fill="C4EFCE"/>
            <w:vAlign w:val="center"/>
            <w:hideMark/>
          </w:tcPr>
          <w:p w14:paraId="7F181E4F" w14:textId="77777777" w:rsidR="00E040FD" w:rsidRDefault="00740D64">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5B4FC930" w14:textId="77777777" w:rsidR="00E040FD" w:rsidRDefault="00740D6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1EE62675" w14:textId="77777777" w:rsidR="00E040FD" w:rsidRDefault="00740D64">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7E5E1F2E" w14:textId="77777777" w:rsidR="00E040FD" w:rsidRDefault="00740D64">
            <w:pPr>
              <w:pStyle w:val="P68B1DB1-Normal8"/>
              <w:spacing w:after="0" w:line="240" w:lineRule="auto"/>
              <w:jc w:val="center"/>
              <w:rPr>
                <w:rFonts w:eastAsia="Times New Roman" w:cs="Calibri"/>
                <w:noProof/>
              </w:rPr>
            </w:pPr>
            <w:r>
              <w:rPr>
                <w:noProof/>
              </w:rPr>
              <w:t>KVARTAL 2 </w:t>
            </w:r>
          </w:p>
        </w:tc>
        <w:tc>
          <w:tcPr>
            <w:tcW w:w="672" w:type="dxa"/>
            <w:shd w:val="clear" w:color="auto" w:fill="C4EFCE"/>
            <w:vAlign w:val="center"/>
            <w:hideMark/>
          </w:tcPr>
          <w:p w14:paraId="7BDF2F41" w14:textId="77777777" w:rsidR="00E040FD" w:rsidRDefault="00740D64">
            <w:pPr>
              <w:pStyle w:val="P68B1DB1-Normal8"/>
              <w:spacing w:after="0" w:line="240" w:lineRule="auto"/>
              <w:jc w:val="center"/>
              <w:rPr>
                <w:rFonts w:eastAsia="Times New Roman" w:cs="Calibri"/>
                <w:noProof/>
              </w:rPr>
            </w:pPr>
            <w:r>
              <w:rPr>
                <w:noProof/>
              </w:rPr>
              <w:t>2022 </w:t>
            </w:r>
          </w:p>
        </w:tc>
        <w:tc>
          <w:tcPr>
            <w:tcW w:w="3756" w:type="dxa"/>
            <w:shd w:val="clear" w:color="auto" w:fill="C4EFCE"/>
            <w:noWrap/>
            <w:vAlign w:val="center"/>
            <w:hideMark/>
          </w:tcPr>
          <w:p w14:paraId="3C24C115" w14:textId="77777777" w:rsidR="00E040FD" w:rsidRDefault="00740D64">
            <w:pPr>
              <w:pStyle w:val="P68B1DB1-Normal8"/>
              <w:spacing w:after="0" w:line="240" w:lineRule="auto"/>
              <w:jc w:val="both"/>
              <w:rPr>
                <w:rFonts w:eastAsia="Times New Roman" w:cs="Calibri"/>
                <w:noProof/>
              </w:rPr>
            </w:pPr>
            <w:r>
              <w:rPr>
                <w:noProof/>
              </w:rPr>
              <w:t>Detaljerad definition av tekniska specifikationer för nätverket av kulturanläggningar </w:t>
            </w:r>
          </w:p>
        </w:tc>
      </w:tr>
      <w:tr w:rsidR="00E040FD" w14:paraId="6A18F214" w14:textId="77777777">
        <w:trPr>
          <w:trHeight w:val="1060"/>
        </w:trPr>
        <w:tc>
          <w:tcPr>
            <w:tcW w:w="1067" w:type="dxa"/>
            <w:shd w:val="clear" w:color="auto" w:fill="C5EFCE"/>
            <w:vAlign w:val="center"/>
            <w:hideMark/>
          </w:tcPr>
          <w:p w14:paraId="2815D0CE" w14:textId="77777777" w:rsidR="00E040FD" w:rsidRDefault="00740D64">
            <w:pPr>
              <w:pStyle w:val="P68B1DB1-Normal7"/>
              <w:spacing w:after="0" w:line="240" w:lineRule="auto"/>
              <w:jc w:val="center"/>
              <w:rPr>
                <w:rFonts w:eastAsia="Times New Roman" w:cs="Calibri"/>
                <w:noProof/>
              </w:rPr>
            </w:pPr>
            <w:r>
              <w:rPr>
                <w:noProof/>
              </w:rPr>
              <w:t>4.2</w:t>
            </w:r>
          </w:p>
        </w:tc>
        <w:tc>
          <w:tcPr>
            <w:tcW w:w="1191" w:type="dxa"/>
            <w:shd w:val="clear" w:color="auto" w:fill="C4EFCE"/>
            <w:vAlign w:val="center"/>
            <w:hideMark/>
          </w:tcPr>
          <w:p w14:paraId="67F836FD" w14:textId="77777777" w:rsidR="00E040FD" w:rsidRDefault="00740D6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3862850B" w14:textId="77777777" w:rsidR="00E040FD" w:rsidRDefault="00740D64">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3696B783" w14:textId="77777777" w:rsidR="00E040FD" w:rsidRDefault="00740D64">
            <w:pPr>
              <w:pStyle w:val="P68B1DB1-Normal8"/>
              <w:spacing w:after="0" w:line="240" w:lineRule="auto"/>
              <w:jc w:val="center"/>
              <w:rPr>
                <w:rFonts w:eastAsia="Times New Roman" w:cs="Calibri"/>
                <w:noProof/>
              </w:rPr>
            </w:pPr>
            <w:r>
              <w:rPr>
                <w:noProof/>
              </w:rPr>
              <w:t>Ekonomiskt stöd till bokhandlarnas digitala omställning</w:t>
            </w:r>
          </w:p>
        </w:tc>
        <w:tc>
          <w:tcPr>
            <w:tcW w:w="1193" w:type="dxa"/>
            <w:shd w:val="clear" w:color="auto" w:fill="C4EFCE"/>
            <w:vAlign w:val="center"/>
            <w:hideMark/>
          </w:tcPr>
          <w:p w14:paraId="4F0ADF20" w14:textId="77777777" w:rsidR="00E040FD" w:rsidRDefault="00740D64">
            <w:pPr>
              <w:pStyle w:val="P68B1DB1-Normal8"/>
              <w:spacing w:after="0" w:line="240" w:lineRule="auto"/>
              <w:jc w:val="center"/>
              <w:rPr>
                <w:rFonts w:eastAsia="Times New Roman" w:cs="Calibri"/>
                <w:noProof/>
              </w:rPr>
            </w:pPr>
            <w:r>
              <w:rPr>
                <w:noProof/>
              </w:rPr>
              <w:t> </w:t>
            </w:r>
          </w:p>
        </w:tc>
        <w:tc>
          <w:tcPr>
            <w:tcW w:w="930" w:type="dxa"/>
            <w:shd w:val="clear" w:color="auto" w:fill="C4EFCE"/>
            <w:vAlign w:val="center"/>
            <w:hideMark/>
          </w:tcPr>
          <w:p w14:paraId="6F1EB3DA" w14:textId="77777777" w:rsidR="00E040FD" w:rsidRDefault="00740D64">
            <w:pPr>
              <w:pStyle w:val="P68B1DB1-Normal8"/>
              <w:spacing w:after="0" w:line="240" w:lineRule="auto"/>
              <w:jc w:val="center"/>
              <w:rPr>
                <w:rFonts w:eastAsia="Times New Roman" w:cs="Calibri"/>
                <w:noProof/>
              </w:rPr>
            </w:pPr>
            <w:r>
              <w:rPr>
                <w:noProof/>
              </w:rPr>
              <w:t>Antal</w:t>
            </w:r>
          </w:p>
        </w:tc>
        <w:tc>
          <w:tcPr>
            <w:tcW w:w="1225" w:type="dxa"/>
            <w:shd w:val="clear" w:color="auto" w:fill="C4EFCE"/>
            <w:vAlign w:val="center"/>
            <w:hideMark/>
          </w:tcPr>
          <w:p w14:paraId="07E69B40" w14:textId="77777777" w:rsidR="00E040FD" w:rsidRDefault="00740D64">
            <w:pPr>
              <w:pStyle w:val="P68B1DB1-Normal8"/>
              <w:spacing w:after="0" w:line="240" w:lineRule="auto"/>
              <w:jc w:val="center"/>
              <w:rPr>
                <w:rFonts w:eastAsia="Times New Roman" w:cs="Calibri"/>
                <w:noProof/>
              </w:rPr>
            </w:pPr>
            <w:r>
              <w:rPr>
                <w:noProof/>
              </w:rPr>
              <w:t>0 </w:t>
            </w:r>
          </w:p>
        </w:tc>
        <w:tc>
          <w:tcPr>
            <w:tcW w:w="671" w:type="dxa"/>
            <w:shd w:val="clear" w:color="auto" w:fill="C4EFCE"/>
            <w:vAlign w:val="center"/>
            <w:hideMark/>
          </w:tcPr>
          <w:p w14:paraId="34DE8CD7" w14:textId="77777777" w:rsidR="00E040FD" w:rsidRDefault="00740D64">
            <w:pPr>
              <w:pStyle w:val="P68B1DB1-Normal8"/>
              <w:spacing w:after="0" w:line="240" w:lineRule="auto"/>
              <w:jc w:val="center"/>
              <w:rPr>
                <w:rFonts w:eastAsia="Times New Roman" w:cs="Calibri"/>
                <w:noProof/>
              </w:rPr>
            </w:pPr>
            <w:r>
              <w:rPr>
                <w:noProof/>
              </w:rPr>
              <w:t>200 </w:t>
            </w:r>
          </w:p>
        </w:tc>
        <w:tc>
          <w:tcPr>
            <w:tcW w:w="539" w:type="dxa"/>
            <w:shd w:val="clear" w:color="auto" w:fill="C4EFCE"/>
            <w:vAlign w:val="center"/>
            <w:hideMark/>
          </w:tcPr>
          <w:p w14:paraId="58CDDC7C" w14:textId="77777777" w:rsidR="00E040FD" w:rsidRDefault="00740D64">
            <w:pPr>
              <w:pStyle w:val="P68B1DB1-Normal8"/>
              <w:spacing w:after="0" w:line="240" w:lineRule="auto"/>
              <w:jc w:val="center"/>
              <w:rPr>
                <w:rFonts w:eastAsia="Times New Roman" w:cs="Calibri"/>
                <w:noProof/>
              </w:rPr>
            </w:pPr>
            <w:r>
              <w:rPr>
                <w:noProof/>
              </w:rPr>
              <w:t>KVARTAL 4 </w:t>
            </w:r>
          </w:p>
        </w:tc>
        <w:tc>
          <w:tcPr>
            <w:tcW w:w="672" w:type="dxa"/>
            <w:shd w:val="clear" w:color="auto" w:fill="C4EFCE"/>
            <w:vAlign w:val="center"/>
            <w:hideMark/>
          </w:tcPr>
          <w:p w14:paraId="6C906CB7" w14:textId="77777777" w:rsidR="00E040FD" w:rsidRDefault="00740D64">
            <w:pPr>
              <w:pStyle w:val="P68B1DB1-Normal8"/>
              <w:spacing w:after="0" w:line="240" w:lineRule="auto"/>
              <w:jc w:val="center"/>
              <w:rPr>
                <w:rFonts w:eastAsia="Times New Roman" w:cs="Calibri"/>
                <w:noProof/>
              </w:rPr>
            </w:pPr>
            <w:r>
              <w:rPr>
                <w:noProof/>
              </w:rPr>
              <w:t>2025 </w:t>
            </w:r>
          </w:p>
        </w:tc>
        <w:tc>
          <w:tcPr>
            <w:tcW w:w="3756" w:type="dxa"/>
            <w:shd w:val="clear" w:color="auto" w:fill="C4EFCE"/>
            <w:vAlign w:val="center"/>
            <w:hideMark/>
          </w:tcPr>
          <w:p w14:paraId="7BA7A95B" w14:textId="5C3C166A" w:rsidR="00E040FD" w:rsidRDefault="00740D64">
            <w:pPr>
              <w:pStyle w:val="P68B1DB1-Normal8"/>
              <w:spacing w:after="0" w:line="240" w:lineRule="auto"/>
              <w:jc w:val="both"/>
              <w:rPr>
                <w:rFonts w:eastAsia="Times New Roman" w:cs="Calibri"/>
                <w:noProof/>
              </w:rPr>
            </w:pPr>
            <w:r>
              <w:rPr>
                <w:noProof/>
              </w:rPr>
              <w:t>Antalet bokhandlare fick ekonomiskt stöd till den digitala omställningen av bokhandlare och subventionerade 60 % av kostnaden för en korg av teknisk utrustning och tjänster per bokhandel (t.ex. skanner för böcker, Wi-fi och VPN-nätverk, webbplats för bokhandel, integrerat redovisningssystem osv.).</w:t>
            </w:r>
          </w:p>
        </w:tc>
      </w:tr>
      <w:tr w:rsidR="00E040FD" w14:paraId="26C8893F" w14:textId="77777777">
        <w:trPr>
          <w:trHeight w:val="290"/>
        </w:trPr>
        <w:tc>
          <w:tcPr>
            <w:tcW w:w="1067" w:type="dxa"/>
            <w:shd w:val="clear" w:color="auto" w:fill="C5EFCE"/>
            <w:vAlign w:val="center"/>
            <w:hideMark/>
          </w:tcPr>
          <w:p w14:paraId="5A0BEA5E" w14:textId="77777777" w:rsidR="00E040FD" w:rsidRDefault="00740D64">
            <w:pPr>
              <w:pStyle w:val="P68B1DB1-Normal7"/>
              <w:spacing w:after="0" w:line="240" w:lineRule="auto"/>
              <w:jc w:val="center"/>
              <w:rPr>
                <w:rFonts w:eastAsia="Times New Roman" w:cs="Calibri"/>
                <w:noProof/>
              </w:rPr>
            </w:pPr>
            <w:r>
              <w:rPr>
                <w:noProof/>
              </w:rPr>
              <w:t>4.3</w:t>
            </w:r>
          </w:p>
        </w:tc>
        <w:tc>
          <w:tcPr>
            <w:tcW w:w="1191" w:type="dxa"/>
            <w:shd w:val="clear" w:color="auto" w:fill="C4EFCE"/>
            <w:vAlign w:val="center"/>
            <w:hideMark/>
          </w:tcPr>
          <w:p w14:paraId="162AF0B7" w14:textId="77777777" w:rsidR="00E040FD" w:rsidRDefault="00740D6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08616AC9" w14:textId="77777777" w:rsidR="00E040FD" w:rsidRDefault="00740D64">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1C4A4D61" w14:textId="77777777" w:rsidR="00E040FD" w:rsidRDefault="00740D64">
            <w:pPr>
              <w:pStyle w:val="P68B1DB1-Normal8"/>
              <w:spacing w:after="0" w:line="240" w:lineRule="auto"/>
              <w:jc w:val="center"/>
              <w:rPr>
                <w:rFonts w:eastAsia="Times New Roman" w:cs="Calibri"/>
                <w:noProof/>
              </w:rPr>
            </w:pPr>
            <w:r>
              <w:rPr>
                <w:noProof/>
              </w:rPr>
              <w:t xml:space="preserve">Digitalisering och virtualisering av offentliga samlingar </w:t>
            </w:r>
          </w:p>
        </w:tc>
        <w:tc>
          <w:tcPr>
            <w:tcW w:w="1193" w:type="dxa"/>
            <w:shd w:val="clear" w:color="auto" w:fill="C4EFCE"/>
            <w:vAlign w:val="center"/>
            <w:hideMark/>
          </w:tcPr>
          <w:p w14:paraId="69874A18" w14:textId="77777777" w:rsidR="00E040FD" w:rsidRDefault="00740D64">
            <w:pPr>
              <w:pStyle w:val="P68B1DB1-Normal8"/>
              <w:spacing w:after="0" w:line="240" w:lineRule="auto"/>
              <w:jc w:val="center"/>
              <w:rPr>
                <w:rFonts w:eastAsia="Times New Roman" w:cs="Calibri"/>
                <w:noProof/>
              </w:rPr>
            </w:pPr>
            <w:r>
              <w:rPr>
                <w:noProof/>
              </w:rPr>
              <w:t>Digitalisering och virtualisering av offentliga samlingar</w:t>
            </w:r>
          </w:p>
        </w:tc>
        <w:tc>
          <w:tcPr>
            <w:tcW w:w="930" w:type="dxa"/>
            <w:shd w:val="clear" w:color="auto" w:fill="C4EFCE"/>
            <w:vAlign w:val="center"/>
            <w:hideMark/>
          </w:tcPr>
          <w:p w14:paraId="06325BFB" w14:textId="77777777" w:rsidR="00E040FD" w:rsidRDefault="00740D64">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54FF56D1" w14:textId="77777777" w:rsidR="00E040FD" w:rsidRDefault="00740D6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62B27753" w14:textId="77777777" w:rsidR="00E040FD" w:rsidRDefault="00740D64">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73989E77" w14:textId="77777777" w:rsidR="00E040FD" w:rsidRDefault="00740D64">
            <w:pPr>
              <w:pStyle w:val="P68B1DB1-Normal8"/>
              <w:spacing w:after="0" w:line="240" w:lineRule="auto"/>
              <w:jc w:val="center"/>
              <w:rPr>
                <w:rFonts w:eastAsia="Times New Roman" w:cs="Calibri"/>
                <w:noProof/>
              </w:rPr>
            </w:pPr>
            <w:r>
              <w:rPr>
                <w:noProof/>
              </w:rPr>
              <w:t>KVARTAL 4 </w:t>
            </w:r>
          </w:p>
        </w:tc>
        <w:tc>
          <w:tcPr>
            <w:tcW w:w="672" w:type="dxa"/>
            <w:shd w:val="clear" w:color="auto" w:fill="C4EFCE"/>
            <w:vAlign w:val="center"/>
            <w:hideMark/>
          </w:tcPr>
          <w:p w14:paraId="410429FA" w14:textId="77777777" w:rsidR="00E040FD" w:rsidRDefault="00740D64">
            <w:pPr>
              <w:pStyle w:val="P68B1DB1-Normal8"/>
              <w:spacing w:after="0" w:line="240" w:lineRule="auto"/>
              <w:jc w:val="center"/>
              <w:rPr>
                <w:rFonts w:eastAsia="Times New Roman" w:cs="Calibri"/>
                <w:noProof/>
              </w:rPr>
            </w:pPr>
            <w:r>
              <w:rPr>
                <w:noProof/>
              </w:rPr>
              <w:t>2025 </w:t>
            </w:r>
          </w:p>
        </w:tc>
        <w:tc>
          <w:tcPr>
            <w:tcW w:w="3756" w:type="dxa"/>
            <w:shd w:val="clear" w:color="auto" w:fill="C4EFCE"/>
            <w:noWrap/>
            <w:vAlign w:val="center"/>
            <w:hideMark/>
          </w:tcPr>
          <w:p w14:paraId="61F98F7A" w14:textId="77777777" w:rsidR="00E040FD" w:rsidRDefault="00740D64">
            <w:pPr>
              <w:pStyle w:val="P68B1DB1-Normal8"/>
              <w:spacing w:after="0" w:line="240" w:lineRule="auto"/>
              <w:jc w:val="both"/>
              <w:rPr>
                <w:rFonts w:eastAsia="Times New Roman" w:cs="Calibri"/>
                <w:noProof/>
              </w:rPr>
            </w:pPr>
            <w:r>
              <w:rPr>
                <w:noProof/>
              </w:rPr>
              <w:t xml:space="preserve">Digitalisering och virtualisering av samlingarna </w:t>
            </w:r>
            <w:bookmarkStart w:id="7" w:name="_Int_JLJ2Ng8K"/>
            <w:r>
              <w:rPr>
                <w:noProof/>
              </w:rPr>
              <w:t>av</w:t>
            </w:r>
            <w:bookmarkEnd w:id="7"/>
            <w:r>
              <w:rPr>
                <w:noProof/>
              </w:rPr>
              <w:t xml:space="preserve"> generaldirektoratet för böcker, arkiv och bibliotek, </w:t>
            </w:r>
          </w:p>
          <w:p w14:paraId="4D6FD7CE" w14:textId="77777777" w:rsidR="00E040FD" w:rsidRDefault="00740D64">
            <w:pPr>
              <w:pStyle w:val="P68B1DB1-Normal8"/>
              <w:spacing w:after="0" w:line="240" w:lineRule="auto"/>
              <w:jc w:val="both"/>
              <w:rPr>
                <w:rFonts w:eastAsia="Times New Roman" w:cs="Calibri"/>
                <w:noProof/>
              </w:rPr>
            </w:pPr>
            <w:r>
              <w:rPr>
                <w:noProof/>
              </w:rPr>
              <w:t xml:space="preserve">det portugisiska nationalbiblioteket, </w:t>
            </w:r>
          </w:p>
          <w:p w14:paraId="04887855" w14:textId="77777777" w:rsidR="00E040FD" w:rsidRDefault="00740D64">
            <w:pPr>
              <w:pStyle w:val="P68B1DB1-Normal8"/>
              <w:spacing w:after="0" w:line="240" w:lineRule="auto"/>
              <w:jc w:val="both"/>
              <w:rPr>
                <w:rFonts w:eastAsia="Times New Roman" w:cs="Calibri"/>
                <w:noProof/>
              </w:rPr>
            </w:pPr>
            <w:r>
              <w:rPr>
                <w:noProof/>
              </w:rPr>
              <w:t>det offentliga biblioteket i Évora, </w:t>
            </w:r>
          </w:p>
          <w:p w14:paraId="125C26EB" w14:textId="77777777" w:rsidR="00E040FD" w:rsidRDefault="00740D64">
            <w:pPr>
              <w:pStyle w:val="P68B1DB1-Normal8"/>
              <w:spacing w:after="0" w:line="240" w:lineRule="auto"/>
              <w:jc w:val="both"/>
              <w:rPr>
                <w:rFonts w:eastAsia="Times New Roman" w:cs="Calibri"/>
                <w:noProof/>
              </w:rPr>
            </w:pPr>
            <w:r>
              <w:rPr>
                <w:noProof/>
              </w:rPr>
              <w:t>Cinemateca och museer (under ledning av DGPC och de regionala direktoraten för kultur)</w:t>
            </w:r>
          </w:p>
          <w:p w14:paraId="4C43F75A" w14:textId="77777777" w:rsidR="00E040FD" w:rsidRDefault="00740D64">
            <w:pPr>
              <w:pStyle w:val="P68B1DB1-Normal8"/>
              <w:spacing w:after="0" w:line="240" w:lineRule="auto"/>
              <w:jc w:val="both"/>
              <w:rPr>
                <w:rFonts w:eastAsia="Times New Roman" w:cs="Calibri"/>
                <w:noProof/>
              </w:rPr>
            </w:pPr>
            <w:r>
              <w:rPr>
                <w:noProof/>
              </w:rPr>
              <w:t xml:space="preserve">Offentliga bibliotek (20 000 000 bilder) </w:t>
            </w:r>
          </w:p>
          <w:p w14:paraId="3A6A5CC5" w14:textId="77777777" w:rsidR="00E040FD" w:rsidRDefault="00740D64">
            <w:pPr>
              <w:pStyle w:val="P68B1DB1-Normal8"/>
              <w:spacing w:after="0" w:line="240" w:lineRule="auto"/>
              <w:jc w:val="both"/>
              <w:rPr>
                <w:rFonts w:eastAsia="Times New Roman" w:cs="Calibri"/>
                <w:noProof/>
              </w:rPr>
            </w:pPr>
            <w:r>
              <w:rPr>
                <w:noProof/>
              </w:rPr>
              <w:t xml:space="preserve">Nationella arkiv (19 500 000 dokument) </w:t>
            </w:r>
          </w:p>
          <w:p w14:paraId="0C26521C" w14:textId="0DC785F2" w:rsidR="00E040FD" w:rsidRDefault="00740D64">
            <w:pPr>
              <w:pStyle w:val="P68B1DB1-Normal8"/>
              <w:spacing w:after="0" w:line="240" w:lineRule="auto"/>
              <w:jc w:val="both"/>
              <w:rPr>
                <w:rFonts w:eastAsia="Times New Roman" w:cs="Calibri"/>
                <w:noProof/>
              </w:rPr>
            </w:pPr>
            <w:r>
              <w:rPr>
                <w:noProof/>
              </w:rPr>
              <w:t>Offentliga museer (59 500 inspelningar)</w:t>
            </w:r>
          </w:p>
          <w:p w14:paraId="5E5FA37C" w14:textId="77777777" w:rsidR="00E040FD" w:rsidRDefault="00740D64">
            <w:pPr>
              <w:pStyle w:val="P68B1DB1-Normal8"/>
              <w:spacing w:after="0" w:line="240" w:lineRule="auto"/>
              <w:jc w:val="both"/>
              <w:rPr>
                <w:rFonts w:eastAsia="Times New Roman" w:cs="Calibri"/>
                <w:noProof/>
              </w:rPr>
            </w:pPr>
            <w:r>
              <w:rPr>
                <w:noProof/>
              </w:rPr>
              <w:t>Virtuella besök på museer (65 museer)</w:t>
            </w:r>
          </w:p>
          <w:p w14:paraId="4A3AECA6" w14:textId="503848A9" w:rsidR="00E040FD" w:rsidRDefault="00740D64">
            <w:pPr>
              <w:pStyle w:val="P68B1DB1-Normal8"/>
              <w:spacing w:after="0" w:line="240" w:lineRule="auto"/>
              <w:jc w:val="both"/>
              <w:rPr>
                <w:rFonts w:eastAsia="Times New Roman" w:cs="Calibri"/>
                <w:noProof/>
              </w:rPr>
            </w:pPr>
            <w:r>
              <w:rPr>
                <w:noProof/>
              </w:rPr>
              <w:t>Filmklipp (1000 filmer)</w:t>
            </w:r>
          </w:p>
          <w:p w14:paraId="57CB2147" w14:textId="0C2B23D7" w:rsidR="00E040FD" w:rsidRDefault="00740D64">
            <w:pPr>
              <w:pStyle w:val="P68B1DB1-Normal8"/>
              <w:spacing w:after="0" w:line="240" w:lineRule="auto"/>
              <w:jc w:val="both"/>
              <w:rPr>
                <w:rFonts w:eastAsia="Times New Roman" w:cs="Calibri"/>
                <w:noProof/>
              </w:rPr>
            </w:pPr>
            <w:r>
              <w:rPr>
                <w:noProof/>
              </w:rPr>
              <w:t>Arkiv från leverantörer av historiska medie- och televisionstjänster (digitaliserat och tillgängligt för allmänheten, 45 000 timmars videokassettinnehåll)</w:t>
            </w:r>
          </w:p>
        </w:tc>
      </w:tr>
      <w:tr w:rsidR="00E040FD" w14:paraId="0744F11D" w14:textId="77777777">
        <w:trPr>
          <w:trHeight w:val="1690"/>
        </w:trPr>
        <w:tc>
          <w:tcPr>
            <w:tcW w:w="1067" w:type="dxa"/>
            <w:shd w:val="clear" w:color="auto" w:fill="C5EFCE"/>
            <w:vAlign w:val="center"/>
            <w:hideMark/>
          </w:tcPr>
          <w:p w14:paraId="01436334" w14:textId="77777777" w:rsidR="00E040FD" w:rsidRDefault="00740D64">
            <w:pPr>
              <w:pStyle w:val="P68B1DB1-Normal7"/>
              <w:spacing w:after="0" w:line="240" w:lineRule="auto"/>
              <w:jc w:val="center"/>
              <w:rPr>
                <w:rFonts w:eastAsia="Times New Roman" w:cs="Calibri"/>
                <w:noProof/>
              </w:rPr>
            </w:pPr>
            <w:r>
              <w:rPr>
                <w:noProof/>
              </w:rPr>
              <w:t>4.4</w:t>
            </w:r>
          </w:p>
        </w:tc>
        <w:tc>
          <w:tcPr>
            <w:tcW w:w="1191" w:type="dxa"/>
            <w:shd w:val="clear" w:color="auto" w:fill="C4EFCE"/>
            <w:vAlign w:val="center"/>
            <w:hideMark/>
          </w:tcPr>
          <w:p w14:paraId="1141670F" w14:textId="77777777" w:rsidR="00E040FD" w:rsidRDefault="00740D6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151B6187" w14:textId="77777777" w:rsidR="00E040FD" w:rsidRDefault="00740D64">
            <w:pPr>
              <w:pStyle w:val="P68B1DB1-Normal8"/>
              <w:spacing w:after="0" w:line="240" w:lineRule="auto"/>
              <w:jc w:val="center"/>
              <w:rPr>
                <w:rFonts w:eastAsia="Times New Roman" w:cs="Calibri"/>
                <w:noProof/>
              </w:rPr>
            </w:pPr>
            <w:r>
              <w:rPr>
                <w:noProof/>
              </w:rPr>
              <w:t>M</w:t>
            </w:r>
          </w:p>
        </w:tc>
        <w:tc>
          <w:tcPr>
            <w:tcW w:w="1588" w:type="dxa"/>
            <w:shd w:val="clear" w:color="auto" w:fill="C4EFCE"/>
            <w:vAlign w:val="center"/>
            <w:hideMark/>
          </w:tcPr>
          <w:p w14:paraId="56792410" w14:textId="77777777" w:rsidR="00E040FD" w:rsidRDefault="00740D64">
            <w:pPr>
              <w:pStyle w:val="P68B1DB1-Normal8"/>
              <w:spacing w:after="0" w:line="240" w:lineRule="auto"/>
              <w:jc w:val="center"/>
              <w:rPr>
                <w:rFonts w:eastAsia="Times New Roman" w:cs="Calibri"/>
                <w:noProof/>
              </w:rPr>
            </w:pPr>
            <w:r>
              <w:rPr>
                <w:noProof/>
              </w:rPr>
              <w:t>Tillhandahållande av moderniserad teknisk infrastruktur för nätverket av kulturanläggningar </w:t>
            </w:r>
          </w:p>
        </w:tc>
        <w:tc>
          <w:tcPr>
            <w:tcW w:w="1193" w:type="dxa"/>
            <w:shd w:val="clear" w:color="auto" w:fill="C4EFCE"/>
            <w:vAlign w:val="center"/>
            <w:hideMark/>
          </w:tcPr>
          <w:p w14:paraId="00695BDC" w14:textId="77777777" w:rsidR="00E040FD" w:rsidRDefault="00740D64">
            <w:pPr>
              <w:pStyle w:val="P68B1DB1-Normal8"/>
              <w:spacing w:after="0" w:line="240" w:lineRule="auto"/>
              <w:jc w:val="center"/>
              <w:rPr>
                <w:rFonts w:eastAsia="Times New Roman" w:cs="Calibri"/>
                <w:noProof/>
              </w:rPr>
            </w:pPr>
            <w:r>
              <w:rPr>
                <w:noProof/>
              </w:rPr>
              <w:t>Tillhandahållande av moderniserad teknisk infrastruktur för kulturanläggningar</w:t>
            </w:r>
          </w:p>
        </w:tc>
        <w:tc>
          <w:tcPr>
            <w:tcW w:w="930" w:type="dxa"/>
            <w:shd w:val="clear" w:color="auto" w:fill="C4EFCE"/>
            <w:vAlign w:val="center"/>
            <w:hideMark/>
          </w:tcPr>
          <w:p w14:paraId="64F5C137" w14:textId="77777777" w:rsidR="00E040FD" w:rsidRDefault="00740D64">
            <w:pPr>
              <w:pStyle w:val="P68B1DB1-Normal9"/>
              <w:spacing w:after="0" w:line="240" w:lineRule="auto"/>
              <w:rPr>
                <w:rFonts w:eastAsia="Times New Roman" w:cs="Calibri"/>
                <w:noProof/>
              </w:rPr>
            </w:pPr>
            <w:r>
              <w:rPr>
                <w:noProof/>
              </w:rPr>
              <w:t> </w:t>
            </w:r>
          </w:p>
        </w:tc>
        <w:tc>
          <w:tcPr>
            <w:tcW w:w="1225" w:type="dxa"/>
            <w:shd w:val="clear" w:color="auto" w:fill="C4EFCE"/>
            <w:vAlign w:val="center"/>
            <w:hideMark/>
          </w:tcPr>
          <w:p w14:paraId="430240F6" w14:textId="77777777" w:rsidR="00E040FD" w:rsidRDefault="00740D6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4882E765" w14:textId="77777777" w:rsidR="00E040FD" w:rsidRDefault="00740D64">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60F3F936" w14:textId="361C2C84" w:rsidR="00E040FD" w:rsidRDefault="00740D64">
            <w:pPr>
              <w:pStyle w:val="P68B1DB1-Normal8"/>
              <w:spacing w:after="0" w:line="240" w:lineRule="auto"/>
              <w:jc w:val="center"/>
              <w:rPr>
                <w:rFonts w:eastAsia="Times New Roman" w:cs="Calibri"/>
                <w:noProof/>
              </w:rPr>
            </w:pPr>
            <w:r>
              <w:rPr>
                <w:noProof/>
              </w:rPr>
              <w:t>KVARTAL 1 </w:t>
            </w:r>
          </w:p>
        </w:tc>
        <w:tc>
          <w:tcPr>
            <w:tcW w:w="672" w:type="dxa"/>
            <w:shd w:val="clear" w:color="auto" w:fill="C4EFCE"/>
            <w:vAlign w:val="center"/>
            <w:hideMark/>
          </w:tcPr>
          <w:p w14:paraId="0AAC7F90" w14:textId="71E4A3EF" w:rsidR="00E040FD" w:rsidRDefault="00740D64">
            <w:pPr>
              <w:pStyle w:val="P68B1DB1-Normal8"/>
              <w:spacing w:after="0" w:line="240" w:lineRule="auto"/>
              <w:jc w:val="center"/>
              <w:rPr>
                <w:rFonts w:eastAsia="Times New Roman" w:cs="Calibri"/>
                <w:noProof/>
              </w:rPr>
            </w:pPr>
            <w:r>
              <w:rPr>
                <w:noProof/>
              </w:rPr>
              <w:t>2026</w:t>
            </w:r>
          </w:p>
        </w:tc>
        <w:tc>
          <w:tcPr>
            <w:tcW w:w="3756" w:type="dxa"/>
            <w:shd w:val="clear" w:color="auto" w:fill="C4EFCE"/>
            <w:vAlign w:val="center"/>
            <w:hideMark/>
          </w:tcPr>
          <w:p w14:paraId="16A65CDB" w14:textId="5B3C9491" w:rsidR="00E040FD" w:rsidRDefault="00740D64">
            <w:pPr>
              <w:pStyle w:val="P68B1DB1-Normal8"/>
              <w:spacing w:after="0" w:line="240" w:lineRule="auto"/>
              <w:jc w:val="both"/>
              <w:rPr>
                <w:rFonts w:eastAsia="Times New Roman" w:cs="Calibri"/>
                <w:noProof/>
              </w:rPr>
            </w:pPr>
            <w:r>
              <w:rPr>
                <w:noProof/>
              </w:rPr>
              <w:t>Leverans av datorutrustning och integrerade informations- och katalogsystem för 239 offentliga bibliotek. wifi-täckning av 50 museer, palats och monument. inköp av bild- och biografvisningsutrustning för 155 kolteatrar och offentliga centrum för samtida konst.</w:t>
            </w:r>
          </w:p>
        </w:tc>
      </w:tr>
      <w:tr w:rsidR="00E040FD" w14:paraId="20E65D52" w14:textId="77777777">
        <w:trPr>
          <w:trHeight w:val="1124"/>
        </w:trPr>
        <w:tc>
          <w:tcPr>
            <w:tcW w:w="1067" w:type="dxa"/>
            <w:shd w:val="clear" w:color="auto" w:fill="C5EFCE"/>
            <w:vAlign w:val="center"/>
            <w:hideMark/>
          </w:tcPr>
          <w:p w14:paraId="7AE297CF" w14:textId="77777777" w:rsidR="00E040FD" w:rsidRDefault="00740D64">
            <w:pPr>
              <w:pStyle w:val="P68B1DB1-Normal7"/>
              <w:spacing w:after="0" w:line="240" w:lineRule="auto"/>
              <w:jc w:val="center"/>
              <w:rPr>
                <w:rFonts w:eastAsia="Times New Roman" w:cs="Calibri"/>
                <w:noProof/>
              </w:rPr>
            </w:pPr>
            <w:r>
              <w:rPr>
                <w:noProof/>
              </w:rPr>
              <w:t>4.5</w:t>
            </w:r>
          </w:p>
        </w:tc>
        <w:tc>
          <w:tcPr>
            <w:tcW w:w="1191" w:type="dxa"/>
            <w:shd w:val="clear" w:color="auto" w:fill="C4EFCE"/>
            <w:vAlign w:val="center"/>
            <w:hideMark/>
          </w:tcPr>
          <w:p w14:paraId="61E6DBD4" w14:textId="77777777" w:rsidR="00E040FD" w:rsidRDefault="00740D6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708C4920" w14:textId="77777777" w:rsidR="00E040FD" w:rsidRDefault="00740D64">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50DE4D28" w14:textId="77777777" w:rsidR="00E040FD" w:rsidRDefault="00740D64">
            <w:pPr>
              <w:pStyle w:val="P68B1DB1-Normal8"/>
              <w:spacing w:after="0" w:line="240" w:lineRule="auto"/>
              <w:jc w:val="center"/>
              <w:rPr>
                <w:rFonts w:eastAsia="Times New Roman" w:cs="Calibri"/>
                <w:noProof/>
              </w:rPr>
            </w:pPr>
            <w:r>
              <w:rPr>
                <w:noProof/>
              </w:rPr>
              <w:t>Ekonomiskt stöd till översättning och upplaga av litterära verk</w:t>
            </w:r>
          </w:p>
        </w:tc>
        <w:tc>
          <w:tcPr>
            <w:tcW w:w="1193" w:type="dxa"/>
            <w:shd w:val="clear" w:color="auto" w:fill="C4EFCE"/>
            <w:vAlign w:val="center"/>
            <w:hideMark/>
          </w:tcPr>
          <w:p w14:paraId="7B42CD2C" w14:textId="77777777" w:rsidR="00E040FD" w:rsidRDefault="00740D64">
            <w:pPr>
              <w:pStyle w:val="P68B1DB1-Normal8"/>
              <w:spacing w:after="0" w:line="240" w:lineRule="auto"/>
              <w:jc w:val="center"/>
              <w:rPr>
                <w:rFonts w:eastAsia="Times New Roman" w:cs="Calibri"/>
                <w:noProof/>
              </w:rPr>
            </w:pPr>
            <w:r>
              <w:rPr>
                <w:noProof/>
              </w:rPr>
              <w:t>  </w:t>
            </w:r>
          </w:p>
        </w:tc>
        <w:tc>
          <w:tcPr>
            <w:tcW w:w="930" w:type="dxa"/>
            <w:shd w:val="clear" w:color="auto" w:fill="C4EFCE"/>
            <w:vAlign w:val="center"/>
            <w:hideMark/>
          </w:tcPr>
          <w:p w14:paraId="4CC6026D" w14:textId="77777777" w:rsidR="00E040FD" w:rsidRDefault="00740D64">
            <w:pPr>
              <w:pStyle w:val="P68B1DB1-Normal8"/>
              <w:spacing w:after="0" w:line="240" w:lineRule="auto"/>
              <w:jc w:val="center"/>
              <w:rPr>
                <w:rFonts w:eastAsia="Times New Roman" w:cs="Calibri"/>
                <w:noProof/>
              </w:rPr>
            </w:pPr>
            <w:r>
              <w:rPr>
                <w:noProof/>
              </w:rPr>
              <w:t>Antal</w:t>
            </w:r>
          </w:p>
        </w:tc>
        <w:tc>
          <w:tcPr>
            <w:tcW w:w="1225" w:type="dxa"/>
            <w:shd w:val="clear" w:color="auto" w:fill="C4EFCE"/>
            <w:vAlign w:val="center"/>
            <w:hideMark/>
          </w:tcPr>
          <w:p w14:paraId="6357E9BC" w14:textId="77777777" w:rsidR="00E040FD" w:rsidRDefault="00740D6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3EAEBED8" w14:textId="77777777" w:rsidR="00E040FD" w:rsidRDefault="00740D64">
            <w:pPr>
              <w:pStyle w:val="P68B1DB1-Normal8"/>
              <w:spacing w:after="0" w:line="240" w:lineRule="auto"/>
              <w:jc w:val="center"/>
              <w:rPr>
                <w:rFonts w:eastAsia="Times New Roman" w:cs="Calibri"/>
                <w:noProof/>
              </w:rPr>
            </w:pPr>
            <w:r>
              <w:rPr>
                <w:noProof/>
              </w:rPr>
              <w:t>5 200 </w:t>
            </w:r>
          </w:p>
        </w:tc>
        <w:tc>
          <w:tcPr>
            <w:tcW w:w="539" w:type="dxa"/>
            <w:shd w:val="clear" w:color="auto" w:fill="C4EFCE"/>
            <w:vAlign w:val="center"/>
            <w:hideMark/>
          </w:tcPr>
          <w:p w14:paraId="50DC2D60" w14:textId="77777777" w:rsidR="00E040FD" w:rsidRDefault="00740D64">
            <w:pPr>
              <w:pStyle w:val="P68B1DB1-Normal8"/>
              <w:spacing w:after="0" w:line="240" w:lineRule="auto"/>
              <w:jc w:val="center"/>
              <w:rPr>
                <w:rFonts w:eastAsia="Times New Roman" w:cs="Calibri"/>
                <w:noProof/>
              </w:rPr>
            </w:pPr>
            <w:r>
              <w:rPr>
                <w:noProof/>
              </w:rPr>
              <w:t>KVARTAL 4 </w:t>
            </w:r>
          </w:p>
        </w:tc>
        <w:tc>
          <w:tcPr>
            <w:tcW w:w="672" w:type="dxa"/>
            <w:shd w:val="clear" w:color="auto" w:fill="C4EFCE"/>
            <w:vAlign w:val="center"/>
            <w:hideMark/>
          </w:tcPr>
          <w:p w14:paraId="29C58B9A" w14:textId="77777777" w:rsidR="00E040FD" w:rsidRDefault="00740D64">
            <w:pPr>
              <w:pStyle w:val="P68B1DB1-Normal8"/>
              <w:spacing w:after="0" w:line="240" w:lineRule="auto"/>
              <w:jc w:val="center"/>
              <w:rPr>
                <w:rFonts w:eastAsia="Times New Roman" w:cs="Calibri"/>
                <w:noProof/>
              </w:rPr>
            </w:pPr>
            <w:r>
              <w:rPr>
                <w:noProof/>
              </w:rPr>
              <w:t>2025 </w:t>
            </w:r>
          </w:p>
        </w:tc>
        <w:tc>
          <w:tcPr>
            <w:tcW w:w="3756" w:type="dxa"/>
            <w:shd w:val="clear" w:color="auto" w:fill="C4EFCE"/>
            <w:vAlign w:val="center"/>
            <w:hideMark/>
          </w:tcPr>
          <w:p w14:paraId="315D085F" w14:textId="0B09D103" w:rsidR="00E040FD" w:rsidRDefault="00E040FD">
            <w:pPr>
              <w:spacing w:after="0" w:line="240" w:lineRule="auto"/>
              <w:jc w:val="both"/>
              <w:rPr>
                <w:rFonts w:ascii="Calibri" w:eastAsia="Times New Roman" w:hAnsi="Calibri" w:cs="Calibri"/>
                <w:noProof/>
                <w:sz w:val="16"/>
              </w:rPr>
            </w:pPr>
          </w:p>
          <w:p w14:paraId="1A89509D" w14:textId="1230369A" w:rsidR="00E040FD" w:rsidRDefault="00740D64">
            <w:pPr>
              <w:pStyle w:val="P68B1DB1-Normal8"/>
              <w:spacing w:after="0" w:line="240" w:lineRule="auto"/>
              <w:jc w:val="both"/>
              <w:rPr>
                <w:rFonts w:eastAsia="Times New Roman" w:cs="Calibri"/>
                <w:noProof/>
              </w:rPr>
            </w:pPr>
            <w:r>
              <w:rPr>
                <w:noProof/>
              </w:rPr>
              <w:t>Antal litterära verk som fått ekonomiskt stöd för översättning och publicering av litterära verk och upplaga av ljudböcker och e-böcker genom att finansiera 60 – -70 % av kostnaderna för översättning och publicering.</w:t>
            </w:r>
          </w:p>
        </w:tc>
      </w:tr>
      <w:tr w:rsidR="00E040FD" w14:paraId="69C93F6D" w14:textId="77777777">
        <w:trPr>
          <w:trHeight w:val="1252"/>
        </w:trPr>
        <w:tc>
          <w:tcPr>
            <w:tcW w:w="1067" w:type="dxa"/>
            <w:shd w:val="clear" w:color="auto" w:fill="C5EFCE"/>
            <w:vAlign w:val="center"/>
            <w:hideMark/>
          </w:tcPr>
          <w:p w14:paraId="4136033A" w14:textId="7FAAF2FA" w:rsidR="00E040FD" w:rsidRDefault="00740D64">
            <w:pPr>
              <w:pStyle w:val="P68B1DB1-Normal7"/>
              <w:spacing w:line="240" w:lineRule="auto"/>
              <w:jc w:val="center"/>
              <w:rPr>
                <w:rFonts w:eastAsia="Times New Roman" w:cs="Calibri"/>
                <w:noProof/>
              </w:rPr>
            </w:pPr>
            <w:r>
              <w:rPr>
                <w:noProof/>
              </w:rPr>
              <w:t>4.9</w:t>
            </w:r>
          </w:p>
        </w:tc>
        <w:tc>
          <w:tcPr>
            <w:tcW w:w="1191" w:type="dxa"/>
            <w:shd w:val="clear" w:color="auto" w:fill="C4EFCE"/>
            <w:vAlign w:val="center"/>
            <w:hideMark/>
          </w:tcPr>
          <w:p w14:paraId="087D8C01" w14:textId="1509E774" w:rsidR="00E040FD" w:rsidRDefault="00740D64">
            <w:pPr>
              <w:pStyle w:val="P68B1DB1-Normal8"/>
              <w:spacing w:line="240" w:lineRule="auto"/>
              <w:jc w:val="center"/>
              <w:rPr>
                <w:rFonts w:eastAsia="Times New Roman" w:cs="Calibri"/>
                <w:noProof/>
              </w:rPr>
            </w:pPr>
            <w:r>
              <w:rPr>
                <w:noProof/>
              </w:rPr>
              <w:t>RE-C04-i01</w:t>
            </w:r>
          </w:p>
        </w:tc>
        <w:tc>
          <w:tcPr>
            <w:tcW w:w="1060" w:type="dxa"/>
            <w:shd w:val="clear" w:color="auto" w:fill="C4EFCE"/>
            <w:vAlign w:val="center"/>
            <w:hideMark/>
          </w:tcPr>
          <w:p w14:paraId="102CD47A" w14:textId="3BE67781" w:rsidR="00E040FD" w:rsidRDefault="00740D64">
            <w:pPr>
              <w:pStyle w:val="P68B1DB1-Normal8"/>
              <w:spacing w:line="240" w:lineRule="auto"/>
              <w:jc w:val="center"/>
              <w:rPr>
                <w:rFonts w:eastAsia="Times New Roman" w:cs="Calibri"/>
                <w:noProof/>
              </w:rPr>
            </w:pPr>
            <w:r>
              <w:rPr>
                <w:noProof/>
              </w:rPr>
              <w:t>M</w:t>
            </w:r>
          </w:p>
        </w:tc>
        <w:tc>
          <w:tcPr>
            <w:tcW w:w="1588" w:type="dxa"/>
            <w:shd w:val="clear" w:color="auto" w:fill="C4EFCE"/>
            <w:vAlign w:val="center"/>
            <w:hideMark/>
          </w:tcPr>
          <w:p w14:paraId="226CD61A" w14:textId="4958D1C6" w:rsidR="00E040FD" w:rsidRDefault="00740D64">
            <w:pPr>
              <w:pStyle w:val="P68B1DB1-Normal8"/>
              <w:widowControl w:val="0"/>
              <w:spacing w:before="320" w:after="0" w:line="240" w:lineRule="auto"/>
              <w:jc w:val="center"/>
              <w:rPr>
                <w:rFonts w:eastAsia="Calibri" w:cs="Calibri"/>
                <w:noProof/>
              </w:rPr>
            </w:pPr>
            <w:r>
              <w:rPr>
                <w:noProof/>
              </w:rPr>
              <w:t>Teknisk modernisering av ANIM – National Archive of Moving Images</w:t>
            </w:r>
          </w:p>
        </w:tc>
        <w:tc>
          <w:tcPr>
            <w:tcW w:w="1193" w:type="dxa"/>
            <w:shd w:val="clear" w:color="auto" w:fill="C4EFCE"/>
            <w:vAlign w:val="center"/>
            <w:hideMark/>
          </w:tcPr>
          <w:p w14:paraId="36622BAB" w14:textId="2B99FCB6" w:rsidR="00E040FD" w:rsidRDefault="00740D64">
            <w:pPr>
              <w:pStyle w:val="P68B1DB1-Normal8"/>
              <w:spacing w:line="240" w:lineRule="auto"/>
              <w:jc w:val="center"/>
              <w:rPr>
                <w:rFonts w:eastAsia="Times New Roman" w:cs="Calibri"/>
                <w:noProof/>
              </w:rPr>
            </w:pPr>
            <w:r>
              <w:rPr>
                <w:noProof/>
              </w:rPr>
              <w:t>Leverans av utrustning</w:t>
            </w:r>
          </w:p>
        </w:tc>
        <w:tc>
          <w:tcPr>
            <w:tcW w:w="930" w:type="dxa"/>
            <w:shd w:val="clear" w:color="auto" w:fill="C4EFCE"/>
            <w:vAlign w:val="center"/>
            <w:hideMark/>
          </w:tcPr>
          <w:p w14:paraId="50A25E56" w14:textId="4285FAF0" w:rsidR="00E040FD" w:rsidRDefault="00E040FD">
            <w:pPr>
              <w:spacing w:line="240" w:lineRule="auto"/>
              <w:jc w:val="center"/>
              <w:rPr>
                <w:rFonts w:ascii="Calibri" w:eastAsia="Times New Roman" w:hAnsi="Calibri" w:cs="Calibri"/>
                <w:noProof/>
                <w:sz w:val="16"/>
              </w:rPr>
            </w:pPr>
          </w:p>
        </w:tc>
        <w:tc>
          <w:tcPr>
            <w:tcW w:w="1225" w:type="dxa"/>
            <w:shd w:val="clear" w:color="auto" w:fill="C4EFCE"/>
            <w:vAlign w:val="center"/>
            <w:hideMark/>
          </w:tcPr>
          <w:p w14:paraId="3A7664CF" w14:textId="533FA4EC" w:rsidR="00E040FD" w:rsidRDefault="00E040FD">
            <w:pPr>
              <w:spacing w:line="240" w:lineRule="auto"/>
              <w:jc w:val="center"/>
              <w:rPr>
                <w:rFonts w:ascii="Calibri" w:eastAsia="Times New Roman" w:hAnsi="Calibri" w:cs="Calibri"/>
                <w:noProof/>
                <w:sz w:val="16"/>
              </w:rPr>
            </w:pPr>
          </w:p>
        </w:tc>
        <w:tc>
          <w:tcPr>
            <w:tcW w:w="671" w:type="dxa"/>
            <w:shd w:val="clear" w:color="auto" w:fill="C4EFCE"/>
            <w:vAlign w:val="center"/>
            <w:hideMark/>
          </w:tcPr>
          <w:p w14:paraId="4B934F52" w14:textId="168F57DB" w:rsidR="00E040FD" w:rsidRDefault="00E040FD">
            <w:pPr>
              <w:spacing w:line="240" w:lineRule="auto"/>
              <w:jc w:val="center"/>
              <w:rPr>
                <w:rFonts w:ascii="Calibri" w:eastAsia="Times New Roman" w:hAnsi="Calibri" w:cs="Calibri"/>
                <w:noProof/>
                <w:sz w:val="16"/>
              </w:rPr>
            </w:pPr>
          </w:p>
        </w:tc>
        <w:tc>
          <w:tcPr>
            <w:tcW w:w="539" w:type="dxa"/>
            <w:shd w:val="clear" w:color="auto" w:fill="C4EFCE"/>
            <w:vAlign w:val="center"/>
            <w:hideMark/>
          </w:tcPr>
          <w:p w14:paraId="2BB5A574" w14:textId="38582661" w:rsidR="00E040FD" w:rsidRDefault="00740D64">
            <w:pPr>
              <w:pStyle w:val="P68B1DB1-Normal8"/>
              <w:spacing w:line="240" w:lineRule="auto"/>
              <w:jc w:val="center"/>
              <w:rPr>
                <w:rFonts w:eastAsia="Times New Roman" w:cs="Calibri"/>
                <w:noProof/>
              </w:rPr>
            </w:pPr>
            <w:r>
              <w:rPr>
                <w:noProof/>
              </w:rPr>
              <w:t>KVARTAL 3</w:t>
            </w:r>
          </w:p>
        </w:tc>
        <w:tc>
          <w:tcPr>
            <w:tcW w:w="672" w:type="dxa"/>
            <w:shd w:val="clear" w:color="auto" w:fill="C4EFCE"/>
            <w:vAlign w:val="center"/>
            <w:hideMark/>
          </w:tcPr>
          <w:p w14:paraId="4FE4F2D2" w14:textId="215CF13E" w:rsidR="00E040FD" w:rsidRDefault="00740D64">
            <w:pPr>
              <w:pStyle w:val="P68B1DB1-Normal8"/>
              <w:spacing w:line="240" w:lineRule="auto"/>
              <w:jc w:val="center"/>
              <w:rPr>
                <w:rFonts w:eastAsia="Times New Roman" w:cs="Calibri"/>
                <w:noProof/>
              </w:rPr>
            </w:pPr>
            <w:r>
              <w:rPr>
                <w:noProof/>
              </w:rPr>
              <w:t>2023</w:t>
            </w:r>
          </w:p>
        </w:tc>
        <w:tc>
          <w:tcPr>
            <w:tcW w:w="3756" w:type="dxa"/>
            <w:shd w:val="clear" w:color="auto" w:fill="C4EFCE"/>
            <w:vAlign w:val="center"/>
            <w:hideMark/>
          </w:tcPr>
          <w:p w14:paraId="0A05C053" w14:textId="1A2F05CC" w:rsidR="00E040FD" w:rsidRDefault="00740D64">
            <w:pPr>
              <w:pStyle w:val="P68B1DB1-Normal8"/>
              <w:spacing w:before="40" w:after="160" w:line="240" w:lineRule="auto"/>
              <w:contextualSpacing/>
              <w:jc w:val="both"/>
              <w:rPr>
                <w:rFonts w:eastAsia="Calibri" w:cs="Calibri"/>
                <w:noProof/>
              </w:rPr>
            </w:pPr>
            <w:r>
              <w:rPr>
                <w:noProof/>
              </w:rPr>
              <w:t>Leverans av utrustning för teknisk modernisering av National Archive of Moving Images.</w:t>
            </w:r>
          </w:p>
        </w:tc>
      </w:tr>
      <w:tr w:rsidR="00E040FD" w14:paraId="7A6F89CA" w14:textId="77777777">
        <w:trPr>
          <w:trHeight w:val="1883"/>
        </w:trPr>
        <w:tc>
          <w:tcPr>
            <w:tcW w:w="1067" w:type="dxa"/>
            <w:shd w:val="clear" w:color="auto" w:fill="C5EFCE"/>
            <w:vAlign w:val="center"/>
            <w:hideMark/>
          </w:tcPr>
          <w:p w14:paraId="0F231483" w14:textId="3BD0B995" w:rsidR="00E040FD" w:rsidRDefault="00740D64">
            <w:pPr>
              <w:pStyle w:val="P68B1DB1-Normal7"/>
              <w:spacing w:line="240" w:lineRule="auto"/>
              <w:jc w:val="center"/>
              <w:rPr>
                <w:rFonts w:eastAsia="Times New Roman" w:cs="Calibri"/>
                <w:noProof/>
              </w:rPr>
            </w:pPr>
            <w:r>
              <w:rPr>
                <w:noProof/>
              </w:rPr>
              <w:t>4.10</w:t>
            </w:r>
          </w:p>
        </w:tc>
        <w:tc>
          <w:tcPr>
            <w:tcW w:w="1191" w:type="dxa"/>
            <w:shd w:val="clear" w:color="auto" w:fill="C4EFCE"/>
            <w:vAlign w:val="center"/>
            <w:hideMark/>
          </w:tcPr>
          <w:p w14:paraId="3A7259C4" w14:textId="3A73E587" w:rsidR="00E040FD" w:rsidRDefault="00740D64">
            <w:pPr>
              <w:pStyle w:val="P68B1DB1-Normal8"/>
              <w:spacing w:line="240" w:lineRule="auto"/>
              <w:jc w:val="center"/>
              <w:rPr>
                <w:rFonts w:eastAsia="Times New Roman" w:cs="Calibri"/>
                <w:noProof/>
              </w:rPr>
            </w:pPr>
            <w:r>
              <w:rPr>
                <w:noProof/>
              </w:rPr>
              <w:t>RE-C04-i01</w:t>
            </w:r>
          </w:p>
        </w:tc>
        <w:tc>
          <w:tcPr>
            <w:tcW w:w="1060" w:type="dxa"/>
            <w:shd w:val="clear" w:color="auto" w:fill="C4EFCE"/>
            <w:vAlign w:val="center"/>
            <w:hideMark/>
          </w:tcPr>
          <w:p w14:paraId="707B69E4" w14:textId="522C4E35" w:rsidR="00E040FD" w:rsidRDefault="00740D64">
            <w:pPr>
              <w:pStyle w:val="P68B1DB1-Normal8"/>
              <w:spacing w:line="240" w:lineRule="auto"/>
              <w:jc w:val="center"/>
              <w:rPr>
                <w:rFonts w:eastAsia="Times New Roman" w:cs="Calibri"/>
                <w:noProof/>
              </w:rPr>
            </w:pPr>
            <w:r>
              <w:rPr>
                <w:noProof/>
              </w:rPr>
              <w:t>T</w:t>
            </w:r>
          </w:p>
        </w:tc>
        <w:tc>
          <w:tcPr>
            <w:tcW w:w="1588" w:type="dxa"/>
            <w:shd w:val="clear" w:color="auto" w:fill="C4EFCE"/>
            <w:vAlign w:val="center"/>
            <w:hideMark/>
          </w:tcPr>
          <w:p w14:paraId="600DDD24" w14:textId="12D6D904" w:rsidR="00E040FD" w:rsidRDefault="00740D64">
            <w:pPr>
              <w:pStyle w:val="P68B1DB1-Normal8"/>
              <w:widowControl w:val="0"/>
              <w:spacing w:before="320" w:after="0" w:line="240" w:lineRule="auto"/>
              <w:jc w:val="center"/>
              <w:rPr>
                <w:rFonts w:eastAsia="Calibri" w:cs="Calibri"/>
                <w:noProof/>
              </w:rPr>
            </w:pPr>
            <w:r>
              <w:rPr>
                <w:noProof/>
              </w:rPr>
              <w:t>Leverans av utrustning för installation av det nationella ljudarkivet och för teknisk modernisering av offentliga laboratorier</w:t>
            </w:r>
          </w:p>
        </w:tc>
        <w:tc>
          <w:tcPr>
            <w:tcW w:w="1193" w:type="dxa"/>
            <w:shd w:val="clear" w:color="auto" w:fill="C4EFCE"/>
            <w:vAlign w:val="center"/>
            <w:hideMark/>
          </w:tcPr>
          <w:p w14:paraId="3916C5A9" w14:textId="2EEBDAB8" w:rsidR="00E040FD" w:rsidRDefault="00E040FD">
            <w:pPr>
              <w:spacing w:line="240" w:lineRule="auto"/>
              <w:jc w:val="center"/>
              <w:rPr>
                <w:rFonts w:ascii="Calibri" w:eastAsia="Times New Roman" w:hAnsi="Calibri" w:cs="Calibri"/>
                <w:noProof/>
                <w:sz w:val="16"/>
              </w:rPr>
            </w:pPr>
          </w:p>
        </w:tc>
        <w:tc>
          <w:tcPr>
            <w:tcW w:w="930" w:type="dxa"/>
            <w:shd w:val="clear" w:color="auto" w:fill="C4EFCE"/>
            <w:vAlign w:val="center"/>
            <w:hideMark/>
          </w:tcPr>
          <w:p w14:paraId="3EC993CE" w14:textId="4B407D21" w:rsidR="00E040FD" w:rsidRDefault="00740D64">
            <w:pPr>
              <w:pStyle w:val="P68B1DB1-Normal8"/>
              <w:spacing w:line="240" w:lineRule="auto"/>
              <w:jc w:val="center"/>
              <w:rPr>
                <w:rFonts w:eastAsia="Times New Roman" w:cs="Calibri"/>
                <w:noProof/>
              </w:rPr>
            </w:pPr>
            <w:r>
              <w:rPr>
                <w:noProof/>
              </w:rPr>
              <w:t>Antal</w:t>
            </w:r>
          </w:p>
        </w:tc>
        <w:tc>
          <w:tcPr>
            <w:tcW w:w="1225" w:type="dxa"/>
            <w:shd w:val="clear" w:color="auto" w:fill="C4EFCE"/>
            <w:vAlign w:val="center"/>
            <w:hideMark/>
          </w:tcPr>
          <w:p w14:paraId="40DF9AC1" w14:textId="69274E4F" w:rsidR="00E040FD" w:rsidRDefault="00740D64">
            <w:pPr>
              <w:pStyle w:val="P68B1DB1-Normal8"/>
              <w:spacing w:line="240" w:lineRule="auto"/>
              <w:jc w:val="center"/>
              <w:rPr>
                <w:rFonts w:eastAsia="Times New Roman" w:cs="Calibri"/>
                <w:noProof/>
              </w:rPr>
            </w:pPr>
            <w:r>
              <w:rPr>
                <w:noProof/>
              </w:rPr>
              <w:t>0</w:t>
            </w:r>
          </w:p>
        </w:tc>
        <w:tc>
          <w:tcPr>
            <w:tcW w:w="671" w:type="dxa"/>
            <w:shd w:val="clear" w:color="auto" w:fill="C4EFCE"/>
            <w:vAlign w:val="center"/>
            <w:hideMark/>
          </w:tcPr>
          <w:p w14:paraId="706ECCC2" w14:textId="057ADB86" w:rsidR="00E040FD" w:rsidRDefault="00740D64">
            <w:pPr>
              <w:pStyle w:val="P68B1DB1-Normal8"/>
              <w:spacing w:line="240" w:lineRule="auto"/>
              <w:jc w:val="center"/>
              <w:rPr>
                <w:rFonts w:eastAsia="Times New Roman" w:cs="Calibri"/>
                <w:noProof/>
              </w:rPr>
            </w:pPr>
            <w:r>
              <w:rPr>
                <w:noProof/>
              </w:rPr>
              <w:t>5</w:t>
            </w:r>
          </w:p>
        </w:tc>
        <w:tc>
          <w:tcPr>
            <w:tcW w:w="539" w:type="dxa"/>
            <w:shd w:val="clear" w:color="auto" w:fill="C4EFCE"/>
            <w:vAlign w:val="center"/>
            <w:hideMark/>
          </w:tcPr>
          <w:p w14:paraId="03E2A86D" w14:textId="0364350D" w:rsidR="00E040FD" w:rsidRDefault="00740D64">
            <w:pPr>
              <w:pStyle w:val="P68B1DB1-Normal8"/>
              <w:spacing w:line="240" w:lineRule="auto"/>
              <w:jc w:val="center"/>
              <w:rPr>
                <w:rFonts w:eastAsia="Times New Roman" w:cs="Calibri"/>
                <w:noProof/>
              </w:rPr>
            </w:pPr>
            <w:r>
              <w:rPr>
                <w:noProof/>
              </w:rPr>
              <w:t>KVARTAL 1</w:t>
            </w:r>
          </w:p>
        </w:tc>
        <w:tc>
          <w:tcPr>
            <w:tcW w:w="672" w:type="dxa"/>
            <w:shd w:val="clear" w:color="auto" w:fill="C4EFCE"/>
            <w:vAlign w:val="center"/>
            <w:hideMark/>
          </w:tcPr>
          <w:p w14:paraId="217FE2C8" w14:textId="0B333ABA" w:rsidR="00E040FD" w:rsidRDefault="00740D64">
            <w:pPr>
              <w:pStyle w:val="P68B1DB1-Normal8"/>
              <w:spacing w:line="240" w:lineRule="auto"/>
              <w:jc w:val="center"/>
              <w:rPr>
                <w:rFonts w:eastAsia="Times New Roman" w:cs="Calibri"/>
                <w:noProof/>
              </w:rPr>
            </w:pPr>
            <w:r>
              <w:rPr>
                <w:noProof/>
              </w:rPr>
              <w:t>2026</w:t>
            </w:r>
          </w:p>
        </w:tc>
        <w:tc>
          <w:tcPr>
            <w:tcW w:w="3756" w:type="dxa"/>
            <w:shd w:val="clear" w:color="auto" w:fill="C4EFCE"/>
            <w:vAlign w:val="center"/>
            <w:hideMark/>
          </w:tcPr>
          <w:p w14:paraId="752F7E82" w14:textId="604FBA79" w:rsidR="00E040FD" w:rsidRDefault="00740D64">
            <w:pPr>
              <w:pStyle w:val="P68B1DB1-Normal8"/>
              <w:widowControl w:val="0"/>
              <w:spacing w:after="160" w:line="240" w:lineRule="auto"/>
              <w:rPr>
                <w:rFonts w:eastAsia="Calibri" w:cs="Calibri"/>
                <w:noProof/>
              </w:rPr>
            </w:pPr>
            <w:r>
              <w:rPr>
                <w:noProof/>
              </w:rPr>
              <w:t>Antal byggnader och laboratorier för vilka utrustning har levererats (Nationella arkivet för ljud och offentliga laboratorier: José Figueiredo Laboratory, CNANS, LARQ och Forte de Sacavém).</w:t>
            </w:r>
          </w:p>
        </w:tc>
      </w:tr>
      <w:tr w:rsidR="00E040FD" w14:paraId="6CE186ED" w14:textId="77777777">
        <w:trPr>
          <w:trHeight w:val="2740"/>
        </w:trPr>
        <w:tc>
          <w:tcPr>
            <w:tcW w:w="1067" w:type="dxa"/>
            <w:shd w:val="clear" w:color="auto" w:fill="C5EFCE"/>
            <w:vAlign w:val="center"/>
            <w:hideMark/>
          </w:tcPr>
          <w:p w14:paraId="4096D4CD" w14:textId="77777777" w:rsidR="00E040FD" w:rsidRDefault="00740D64">
            <w:pPr>
              <w:pStyle w:val="P68B1DB1-Normal7"/>
              <w:spacing w:after="0" w:line="240" w:lineRule="auto"/>
              <w:jc w:val="center"/>
              <w:rPr>
                <w:rFonts w:eastAsia="Times New Roman" w:cs="Calibri"/>
                <w:noProof/>
              </w:rPr>
            </w:pPr>
            <w:r>
              <w:rPr>
                <w:noProof/>
              </w:rPr>
              <w:t>4.6</w:t>
            </w:r>
          </w:p>
        </w:tc>
        <w:tc>
          <w:tcPr>
            <w:tcW w:w="1191" w:type="dxa"/>
            <w:shd w:val="clear" w:color="auto" w:fill="C4EFCE"/>
            <w:vAlign w:val="center"/>
            <w:hideMark/>
          </w:tcPr>
          <w:p w14:paraId="756E9748" w14:textId="77777777" w:rsidR="00E040FD" w:rsidRDefault="00740D64">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hideMark/>
          </w:tcPr>
          <w:p w14:paraId="2EAEAB0E" w14:textId="77777777" w:rsidR="00E040FD" w:rsidRDefault="00740D64">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7DE50256" w14:textId="77777777" w:rsidR="00E040FD" w:rsidRDefault="00740D64">
            <w:pPr>
              <w:pStyle w:val="P68B1DB1-Normal8"/>
              <w:spacing w:after="0" w:line="240" w:lineRule="auto"/>
              <w:jc w:val="center"/>
              <w:rPr>
                <w:rFonts w:eastAsia="Times New Roman" w:cs="Calibri"/>
                <w:noProof/>
              </w:rPr>
            </w:pPr>
            <w:r>
              <w:rPr>
                <w:noProof/>
              </w:rPr>
              <w:t>Inrättande av nätverket ”Saber Fazer” </w:t>
            </w:r>
          </w:p>
        </w:tc>
        <w:tc>
          <w:tcPr>
            <w:tcW w:w="1193" w:type="dxa"/>
            <w:shd w:val="clear" w:color="auto" w:fill="C4EFCE"/>
            <w:vAlign w:val="center"/>
            <w:hideMark/>
          </w:tcPr>
          <w:p w14:paraId="55979DAB" w14:textId="7F73E08D" w:rsidR="00E040FD" w:rsidRDefault="00740D64">
            <w:pPr>
              <w:pStyle w:val="P68B1DB1-Normal8"/>
              <w:spacing w:after="0" w:line="240" w:lineRule="auto"/>
              <w:jc w:val="center"/>
              <w:rPr>
                <w:rFonts w:eastAsia="Times New Roman" w:cs="Calibri"/>
                <w:noProof/>
              </w:rPr>
            </w:pPr>
            <w:r>
              <w:rPr>
                <w:noProof/>
              </w:rPr>
              <w:t xml:space="preserve">Inrättande av en databas med information och dokumentation om inhemsk småskalig produktion, identifiering och kartläggning av råvaror. </w:t>
            </w:r>
          </w:p>
        </w:tc>
        <w:tc>
          <w:tcPr>
            <w:tcW w:w="930" w:type="dxa"/>
            <w:shd w:val="clear" w:color="auto" w:fill="C4EFCE"/>
            <w:vAlign w:val="center"/>
            <w:hideMark/>
          </w:tcPr>
          <w:p w14:paraId="34888FD9" w14:textId="77777777" w:rsidR="00E040FD" w:rsidRDefault="00740D64">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760352CB" w14:textId="77777777" w:rsidR="00E040FD" w:rsidRDefault="00740D6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788C2337" w14:textId="77777777" w:rsidR="00E040FD" w:rsidRDefault="00740D64">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332FDD5B" w14:textId="77777777" w:rsidR="00E040FD" w:rsidRDefault="00740D64">
            <w:pPr>
              <w:pStyle w:val="P68B1DB1-Normal8"/>
              <w:spacing w:after="0" w:line="240" w:lineRule="auto"/>
              <w:jc w:val="center"/>
              <w:rPr>
                <w:rFonts w:eastAsia="Times New Roman" w:cs="Calibri"/>
                <w:noProof/>
              </w:rPr>
            </w:pPr>
            <w:r>
              <w:rPr>
                <w:noProof/>
              </w:rPr>
              <w:t>KVARTAL 4 </w:t>
            </w:r>
          </w:p>
        </w:tc>
        <w:tc>
          <w:tcPr>
            <w:tcW w:w="672" w:type="dxa"/>
            <w:shd w:val="clear" w:color="auto" w:fill="C4EFCE"/>
            <w:vAlign w:val="center"/>
            <w:hideMark/>
          </w:tcPr>
          <w:p w14:paraId="4E4BC6F2" w14:textId="77777777" w:rsidR="00E040FD" w:rsidRDefault="00740D64">
            <w:pPr>
              <w:pStyle w:val="P68B1DB1-Normal8"/>
              <w:spacing w:after="0" w:line="240" w:lineRule="auto"/>
              <w:jc w:val="center"/>
              <w:rPr>
                <w:rFonts w:eastAsia="Times New Roman" w:cs="Calibri"/>
                <w:noProof/>
              </w:rPr>
            </w:pPr>
            <w:r>
              <w:rPr>
                <w:noProof/>
              </w:rPr>
              <w:t>2022 </w:t>
            </w:r>
          </w:p>
        </w:tc>
        <w:tc>
          <w:tcPr>
            <w:tcW w:w="3756" w:type="dxa"/>
            <w:shd w:val="clear" w:color="auto" w:fill="C4EFCE"/>
            <w:vAlign w:val="center"/>
            <w:hideMark/>
          </w:tcPr>
          <w:p w14:paraId="4C1C186A" w14:textId="77777777" w:rsidR="00E040FD" w:rsidRDefault="00740D64">
            <w:pPr>
              <w:pStyle w:val="P68B1DB1-Normal8"/>
              <w:spacing w:after="0" w:line="240" w:lineRule="auto"/>
              <w:jc w:val="both"/>
              <w:rPr>
                <w:rFonts w:eastAsia="Times New Roman" w:cs="Calibri"/>
                <w:noProof/>
              </w:rPr>
            </w:pPr>
            <w:r>
              <w:rPr>
                <w:noProof/>
              </w:rPr>
              <w:t>Inrättande av nätverket ”Saber Fazer”: inrättande av en databas med information och dokumentation om inhemsk småskalig produktion. identifiering och kartläggning av råvaror som används i småskalig produktion.</w:t>
            </w:r>
          </w:p>
        </w:tc>
      </w:tr>
      <w:tr w:rsidR="00E040FD" w14:paraId="35C27186" w14:textId="77777777">
        <w:trPr>
          <w:trHeight w:val="1492"/>
        </w:trPr>
        <w:tc>
          <w:tcPr>
            <w:tcW w:w="1067" w:type="dxa"/>
            <w:shd w:val="clear" w:color="auto" w:fill="C5EFCE"/>
            <w:vAlign w:val="center"/>
            <w:hideMark/>
          </w:tcPr>
          <w:p w14:paraId="23022BEF" w14:textId="77777777" w:rsidR="00E040FD" w:rsidRDefault="00740D64">
            <w:pPr>
              <w:pStyle w:val="P68B1DB1-Normal7"/>
              <w:spacing w:after="0" w:line="240" w:lineRule="auto"/>
              <w:jc w:val="center"/>
              <w:rPr>
                <w:rFonts w:eastAsia="Times New Roman" w:cs="Calibri"/>
                <w:noProof/>
              </w:rPr>
            </w:pPr>
            <w:r>
              <w:rPr>
                <w:noProof/>
              </w:rPr>
              <w:t>4.7</w:t>
            </w:r>
          </w:p>
        </w:tc>
        <w:tc>
          <w:tcPr>
            <w:tcW w:w="1191" w:type="dxa"/>
            <w:shd w:val="clear" w:color="auto" w:fill="C4EFCE"/>
            <w:vAlign w:val="center"/>
            <w:hideMark/>
          </w:tcPr>
          <w:p w14:paraId="255C30CA" w14:textId="77777777" w:rsidR="00E040FD" w:rsidRDefault="00740D64">
            <w:pPr>
              <w:pStyle w:val="P68B1DB1-Normal8"/>
              <w:spacing w:after="0" w:line="240" w:lineRule="auto"/>
              <w:jc w:val="center"/>
              <w:rPr>
                <w:rFonts w:eastAsia="Times New Roman" w:cs="Calibri"/>
                <w:noProof/>
              </w:rPr>
            </w:pPr>
            <w:r>
              <w:rPr>
                <w:noProof/>
              </w:rPr>
              <w:t xml:space="preserve">RE-C04-i02  </w:t>
            </w:r>
          </w:p>
        </w:tc>
        <w:tc>
          <w:tcPr>
            <w:tcW w:w="1060" w:type="dxa"/>
            <w:shd w:val="clear" w:color="auto" w:fill="C4EFCE"/>
            <w:vAlign w:val="center"/>
            <w:hideMark/>
          </w:tcPr>
          <w:p w14:paraId="5CC87B5D" w14:textId="77777777" w:rsidR="00E040FD" w:rsidRDefault="00740D64">
            <w:pPr>
              <w:pStyle w:val="P68B1DB1-Normal8"/>
              <w:spacing w:after="0" w:line="240" w:lineRule="auto"/>
              <w:jc w:val="center"/>
              <w:rPr>
                <w:rFonts w:eastAsia="Times New Roman" w:cs="Calibri"/>
                <w:noProof/>
              </w:rPr>
            </w:pPr>
            <w:r>
              <w:rPr>
                <w:noProof/>
              </w:rPr>
              <w:t>T</w:t>
            </w:r>
          </w:p>
        </w:tc>
        <w:tc>
          <w:tcPr>
            <w:tcW w:w="1588" w:type="dxa"/>
            <w:shd w:val="clear" w:color="auto" w:fill="C4EFCE"/>
            <w:vAlign w:val="center"/>
            <w:hideMark/>
          </w:tcPr>
          <w:p w14:paraId="123191A7" w14:textId="77777777" w:rsidR="00E040FD" w:rsidRDefault="00740D64">
            <w:pPr>
              <w:pStyle w:val="P68B1DB1-Normal8"/>
              <w:spacing w:after="0" w:line="240" w:lineRule="auto"/>
              <w:jc w:val="center"/>
              <w:rPr>
                <w:rFonts w:eastAsia="Times New Roman" w:cs="Calibri"/>
                <w:noProof/>
              </w:rPr>
            </w:pPr>
            <w:r>
              <w:rPr>
                <w:noProof/>
              </w:rPr>
              <w:t>Undertecknade kontrakt för återställande och bevarande av kulturarvsbyggnader och nationella teatrar</w:t>
            </w:r>
          </w:p>
        </w:tc>
        <w:tc>
          <w:tcPr>
            <w:tcW w:w="1193" w:type="dxa"/>
            <w:shd w:val="clear" w:color="auto" w:fill="C4EFCE"/>
            <w:vAlign w:val="center"/>
            <w:hideMark/>
          </w:tcPr>
          <w:p w14:paraId="12AD789B" w14:textId="77777777" w:rsidR="00E040FD" w:rsidRDefault="00740D64">
            <w:pPr>
              <w:pStyle w:val="P68B1DB1-Normal8"/>
              <w:spacing w:after="0" w:line="240" w:lineRule="auto"/>
              <w:rPr>
                <w:rFonts w:eastAsia="Times New Roman" w:cs="Calibri"/>
                <w:noProof/>
              </w:rPr>
            </w:pPr>
            <w:r>
              <w:rPr>
                <w:noProof/>
              </w:rPr>
              <w:t>Ingångna avtal</w:t>
            </w:r>
          </w:p>
        </w:tc>
        <w:tc>
          <w:tcPr>
            <w:tcW w:w="930" w:type="dxa"/>
            <w:shd w:val="clear" w:color="auto" w:fill="C4EFCE"/>
            <w:vAlign w:val="center"/>
            <w:hideMark/>
          </w:tcPr>
          <w:p w14:paraId="23F889FB" w14:textId="77777777" w:rsidR="00E040FD" w:rsidRDefault="00740D64">
            <w:pPr>
              <w:pStyle w:val="P68B1DB1-Normal8"/>
              <w:spacing w:after="0" w:line="240" w:lineRule="auto"/>
              <w:jc w:val="center"/>
              <w:rPr>
                <w:rFonts w:eastAsia="Times New Roman" w:cs="Calibri"/>
                <w:noProof/>
              </w:rPr>
            </w:pPr>
            <w:r>
              <w:rPr>
                <w:noProof/>
              </w:rPr>
              <w:t>Antal</w:t>
            </w:r>
          </w:p>
        </w:tc>
        <w:tc>
          <w:tcPr>
            <w:tcW w:w="1225" w:type="dxa"/>
            <w:shd w:val="clear" w:color="auto" w:fill="C4EFCE"/>
            <w:vAlign w:val="center"/>
            <w:hideMark/>
          </w:tcPr>
          <w:p w14:paraId="10D23A74" w14:textId="77777777" w:rsidR="00E040FD" w:rsidRDefault="00740D64">
            <w:pPr>
              <w:pStyle w:val="P68B1DB1-Normal8"/>
              <w:spacing w:after="0" w:line="240" w:lineRule="auto"/>
              <w:jc w:val="center"/>
              <w:rPr>
                <w:rFonts w:eastAsia="Times New Roman" w:cs="Calibri"/>
                <w:noProof/>
              </w:rPr>
            </w:pPr>
            <w:r>
              <w:rPr>
                <w:noProof/>
              </w:rPr>
              <w:t>0</w:t>
            </w:r>
          </w:p>
        </w:tc>
        <w:tc>
          <w:tcPr>
            <w:tcW w:w="671" w:type="dxa"/>
            <w:shd w:val="clear" w:color="auto" w:fill="C4EFCE"/>
            <w:vAlign w:val="center"/>
            <w:hideMark/>
          </w:tcPr>
          <w:p w14:paraId="6C192691" w14:textId="77777777" w:rsidR="00E040FD" w:rsidRDefault="00740D64">
            <w:pPr>
              <w:pStyle w:val="P68B1DB1-Normal8"/>
              <w:spacing w:after="0" w:line="240" w:lineRule="auto"/>
              <w:jc w:val="center"/>
              <w:rPr>
                <w:rFonts w:eastAsia="Times New Roman" w:cs="Calibri"/>
                <w:noProof/>
              </w:rPr>
            </w:pPr>
            <w:r>
              <w:rPr>
                <w:noProof/>
              </w:rPr>
              <w:t>49</w:t>
            </w:r>
          </w:p>
        </w:tc>
        <w:tc>
          <w:tcPr>
            <w:tcW w:w="539" w:type="dxa"/>
            <w:shd w:val="clear" w:color="auto" w:fill="C4EFCE"/>
            <w:vAlign w:val="center"/>
            <w:hideMark/>
          </w:tcPr>
          <w:p w14:paraId="1BE96BE2" w14:textId="77777777" w:rsidR="00E040FD" w:rsidRDefault="00740D64">
            <w:pPr>
              <w:pStyle w:val="P68B1DB1-Normal8"/>
              <w:spacing w:after="0" w:line="240" w:lineRule="auto"/>
              <w:jc w:val="center"/>
              <w:rPr>
                <w:rFonts w:eastAsia="Times New Roman" w:cs="Calibri"/>
                <w:noProof/>
              </w:rPr>
            </w:pPr>
            <w:r>
              <w:rPr>
                <w:noProof/>
              </w:rPr>
              <w:t>KVARTAL 3</w:t>
            </w:r>
          </w:p>
        </w:tc>
        <w:tc>
          <w:tcPr>
            <w:tcW w:w="672" w:type="dxa"/>
            <w:shd w:val="clear" w:color="auto" w:fill="C4EFCE"/>
            <w:vAlign w:val="center"/>
            <w:hideMark/>
          </w:tcPr>
          <w:p w14:paraId="64DC8375" w14:textId="77777777" w:rsidR="00E040FD" w:rsidRDefault="00740D64">
            <w:pPr>
              <w:pStyle w:val="P68B1DB1-Normal8"/>
              <w:spacing w:after="0" w:line="240" w:lineRule="auto"/>
              <w:jc w:val="center"/>
              <w:rPr>
                <w:rFonts w:eastAsia="Times New Roman" w:cs="Calibri"/>
                <w:noProof/>
              </w:rPr>
            </w:pPr>
            <w:r>
              <w:rPr>
                <w:noProof/>
              </w:rPr>
              <w:t>2023</w:t>
            </w:r>
          </w:p>
        </w:tc>
        <w:tc>
          <w:tcPr>
            <w:tcW w:w="3756" w:type="dxa"/>
            <w:shd w:val="clear" w:color="auto" w:fill="C4EFCE"/>
            <w:vAlign w:val="center"/>
            <w:hideMark/>
          </w:tcPr>
          <w:p w14:paraId="7AAC0ED8" w14:textId="3E3946FA" w:rsidR="00E040FD" w:rsidRDefault="00740D64">
            <w:pPr>
              <w:pStyle w:val="P68B1DB1-Normal8"/>
              <w:spacing w:after="0" w:line="240" w:lineRule="auto"/>
              <w:jc w:val="both"/>
              <w:rPr>
                <w:rFonts w:eastAsia="Times New Roman" w:cs="Calibri"/>
                <w:noProof/>
              </w:rPr>
            </w:pPr>
            <w:r>
              <w:rPr>
                <w:noProof/>
              </w:rPr>
              <w:t>Antal kulturplatser för vilka kontrakt har undertecknats för återställande och bevarande av museer, monument, statliga palats och nationella teatrar.</w:t>
            </w:r>
          </w:p>
        </w:tc>
      </w:tr>
      <w:tr w:rsidR="00E040FD" w14:paraId="21A4EBFD" w14:textId="77777777">
        <w:trPr>
          <w:trHeight w:val="1691"/>
        </w:trPr>
        <w:tc>
          <w:tcPr>
            <w:tcW w:w="1067" w:type="dxa"/>
            <w:shd w:val="clear" w:color="auto" w:fill="C5EFCE"/>
            <w:vAlign w:val="center"/>
            <w:hideMark/>
          </w:tcPr>
          <w:p w14:paraId="53135006" w14:textId="77777777" w:rsidR="00E040FD" w:rsidRDefault="00740D64">
            <w:pPr>
              <w:pStyle w:val="P68B1DB1-Normal7"/>
              <w:spacing w:after="0" w:line="240" w:lineRule="auto"/>
              <w:jc w:val="center"/>
              <w:rPr>
                <w:rFonts w:eastAsia="Times New Roman" w:cs="Calibri"/>
                <w:noProof/>
              </w:rPr>
            </w:pPr>
            <w:r>
              <w:rPr>
                <w:noProof/>
              </w:rPr>
              <w:t>4.8</w:t>
            </w:r>
          </w:p>
        </w:tc>
        <w:tc>
          <w:tcPr>
            <w:tcW w:w="1191" w:type="dxa"/>
            <w:shd w:val="clear" w:color="auto" w:fill="C4EFCE"/>
            <w:vAlign w:val="center"/>
            <w:hideMark/>
          </w:tcPr>
          <w:p w14:paraId="26F1C65B" w14:textId="77777777" w:rsidR="00E040FD" w:rsidRDefault="00740D64">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hideMark/>
          </w:tcPr>
          <w:p w14:paraId="2453522C" w14:textId="77777777" w:rsidR="00E040FD" w:rsidRDefault="00740D64">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2B8435E8" w14:textId="2A41D561" w:rsidR="00E040FD" w:rsidRDefault="00740D64">
            <w:pPr>
              <w:pStyle w:val="P68B1DB1-Normal8"/>
              <w:spacing w:after="0" w:line="240" w:lineRule="auto"/>
              <w:jc w:val="center"/>
              <w:rPr>
                <w:rFonts w:eastAsia="Times New Roman" w:cs="Calibri"/>
                <w:noProof/>
              </w:rPr>
            </w:pPr>
            <w:r>
              <w:rPr>
                <w:noProof/>
              </w:rPr>
              <w:t xml:space="preserve">Slutförda arbeten för rehabilitering och bevarande av kulturarvsbyggnader och nationella teatrar </w:t>
            </w:r>
          </w:p>
        </w:tc>
        <w:tc>
          <w:tcPr>
            <w:tcW w:w="1193" w:type="dxa"/>
            <w:shd w:val="clear" w:color="auto" w:fill="C4EFCE"/>
            <w:vAlign w:val="center"/>
            <w:hideMark/>
          </w:tcPr>
          <w:p w14:paraId="0A14C98B" w14:textId="77777777" w:rsidR="00E040FD" w:rsidRDefault="00740D64">
            <w:pPr>
              <w:pStyle w:val="P68B1DB1-Normal8"/>
              <w:spacing w:after="0" w:line="240" w:lineRule="auto"/>
              <w:rPr>
                <w:rFonts w:eastAsia="Times New Roman" w:cs="Calibri"/>
                <w:noProof/>
              </w:rPr>
            </w:pPr>
            <w:r>
              <w:rPr>
                <w:noProof/>
              </w:rPr>
              <w:t>Slutförande av bygg- och anläggningsarbeten</w:t>
            </w:r>
          </w:p>
        </w:tc>
        <w:tc>
          <w:tcPr>
            <w:tcW w:w="930" w:type="dxa"/>
            <w:shd w:val="clear" w:color="auto" w:fill="C4EFCE"/>
            <w:vAlign w:val="center"/>
            <w:hideMark/>
          </w:tcPr>
          <w:p w14:paraId="5A849F2E" w14:textId="77777777" w:rsidR="00E040FD" w:rsidRDefault="00740D64">
            <w:pPr>
              <w:pStyle w:val="P68B1DB1-Normal8"/>
              <w:spacing w:after="0" w:line="240" w:lineRule="auto"/>
              <w:jc w:val="center"/>
              <w:rPr>
                <w:rFonts w:eastAsia="Times New Roman" w:cs="Calibri"/>
                <w:noProof/>
              </w:rPr>
            </w:pPr>
            <w:r>
              <w:rPr>
                <w:noProof/>
              </w:rPr>
              <w:t>Antal</w:t>
            </w:r>
          </w:p>
        </w:tc>
        <w:tc>
          <w:tcPr>
            <w:tcW w:w="1225" w:type="dxa"/>
            <w:shd w:val="clear" w:color="auto" w:fill="C4EFCE"/>
            <w:vAlign w:val="center"/>
            <w:hideMark/>
          </w:tcPr>
          <w:p w14:paraId="2CDB7EB4" w14:textId="77777777" w:rsidR="00E040FD" w:rsidRDefault="00740D64">
            <w:pPr>
              <w:pStyle w:val="P68B1DB1-Normal8"/>
              <w:spacing w:after="0" w:line="240" w:lineRule="auto"/>
              <w:jc w:val="center"/>
              <w:rPr>
                <w:rFonts w:eastAsia="Times New Roman" w:cs="Calibri"/>
                <w:noProof/>
              </w:rPr>
            </w:pPr>
            <w:r>
              <w:rPr>
                <w:noProof/>
              </w:rPr>
              <w:t>0</w:t>
            </w:r>
          </w:p>
        </w:tc>
        <w:tc>
          <w:tcPr>
            <w:tcW w:w="671" w:type="dxa"/>
            <w:shd w:val="clear" w:color="auto" w:fill="C4EFCE"/>
            <w:vAlign w:val="center"/>
            <w:hideMark/>
          </w:tcPr>
          <w:p w14:paraId="7B9894CE" w14:textId="6B71FBD0" w:rsidR="00E040FD" w:rsidRDefault="00740D64">
            <w:pPr>
              <w:pStyle w:val="P68B1DB1-Normal8"/>
              <w:spacing w:after="0" w:line="240" w:lineRule="auto"/>
              <w:jc w:val="center"/>
              <w:rPr>
                <w:rFonts w:eastAsia="Times New Roman" w:cs="Calibri"/>
                <w:noProof/>
              </w:rPr>
            </w:pPr>
            <w:r>
              <w:rPr>
                <w:noProof/>
              </w:rPr>
              <w:t>75</w:t>
            </w:r>
          </w:p>
        </w:tc>
        <w:tc>
          <w:tcPr>
            <w:tcW w:w="539" w:type="dxa"/>
            <w:shd w:val="clear" w:color="auto" w:fill="C4EFCE"/>
            <w:vAlign w:val="center"/>
            <w:hideMark/>
          </w:tcPr>
          <w:p w14:paraId="2791A5BD" w14:textId="0ED63B4C" w:rsidR="00E040FD" w:rsidRDefault="00740D64">
            <w:pPr>
              <w:pStyle w:val="P68B1DB1-Normal8"/>
              <w:spacing w:after="0" w:line="240" w:lineRule="auto"/>
              <w:jc w:val="center"/>
              <w:rPr>
                <w:rFonts w:eastAsia="Times New Roman" w:cs="Calibri"/>
                <w:noProof/>
              </w:rPr>
            </w:pPr>
            <w:r>
              <w:rPr>
                <w:noProof/>
              </w:rPr>
              <w:t>KVARTAL 1 </w:t>
            </w:r>
          </w:p>
        </w:tc>
        <w:tc>
          <w:tcPr>
            <w:tcW w:w="672" w:type="dxa"/>
            <w:shd w:val="clear" w:color="auto" w:fill="C4EFCE"/>
            <w:vAlign w:val="center"/>
            <w:hideMark/>
          </w:tcPr>
          <w:p w14:paraId="199003BA" w14:textId="4BAD9944" w:rsidR="00E040FD" w:rsidRDefault="00740D64">
            <w:pPr>
              <w:pStyle w:val="P68B1DB1-Normal8"/>
              <w:spacing w:after="0" w:line="240" w:lineRule="auto"/>
              <w:jc w:val="center"/>
              <w:rPr>
                <w:rFonts w:eastAsia="Times New Roman" w:cs="Calibri"/>
                <w:noProof/>
              </w:rPr>
            </w:pPr>
            <w:r>
              <w:rPr>
                <w:noProof/>
              </w:rPr>
              <w:t>2026</w:t>
            </w:r>
          </w:p>
        </w:tc>
        <w:tc>
          <w:tcPr>
            <w:tcW w:w="3756" w:type="dxa"/>
            <w:shd w:val="clear" w:color="auto" w:fill="C4EFCE"/>
            <w:vAlign w:val="center"/>
            <w:hideMark/>
          </w:tcPr>
          <w:p w14:paraId="44EBB5A9" w14:textId="5E647B96" w:rsidR="00E040FD" w:rsidRDefault="00740D64">
            <w:pPr>
              <w:pStyle w:val="P68B1DB1-Normal8"/>
              <w:spacing w:after="0" w:line="240" w:lineRule="auto"/>
              <w:jc w:val="both"/>
              <w:rPr>
                <w:rFonts w:eastAsia="Times New Roman" w:cs="Calibri"/>
                <w:noProof/>
              </w:rPr>
            </w:pPr>
            <w:r>
              <w:rPr>
                <w:noProof/>
              </w:rPr>
              <w:t>Antal kulturplatser för vilka arbeten för återställande och bevarande av museer, monument, statspalats och nationella teatrar har slutförts.</w:t>
            </w:r>
          </w:p>
        </w:tc>
      </w:tr>
      <w:tr w:rsidR="00E040FD" w14:paraId="6C8F3CC5" w14:textId="77777777">
        <w:trPr>
          <w:trHeight w:val="2486"/>
        </w:trPr>
        <w:tc>
          <w:tcPr>
            <w:tcW w:w="1067" w:type="dxa"/>
            <w:shd w:val="clear" w:color="auto" w:fill="C5EFCE"/>
            <w:vAlign w:val="center"/>
          </w:tcPr>
          <w:p w14:paraId="14F7780E" w14:textId="50B225CD" w:rsidR="00E040FD" w:rsidRDefault="00740D64">
            <w:pPr>
              <w:pStyle w:val="P68B1DB1-Normal11"/>
              <w:spacing w:line="240" w:lineRule="auto"/>
              <w:jc w:val="center"/>
              <w:rPr>
                <w:rFonts w:eastAsiaTheme="minorEastAsia"/>
                <w:noProof/>
              </w:rPr>
            </w:pPr>
            <w:r>
              <w:rPr>
                <w:noProof/>
              </w:rPr>
              <w:t>4.11</w:t>
            </w:r>
          </w:p>
        </w:tc>
        <w:tc>
          <w:tcPr>
            <w:tcW w:w="1191" w:type="dxa"/>
            <w:shd w:val="clear" w:color="auto" w:fill="C4EFCE"/>
            <w:vAlign w:val="center"/>
          </w:tcPr>
          <w:p w14:paraId="031805CE" w14:textId="198EF4ED" w:rsidR="00E040FD" w:rsidRDefault="00740D64">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tcPr>
          <w:p w14:paraId="0170B3FA" w14:textId="1839734A" w:rsidR="00E040FD" w:rsidRDefault="00740D64">
            <w:pPr>
              <w:pStyle w:val="P68B1DB1-Normal12"/>
              <w:spacing w:line="240" w:lineRule="auto"/>
              <w:jc w:val="center"/>
              <w:rPr>
                <w:rFonts w:eastAsiaTheme="minorEastAsia"/>
                <w:noProof/>
              </w:rPr>
            </w:pPr>
            <w:r>
              <w:rPr>
                <w:noProof/>
              </w:rPr>
              <w:t>M</w:t>
            </w:r>
          </w:p>
        </w:tc>
        <w:tc>
          <w:tcPr>
            <w:tcW w:w="1588" w:type="dxa"/>
            <w:shd w:val="clear" w:color="auto" w:fill="C4EFCE"/>
            <w:vAlign w:val="center"/>
          </w:tcPr>
          <w:p w14:paraId="7A827ECC" w14:textId="31B94B99" w:rsidR="00E040FD" w:rsidRDefault="00740D64">
            <w:pPr>
              <w:pStyle w:val="P68B1DB1-Normal8"/>
              <w:widowControl w:val="0"/>
              <w:spacing w:after="0" w:line="240" w:lineRule="auto"/>
              <w:jc w:val="center"/>
              <w:rPr>
                <w:rFonts w:eastAsia="Calibri" w:cs="Calibri"/>
                <w:noProof/>
              </w:rPr>
            </w:pPr>
            <w:r>
              <w:rPr>
                <w:noProof/>
              </w:rPr>
              <w:t>Installation av laboratorier och rutter för initiativet ”Saber Fazer” Tekniskt centrum och skapande av pedagogisk och informativ verksamhet om traditionell teknik.</w:t>
            </w:r>
          </w:p>
        </w:tc>
        <w:tc>
          <w:tcPr>
            <w:tcW w:w="1193" w:type="dxa"/>
            <w:shd w:val="clear" w:color="auto" w:fill="C4EFCE"/>
            <w:vAlign w:val="center"/>
          </w:tcPr>
          <w:p w14:paraId="02EC0D5B" w14:textId="2468D793" w:rsidR="00E040FD" w:rsidRDefault="00740D64">
            <w:pPr>
              <w:pStyle w:val="P68B1DB1-Normal8"/>
              <w:spacing w:after="0" w:line="240" w:lineRule="auto"/>
              <w:jc w:val="center"/>
              <w:rPr>
                <w:rFonts w:eastAsia="Calibri" w:cs="Calibri"/>
                <w:noProof/>
              </w:rPr>
            </w:pPr>
            <w:r>
              <w:rPr>
                <w:noProof/>
              </w:rPr>
              <w:t>Installation av laboratorier och rutter och skapande av informationsverksamhet</w:t>
            </w:r>
          </w:p>
        </w:tc>
        <w:tc>
          <w:tcPr>
            <w:tcW w:w="930" w:type="dxa"/>
            <w:shd w:val="clear" w:color="auto" w:fill="C4EFCE"/>
            <w:vAlign w:val="center"/>
          </w:tcPr>
          <w:p w14:paraId="00D6DCB5" w14:textId="6E4FFB7F" w:rsidR="00E040FD" w:rsidRDefault="00E040FD">
            <w:pPr>
              <w:spacing w:line="240" w:lineRule="auto"/>
              <w:jc w:val="center"/>
              <w:rPr>
                <w:rFonts w:eastAsiaTheme="minorEastAsia"/>
                <w:noProof/>
                <w:sz w:val="16"/>
              </w:rPr>
            </w:pPr>
          </w:p>
        </w:tc>
        <w:tc>
          <w:tcPr>
            <w:tcW w:w="1225" w:type="dxa"/>
            <w:shd w:val="clear" w:color="auto" w:fill="C4EFCE"/>
            <w:vAlign w:val="center"/>
          </w:tcPr>
          <w:p w14:paraId="212F99FB" w14:textId="75AD13CC" w:rsidR="00E040FD" w:rsidRDefault="00E040FD">
            <w:pPr>
              <w:spacing w:line="240" w:lineRule="auto"/>
              <w:jc w:val="center"/>
              <w:rPr>
                <w:rFonts w:eastAsiaTheme="minorEastAsia"/>
                <w:noProof/>
                <w:sz w:val="16"/>
              </w:rPr>
            </w:pPr>
          </w:p>
        </w:tc>
        <w:tc>
          <w:tcPr>
            <w:tcW w:w="671" w:type="dxa"/>
            <w:shd w:val="clear" w:color="auto" w:fill="C4EFCE"/>
            <w:vAlign w:val="center"/>
          </w:tcPr>
          <w:p w14:paraId="55B67104" w14:textId="32C4CF8D" w:rsidR="00E040FD" w:rsidRDefault="00E040FD">
            <w:pPr>
              <w:spacing w:line="240" w:lineRule="auto"/>
              <w:jc w:val="center"/>
              <w:rPr>
                <w:rFonts w:eastAsiaTheme="minorEastAsia"/>
                <w:noProof/>
                <w:sz w:val="16"/>
              </w:rPr>
            </w:pPr>
          </w:p>
        </w:tc>
        <w:tc>
          <w:tcPr>
            <w:tcW w:w="539" w:type="dxa"/>
            <w:shd w:val="clear" w:color="auto" w:fill="C4EFCE"/>
            <w:vAlign w:val="center"/>
          </w:tcPr>
          <w:p w14:paraId="21CA84BA" w14:textId="4EA4C59D" w:rsidR="00E040FD" w:rsidRDefault="00740D64">
            <w:pPr>
              <w:pStyle w:val="P68B1DB1-Normal12"/>
              <w:spacing w:line="240" w:lineRule="auto"/>
              <w:jc w:val="center"/>
              <w:rPr>
                <w:rFonts w:eastAsiaTheme="minorEastAsia"/>
                <w:noProof/>
              </w:rPr>
            </w:pPr>
            <w:r>
              <w:rPr>
                <w:noProof/>
              </w:rPr>
              <w:t>KVARTAL 4</w:t>
            </w:r>
          </w:p>
        </w:tc>
        <w:tc>
          <w:tcPr>
            <w:tcW w:w="672" w:type="dxa"/>
            <w:shd w:val="clear" w:color="auto" w:fill="C4EFCE"/>
            <w:vAlign w:val="center"/>
          </w:tcPr>
          <w:p w14:paraId="48405223" w14:textId="3B99029C" w:rsidR="00E040FD" w:rsidRDefault="00740D64">
            <w:pPr>
              <w:pStyle w:val="P68B1DB1-Normal12"/>
              <w:spacing w:line="240" w:lineRule="auto"/>
              <w:jc w:val="center"/>
              <w:rPr>
                <w:rFonts w:eastAsiaTheme="minorEastAsia"/>
                <w:noProof/>
              </w:rPr>
            </w:pPr>
            <w:r>
              <w:rPr>
                <w:noProof/>
              </w:rPr>
              <w:t>2025</w:t>
            </w:r>
          </w:p>
        </w:tc>
        <w:tc>
          <w:tcPr>
            <w:tcW w:w="3756" w:type="dxa"/>
            <w:shd w:val="clear" w:color="auto" w:fill="C4EFCE"/>
            <w:vAlign w:val="center"/>
          </w:tcPr>
          <w:p w14:paraId="68A57C86" w14:textId="204DEDB9" w:rsidR="00E040FD" w:rsidRDefault="00740D64">
            <w:pPr>
              <w:pStyle w:val="P68B1DB1-Normal8"/>
              <w:spacing w:line="240" w:lineRule="auto"/>
              <w:rPr>
                <w:rFonts w:eastAsia="Calibri" w:cs="Calibri"/>
                <w:noProof/>
              </w:rPr>
            </w:pPr>
            <w:r>
              <w:rPr>
                <w:noProof/>
              </w:rPr>
              <w:t>Laboratorier och rutter för initiativet ”Saber Fazer” ska installeras.</w:t>
            </w:r>
          </w:p>
          <w:p w14:paraId="4A586D50" w14:textId="49FECD44" w:rsidR="00E040FD" w:rsidRDefault="00740D64">
            <w:pPr>
              <w:pStyle w:val="P68B1DB1-Normal8"/>
              <w:spacing w:line="240" w:lineRule="auto"/>
              <w:rPr>
                <w:rFonts w:eastAsia="Calibri" w:cs="Calibri"/>
                <w:noProof/>
              </w:rPr>
            </w:pPr>
            <w:r>
              <w:rPr>
                <w:noProof/>
              </w:rPr>
              <w:t>Pedagogisk och informativ verksamhet om traditionell teknik ska skapas.</w:t>
            </w:r>
          </w:p>
        </w:tc>
      </w:tr>
      <w:tr w:rsidR="00E040FD" w14:paraId="2E9B74C5" w14:textId="77777777">
        <w:trPr>
          <w:trHeight w:val="1232"/>
        </w:trPr>
        <w:tc>
          <w:tcPr>
            <w:tcW w:w="1067" w:type="dxa"/>
            <w:shd w:val="clear" w:color="auto" w:fill="C5EFCE"/>
            <w:vAlign w:val="center"/>
          </w:tcPr>
          <w:p w14:paraId="7B23F4D9" w14:textId="656A027C" w:rsidR="00E040FD" w:rsidRDefault="00740D64">
            <w:pPr>
              <w:pStyle w:val="P68B1DB1-Normal11"/>
              <w:spacing w:after="0" w:line="240" w:lineRule="auto"/>
              <w:jc w:val="center"/>
              <w:rPr>
                <w:rFonts w:eastAsiaTheme="minorEastAsia"/>
                <w:noProof/>
              </w:rPr>
            </w:pPr>
            <w:r>
              <w:rPr>
                <w:noProof/>
              </w:rPr>
              <w:t>4.12</w:t>
            </w:r>
          </w:p>
        </w:tc>
        <w:tc>
          <w:tcPr>
            <w:tcW w:w="1191" w:type="dxa"/>
            <w:shd w:val="clear" w:color="auto" w:fill="C4EFCE"/>
            <w:vAlign w:val="center"/>
          </w:tcPr>
          <w:p w14:paraId="2D75212B" w14:textId="699667CF" w:rsidR="00E040FD" w:rsidRDefault="00740D64">
            <w:pPr>
              <w:pStyle w:val="P68B1DB1-Normal12"/>
              <w:spacing w:line="240" w:lineRule="auto"/>
              <w:jc w:val="center"/>
              <w:rPr>
                <w:rFonts w:eastAsiaTheme="minorEastAsia"/>
                <w:noProof/>
              </w:rPr>
            </w:pPr>
            <w:r>
              <w:rPr>
                <w:noProof/>
              </w:rPr>
              <w:t>RE-C04-i02</w:t>
            </w:r>
          </w:p>
        </w:tc>
        <w:tc>
          <w:tcPr>
            <w:tcW w:w="1060" w:type="dxa"/>
            <w:shd w:val="clear" w:color="auto" w:fill="C4EFCE"/>
            <w:vAlign w:val="center"/>
          </w:tcPr>
          <w:p w14:paraId="01863DAD" w14:textId="500BD97C" w:rsidR="00E040FD" w:rsidRDefault="00740D64">
            <w:pPr>
              <w:pStyle w:val="P68B1DB1-Normal12"/>
              <w:spacing w:after="0" w:line="240" w:lineRule="auto"/>
              <w:jc w:val="center"/>
              <w:rPr>
                <w:rFonts w:eastAsiaTheme="minorEastAsia"/>
                <w:noProof/>
              </w:rPr>
            </w:pPr>
            <w:r>
              <w:rPr>
                <w:noProof/>
              </w:rPr>
              <w:t>M</w:t>
            </w:r>
          </w:p>
        </w:tc>
        <w:tc>
          <w:tcPr>
            <w:tcW w:w="1588" w:type="dxa"/>
            <w:shd w:val="clear" w:color="auto" w:fill="C4EFCE"/>
            <w:vAlign w:val="center"/>
          </w:tcPr>
          <w:p w14:paraId="15F8BB2A" w14:textId="4AD42237" w:rsidR="00E040FD" w:rsidRDefault="00740D64">
            <w:pPr>
              <w:pStyle w:val="P68B1DB1-Normal12"/>
              <w:widowControl w:val="0"/>
              <w:spacing w:after="0" w:line="240" w:lineRule="auto"/>
              <w:jc w:val="center"/>
              <w:rPr>
                <w:rFonts w:eastAsia="Calibri"/>
                <w:noProof/>
              </w:rPr>
            </w:pPr>
            <w:r>
              <w:rPr>
                <w:noProof/>
              </w:rPr>
              <w:t>Färdigställande av det nationella ljudarkivet</w:t>
            </w:r>
          </w:p>
        </w:tc>
        <w:tc>
          <w:tcPr>
            <w:tcW w:w="1193" w:type="dxa"/>
            <w:shd w:val="clear" w:color="auto" w:fill="C4EFCE"/>
            <w:vAlign w:val="center"/>
          </w:tcPr>
          <w:p w14:paraId="21192B9D" w14:textId="5381A138" w:rsidR="00E040FD" w:rsidRDefault="00740D64">
            <w:pPr>
              <w:pStyle w:val="P68B1DB1-Normal12"/>
              <w:spacing w:after="0" w:line="240" w:lineRule="auto"/>
              <w:jc w:val="center"/>
              <w:rPr>
                <w:rFonts w:eastAsiaTheme="minorEastAsia"/>
                <w:noProof/>
              </w:rPr>
            </w:pPr>
            <w:r>
              <w:rPr>
                <w:noProof/>
              </w:rPr>
              <w:t>Slutförande av byggnadsarbeten</w:t>
            </w:r>
          </w:p>
          <w:p w14:paraId="0230FF46" w14:textId="6B7D17FB" w:rsidR="00E040FD" w:rsidRDefault="00E040FD">
            <w:pPr>
              <w:spacing w:after="0" w:line="240" w:lineRule="auto"/>
              <w:jc w:val="center"/>
              <w:rPr>
                <w:rFonts w:eastAsiaTheme="minorEastAsia"/>
                <w:noProof/>
                <w:sz w:val="16"/>
              </w:rPr>
            </w:pPr>
          </w:p>
        </w:tc>
        <w:tc>
          <w:tcPr>
            <w:tcW w:w="930" w:type="dxa"/>
            <w:shd w:val="clear" w:color="auto" w:fill="C4EFCE"/>
            <w:vAlign w:val="center"/>
          </w:tcPr>
          <w:p w14:paraId="2CBDC436" w14:textId="77777777" w:rsidR="00E040FD" w:rsidRDefault="00E040FD">
            <w:pPr>
              <w:spacing w:after="0" w:line="240" w:lineRule="auto"/>
              <w:jc w:val="center"/>
              <w:rPr>
                <w:rFonts w:eastAsiaTheme="minorEastAsia"/>
                <w:noProof/>
                <w:sz w:val="16"/>
              </w:rPr>
            </w:pPr>
          </w:p>
        </w:tc>
        <w:tc>
          <w:tcPr>
            <w:tcW w:w="1225" w:type="dxa"/>
            <w:shd w:val="clear" w:color="auto" w:fill="C4EFCE"/>
            <w:vAlign w:val="center"/>
          </w:tcPr>
          <w:p w14:paraId="071D080E" w14:textId="77777777" w:rsidR="00E040FD" w:rsidRDefault="00E040FD">
            <w:pPr>
              <w:spacing w:after="0" w:line="240" w:lineRule="auto"/>
              <w:jc w:val="center"/>
              <w:rPr>
                <w:rFonts w:eastAsiaTheme="minorEastAsia"/>
                <w:noProof/>
                <w:sz w:val="16"/>
              </w:rPr>
            </w:pPr>
          </w:p>
        </w:tc>
        <w:tc>
          <w:tcPr>
            <w:tcW w:w="671" w:type="dxa"/>
            <w:shd w:val="clear" w:color="auto" w:fill="C4EFCE"/>
            <w:vAlign w:val="center"/>
          </w:tcPr>
          <w:p w14:paraId="7FCAA4F0" w14:textId="77777777" w:rsidR="00E040FD" w:rsidRDefault="00E040FD">
            <w:pPr>
              <w:spacing w:after="0" w:line="240" w:lineRule="auto"/>
              <w:jc w:val="center"/>
              <w:rPr>
                <w:rFonts w:eastAsiaTheme="minorEastAsia"/>
                <w:noProof/>
                <w:sz w:val="16"/>
              </w:rPr>
            </w:pPr>
          </w:p>
        </w:tc>
        <w:tc>
          <w:tcPr>
            <w:tcW w:w="539" w:type="dxa"/>
            <w:shd w:val="clear" w:color="auto" w:fill="C4EFCE"/>
            <w:vAlign w:val="center"/>
          </w:tcPr>
          <w:p w14:paraId="1C2674F4" w14:textId="7A52A272" w:rsidR="00E040FD" w:rsidRDefault="00740D64">
            <w:pPr>
              <w:pStyle w:val="P68B1DB1-Normal12"/>
              <w:spacing w:after="0" w:line="240" w:lineRule="auto"/>
              <w:jc w:val="center"/>
              <w:rPr>
                <w:rFonts w:eastAsiaTheme="minorEastAsia"/>
                <w:noProof/>
              </w:rPr>
            </w:pPr>
            <w:r>
              <w:rPr>
                <w:noProof/>
              </w:rPr>
              <w:t>KVARTAL 1</w:t>
            </w:r>
          </w:p>
        </w:tc>
        <w:tc>
          <w:tcPr>
            <w:tcW w:w="672" w:type="dxa"/>
            <w:shd w:val="clear" w:color="auto" w:fill="C4EFCE"/>
            <w:vAlign w:val="center"/>
          </w:tcPr>
          <w:p w14:paraId="0A6163C6" w14:textId="6FB0E70F" w:rsidR="00E040FD" w:rsidRDefault="00740D64">
            <w:pPr>
              <w:pStyle w:val="P68B1DB1-Normal12"/>
              <w:spacing w:after="0" w:line="240" w:lineRule="auto"/>
              <w:jc w:val="center"/>
              <w:rPr>
                <w:rFonts w:eastAsiaTheme="minorEastAsia"/>
                <w:noProof/>
              </w:rPr>
            </w:pPr>
            <w:r>
              <w:rPr>
                <w:noProof/>
              </w:rPr>
              <w:t>2026</w:t>
            </w:r>
          </w:p>
        </w:tc>
        <w:tc>
          <w:tcPr>
            <w:tcW w:w="3756" w:type="dxa"/>
            <w:shd w:val="clear" w:color="auto" w:fill="C4EFCE"/>
            <w:vAlign w:val="center"/>
          </w:tcPr>
          <w:p w14:paraId="553D6012" w14:textId="684A611B" w:rsidR="00E040FD" w:rsidRDefault="00740D64">
            <w:pPr>
              <w:pStyle w:val="P68B1DB1-Normal12"/>
              <w:spacing w:line="240" w:lineRule="auto"/>
              <w:rPr>
                <w:rFonts w:ascii="Calibri" w:eastAsia="Times New Roman" w:hAnsi="Calibri" w:cs="Calibri"/>
                <w:noProof/>
              </w:rPr>
            </w:pPr>
            <w:r>
              <w:rPr>
                <w:noProof/>
              </w:rPr>
              <w:t>Färdigställande av byggnaden för det nationella ljudarkivet. Byggnaden ska ha en användbar area på minst 1 100 kvadratmeter och vara utrustad för att bland annat bevara sunda dokument. En</w:t>
            </w:r>
            <w:r>
              <w:rPr>
                <w:rFonts w:ascii="Calibri" w:hAnsi="Calibri"/>
                <w:noProof/>
              </w:rPr>
              <w:t>ny byggnad ska ha ett primärenergibehov som är minst 20 % lägre än kraven för nära-nollenergibyggnader.</w:t>
            </w:r>
          </w:p>
        </w:tc>
      </w:tr>
    </w:tbl>
    <w:p w14:paraId="7A7D7EC6" w14:textId="25A02098" w:rsidR="00E040FD" w:rsidRDefault="00E040FD">
      <w:pPr>
        <w:rPr>
          <w:noProof/>
        </w:rPr>
      </w:pPr>
    </w:p>
    <w:p w14:paraId="796D791C" w14:textId="77777777" w:rsidR="00E040FD" w:rsidRDefault="00E040FD">
      <w:pPr>
        <w:rPr>
          <w:rFonts w:ascii="Times New Roman" w:eastAsiaTheme="minorEastAsia" w:hAnsi="Times New Roman" w:cs="Times New Roman"/>
          <w:noProof/>
          <w:sz w:val="24"/>
        </w:rPr>
      </w:pPr>
    </w:p>
    <w:p w14:paraId="77CC12FE" w14:textId="77777777" w:rsidR="00E040FD" w:rsidRDefault="00E040FD">
      <w:pPr>
        <w:rPr>
          <w:rFonts w:ascii="Times New Roman" w:eastAsiaTheme="minorEastAsia" w:hAnsi="Times New Roman" w:cs="Times New Roman"/>
          <w:noProof/>
          <w:sz w:val="24"/>
        </w:rPr>
      </w:pPr>
    </w:p>
    <w:p w14:paraId="62B18445" w14:textId="77777777" w:rsidR="00E040FD" w:rsidRDefault="00E040FD">
      <w:pPr>
        <w:rPr>
          <w:rFonts w:ascii="Times New Roman" w:eastAsiaTheme="minorEastAsia" w:hAnsi="Times New Roman" w:cs="Times New Roman"/>
          <w:b/>
          <w:noProof/>
          <w:sz w:val="24"/>
          <w:u w:val="single"/>
        </w:rPr>
        <w:sectPr w:rsidR="00E040FD" w:rsidSect="00E00EDD">
          <w:headerReference w:type="even" r:id="rId90"/>
          <w:headerReference w:type="default" r:id="rId91"/>
          <w:footerReference w:type="even" r:id="rId92"/>
          <w:footerReference w:type="default" r:id="rId93"/>
          <w:headerReference w:type="first" r:id="rId94"/>
          <w:footerReference w:type="first" r:id="rId95"/>
          <w:pgSz w:w="16839" w:h="11907" w:orient="landscape"/>
          <w:pgMar w:top="1134" w:right="1134" w:bottom="1134" w:left="1134" w:header="567" w:footer="567" w:gutter="0"/>
          <w:cols w:space="720"/>
          <w:docGrid w:linePitch="360"/>
        </w:sectPr>
      </w:pPr>
    </w:p>
    <w:p w14:paraId="67852003" w14:textId="77777777" w:rsidR="00E040FD" w:rsidRDefault="00740D64">
      <w:pPr>
        <w:pStyle w:val="P68B1DB1-Normal3"/>
        <w:rPr>
          <w:rFonts w:eastAsiaTheme="minorEastAsia" w:cs="Times New Roman"/>
          <w:noProof/>
        </w:rPr>
      </w:pPr>
      <w:r>
        <w:rPr>
          <w:noProof/>
        </w:rPr>
        <w:t>E. KOMPONENT 5: Investering och innovation</w:t>
      </w:r>
    </w:p>
    <w:p w14:paraId="1531FA16" w14:textId="77777777" w:rsidR="00E040FD" w:rsidRDefault="00740D64">
      <w:pPr>
        <w:pStyle w:val="P68B1DB1-Normal4"/>
        <w:jc w:val="both"/>
        <w:rPr>
          <w:rFonts w:eastAsiaTheme="minorEastAsia" w:cs="Times New Roman"/>
          <w:noProof/>
        </w:rPr>
      </w:pPr>
      <w:r>
        <w:rPr>
          <w:noProof/>
        </w:rPr>
        <w:t>Denna del av Portugals återhämtnings- och resiliensplan tar itu med utmaningar kopplade till den relativt blygsamma nivån av forskning och innovation, särskilt genom att främja kopplingarna mellan näringsliv och vetenskap och med särskilt fokus på innovation i samband med den gröna omställningen, och utmaningar i samband med den kroniska underkapitaliseringen av den portugisiska företagssektorn som har försämrats ytterligare till följd av covid-19-pandemin.</w:t>
      </w:r>
    </w:p>
    <w:p w14:paraId="44389BA8" w14:textId="77777777" w:rsidR="00E040FD" w:rsidRDefault="00740D64">
      <w:pPr>
        <w:pStyle w:val="P68B1DB1-Normal4"/>
        <w:jc w:val="both"/>
        <w:rPr>
          <w:rFonts w:eastAsiaTheme="minorEastAsia" w:cs="Times New Roman"/>
          <w:noProof/>
        </w:rPr>
      </w:pPr>
      <w:r>
        <w:rPr>
          <w:noProof/>
        </w:rPr>
        <w:t xml:space="preserve">Syftet med komponenten är att öka den portugisiska ekonomins konkurrenskraft och motståndskraft genom åtgärder som syftar till att stärka forskningen genom att främja överföring av dess resultat till näringslivet och på så sätt främja innovation och investeringar. Delen forskning och innovation syftar till att förbättra samarbetet mellan den akademiska världen och näringslivet, stärka Portugals vetenskapliga och tekniska potential och stödja genomförandet av ambitiösa och omfattande forsknings- och innovationsagendor som tar itu med stora socioekonomiska och miljömässiga utmaningar. Detta förväntas uppnås genom ökade och effektivare FoU-investeringar och innovationsinvesteringar, riktat stöd för att bättre omsätta forskningsresultat i investeringar, diversifiering och specialisering av produktionsstrukturen, utnyttjande av den faktiska potentialen för konkurrensbekräftelse från etablerade industrisektorer och framväxande områden och bidra till den gröna och digitala omställningen. Denna komponent syftar särskilt till att öka exporten av varor och tjänster med högt mervärde, öka FoU-investeringarna (både genom nya högkvalificerade arbetstillfällen och genom att öka företagens FoU-utgifter) och bidra till att minska CO2-utsläppen. </w:t>
      </w:r>
    </w:p>
    <w:p w14:paraId="0D653E56" w14:textId="77777777" w:rsidR="00E040FD" w:rsidRDefault="00740D64">
      <w:pPr>
        <w:pStyle w:val="P68B1DB1-Normal4"/>
        <w:jc w:val="both"/>
        <w:rPr>
          <w:rFonts w:eastAsiaTheme="minorEastAsia" w:cs="Times New Roman"/>
          <w:noProof/>
        </w:rPr>
      </w:pPr>
      <w:r>
        <w:rPr>
          <w:noProof/>
        </w:rPr>
        <w:t xml:space="preserve">I linje med behovet av att stödja produktionssystemets solvens och åtgärda marknadsmisslyckanden när det gäller tillgång till finansiering omfattar denna komponent en reform och investeringar som bidrar till att förbättra den portugisiska marknaden för företagsfinansiering, genom inrättande och kapitalförstärkning av National Promotional Bank, </w:t>
      </w:r>
      <w:r>
        <w:rPr>
          <w:i/>
          <w:noProof/>
        </w:rPr>
        <w:t>Banco Português de Fomento</w:t>
      </w:r>
      <w:r>
        <w:rPr>
          <w:noProof/>
        </w:rPr>
        <w:t xml:space="preserve"> och utveckling av nya finansiella instrument. Genom komponenten införs också kapitalmarknadsreformer för att stärka kapitalmarknaderna i Portugal på lång sikt genom en översyn av den befintliga rättsliga ramen och antagande av nya lagar, med särskild tonvikt på värdepappersinvesteringsbolag för utveckling av ekonomin (SIMFE), företag för kollektiva investeringar och översyn av värdepapperslagen.</w:t>
      </w:r>
    </w:p>
    <w:p w14:paraId="0F7F4FD3" w14:textId="77777777" w:rsidR="00E040FD" w:rsidRDefault="00740D64">
      <w:pPr>
        <w:pStyle w:val="P68B1DB1-Normal4"/>
        <w:jc w:val="both"/>
        <w:rPr>
          <w:rFonts w:eastAsiaTheme="minorEastAsia" w:cs="Times New Roman"/>
          <w:noProof/>
        </w:rPr>
      </w:pPr>
      <w:r>
        <w:rPr>
          <w:noProof/>
        </w:rPr>
        <w:t xml:space="preserve">Komponenten stöder genomförandet av den landsspecifika rekommendationen om investeringar i klimatomställningen (landsspecifik rekommendation 3 2020), den landsspecifika rekommendationen om inriktning på den ekonomiska politiken i samband med investeringar i innovation (landsspecifik rekommendation 3 2019) och landsspecifik rekommendation 3 2020 (investeringar i den gröna och digitala omställningen). Komponenten bidrar till att följa den landsspecifika rekommendationen om genomförande av tillfälliga åtgärder som syftar till att säkerställa tillgång till likviditet för företag, särskilt små och medelstora företag, och främja privata investeringar för att främja den ekonomiska återhämtningen (landsspecifik rekommendation 3 2020). </w:t>
      </w:r>
    </w:p>
    <w:p w14:paraId="664ADF2C" w14:textId="511AE2E5" w:rsidR="00E040FD" w:rsidRDefault="00740D64">
      <w:pPr>
        <w:pStyle w:val="P68B1DB1-Normal4"/>
        <w:jc w:val="both"/>
        <w:rPr>
          <w:rFonts w:eastAsiaTheme="minorEastAsia" w:cs="Times New Roman"/>
          <w:noProof/>
        </w:rPr>
      </w:pPr>
      <w:r>
        <w:rPr>
          <w:noProof/>
        </w:rPr>
        <w:t>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w:t>
      </w:r>
    </w:p>
    <w:p w14:paraId="61608694"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4F17D5AC" w14:textId="77777777"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E.1. Beskrivning av reformer och investeringar avseende icke återbetalningspliktigt ekonomiskt stöd</w:t>
      </w:r>
    </w:p>
    <w:p w14:paraId="606D15A1"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Reform RE-r09: Främjande av FoU och innovativa investeringar i företag</w:t>
      </w:r>
    </w:p>
    <w:p w14:paraId="53E39BC7" w14:textId="77777777" w:rsidR="00E040FD" w:rsidRDefault="00740D64">
      <w:pPr>
        <w:pStyle w:val="P68B1DB1-Normal4"/>
        <w:keepNext/>
        <w:spacing w:before="40" w:after="0" w:line="259" w:lineRule="auto"/>
        <w:jc w:val="both"/>
        <w:rPr>
          <w:rFonts w:eastAsiaTheme="minorEastAsia" w:cs="Times New Roman"/>
          <w:noProof/>
        </w:rPr>
      </w:pPr>
      <w:r>
        <w:rPr>
          <w:noProof/>
        </w:rPr>
        <w:t>Syftet med reformen är att främja FoU-investeringar, särskilt genom att säkerställa gynnsamma ramvillkor för att göra offentliga och privata FoU-investeringar mer effektiva och ändamålsenliga. Reformen ingår i uppdateringen av strategin för teknisk innovation och företagsinnovation 2018–2030. Denna uppdatering syftar till att underlätta finansiering och operationalisering av offentlig-privata partnerskap till stöd för ambitiösa forsknings- och innovationsagendor. Reformen syftar till att förenkla tillgången till finansieringsinstrument för FoU-verksamhet och bidra till att öka förutsägbarheten och stabiliteten i finansieringen genom att inrätta en flerårig programplaneringsram för offentliga FoU-investeringar, med stöd av ett oberoende övervakningssystem för FoU-investeringar. De investeringar som ska genomföras i samband med denna reform är RE-C05-i01.01 och RE-C05-i01.02.</w:t>
      </w:r>
    </w:p>
    <w:p w14:paraId="5DDBF669" w14:textId="77777777" w:rsidR="00E040FD" w:rsidRDefault="00740D64">
      <w:pPr>
        <w:pStyle w:val="P68B1DB1-Normal4"/>
        <w:keepNext/>
        <w:spacing w:before="40" w:after="0" w:line="259" w:lineRule="auto"/>
        <w:jc w:val="both"/>
        <w:rPr>
          <w:rFonts w:eastAsiaTheme="minorEastAsia" w:cs="Times New Roman"/>
          <w:noProof/>
        </w:rPr>
      </w:pPr>
      <w:r>
        <w:rPr>
          <w:noProof/>
        </w:rPr>
        <w:t>Genomförandet av reformen ska vara slutfört senast den 31 december 2021.</w:t>
      </w:r>
    </w:p>
    <w:p w14:paraId="5A89012B"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Reform RE-r11: Utvidgning och konsolidering av nätverket av gränssnittsinstitutioner.</w:t>
      </w:r>
    </w:p>
    <w:p w14:paraId="54FEC575"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 Syftet med reformen är att förbättra kopplingarna mellan den akademiska världen och näringslivet för att förbättra kunskapsflödena och tekniköverföringen.</w:t>
      </w:r>
    </w:p>
    <w:p w14:paraId="4CE9F67D"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Reformen ska bestå av en översyn och standardisering av lagstiftnings- och regleringsramen för systemet för teknikgränssnitt, särskilt de tekniska centrum och Interface-centrum som inrättats inom ramen för programmet Interface. Teknikcentrumen och Interface-centrumen kopplar samman forskningsorganisationer (inklusive högre utbildningsanstalter) och företag för att stödja kunskaps- och tekniköverföring. I reformen fastställs processen för inrättandet av dessa enheter och deras styrnings- och finansieringsmodell. </w:t>
      </w:r>
    </w:p>
    <w:p w14:paraId="46A20335"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 arbetsgrupp för möjliggörande av teknisk infrastruktur som regeringen har inrättat ansvarar för att utarbeta lagförslaget. </w:t>
      </w:r>
    </w:p>
    <w:p w14:paraId="5061F460"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 investeringar som ska genomföras i samband med denna reform är RE-C05-i01.01 och RE-C05-i01.02. </w:t>
      </w:r>
    </w:p>
    <w:p w14:paraId="58E8E4D5" w14:textId="77777777" w:rsidR="00E040FD" w:rsidRDefault="00740D64">
      <w:pPr>
        <w:pStyle w:val="P68B1DB1-Normal4"/>
        <w:keepNext/>
        <w:spacing w:before="40" w:after="0" w:line="259" w:lineRule="auto"/>
        <w:jc w:val="both"/>
        <w:rPr>
          <w:rFonts w:eastAsiaTheme="minorEastAsia"/>
          <w:noProof/>
        </w:rPr>
      </w:pPr>
      <w:r>
        <w:rPr>
          <w:noProof/>
        </w:rPr>
        <w:t xml:space="preserve">Genomförandet av reformen ska vara slutfört senast den 31 december 2021. </w:t>
      </w:r>
    </w:p>
    <w:p w14:paraId="799FB709"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Reform RE-r12: Forsknings- och innovationsagenda för hållbart jordbruk, livsmedel och jordbruksindustri.</w:t>
      </w:r>
    </w:p>
    <w:p w14:paraId="7F3DD78A"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reformen är att stärka jordbrukssektorn i Portugal och säkerställa en tryggad livsmedels- och näringsförsörjning, bidra till hälsa och välbefinnande, förbättra förvaltningen av landsbygdsområden, främja bevarandet av den biologiska mångfalden, hantera effekterna av klimatförändringarna, med nödvändiga anpassningar och bidrag för att mildra deras effekter och främja annan ekonomisk verksamhet, såsom jordbrukstjänster och till och med catering och turism. </w:t>
      </w:r>
    </w:p>
    <w:p w14:paraId="0282D255" w14:textId="77777777" w:rsidR="00E040FD" w:rsidRDefault="00740D64">
      <w:pPr>
        <w:pStyle w:val="P68B1DB1-Normal4"/>
        <w:keepNext/>
        <w:spacing w:before="40" w:after="0" w:line="259" w:lineRule="auto"/>
        <w:jc w:val="both"/>
        <w:rPr>
          <w:rFonts w:eastAsiaTheme="minorEastAsia" w:cs="Times New Roman"/>
          <w:noProof/>
        </w:rPr>
      </w:pPr>
      <w:r>
        <w:rPr>
          <w:noProof/>
        </w:rPr>
        <w:t>Reformen stöder genomförandet av innovationsagendan för jordbruket 20 | 30. Den ska bestå i att tillhandahålla de medel som krävs för att uppdatera och förbereda befintlig infrastruktur samt främja funktionella allianser längs den jordbruksbaserade livsmedelskedjan, företag och forskning, i syfte att främja utvecklingen och integreringen av forskning och innovation som är inriktad på jordbrukssektorns behov med tanke på den gröna och digitala omställningen.</w:t>
      </w:r>
    </w:p>
    <w:p w14:paraId="6FCBAA78" w14:textId="72B74A7B" w:rsidR="00E040FD" w:rsidRDefault="00740D64">
      <w:pPr>
        <w:pStyle w:val="P68B1DB1-Normal4"/>
        <w:keepNext/>
        <w:spacing w:before="40" w:after="0" w:line="259" w:lineRule="auto"/>
        <w:jc w:val="both"/>
        <w:rPr>
          <w:rFonts w:eastAsiaTheme="minorEastAsia" w:cs="Times New Roman"/>
          <w:noProof/>
        </w:rPr>
      </w:pPr>
      <w:r>
        <w:rPr>
          <w:noProof/>
        </w:rPr>
        <w:t xml:space="preserve">Genomförandet av reformen skulle vara slutfört senast den 31 december 2020. </w:t>
      </w:r>
    </w:p>
    <w:p w14:paraId="7CB132E9" w14:textId="34FB19F1" w:rsidR="00E040FD" w:rsidRDefault="00E040FD">
      <w:pPr>
        <w:keepNext/>
        <w:spacing w:before="40" w:after="0" w:line="259" w:lineRule="auto"/>
        <w:jc w:val="both"/>
        <w:rPr>
          <w:rFonts w:ascii="Times New Roman" w:eastAsiaTheme="minorEastAsia" w:hAnsi="Times New Roman" w:cs="Times New Roman"/>
          <w:noProof/>
          <w:sz w:val="24"/>
        </w:rPr>
      </w:pPr>
    </w:p>
    <w:p w14:paraId="201F11C9" w14:textId="62FA20B0" w:rsidR="00E040FD" w:rsidRDefault="00E040FD">
      <w:pPr>
        <w:keepNext/>
        <w:spacing w:before="40" w:after="0" w:line="259" w:lineRule="auto"/>
        <w:jc w:val="both"/>
        <w:rPr>
          <w:rFonts w:ascii="Times New Roman" w:eastAsiaTheme="minorEastAsia" w:hAnsi="Times New Roman" w:cs="Times New Roman"/>
          <w:noProof/>
          <w:sz w:val="24"/>
        </w:rPr>
      </w:pPr>
    </w:p>
    <w:p w14:paraId="30C4E385" w14:textId="77777777" w:rsidR="00E040FD" w:rsidRDefault="00E040FD">
      <w:pPr>
        <w:keepNext/>
        <w:spacing w:before="40" w:after="0" w:line="259" w:lineRule="auto"/>
        <w:jc w:val="both"/>
        <w:rPr>
          <w:rFonts w:ascii="Times New Roman" w:eastAsiaTheme="minorEastAsia" w:hAnsi="Times New Roman"/>
          <w:noProof/>
          <w:sz w:val="24"/>
        </w:rPr>
      </w:pPr>
    </w:p>
    <w:p w14:paraId="7357A226"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RE-C05-i01.01: Mobilisering av agendor/allianser för företagsinnovation.</w:t>
      </w:r>
    </w:p>
    <w:p w14:paraId="03F47396"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investering är att mobilisera och stärka Portugals vetenskapliga och tekniska kapacitet genom att införa ambitiösa forsknings- och innovationsagendor baserade på konsortier mellan näringslivet och den akademiska världen.</w:t>
      </w:r>
    </w:p>
    <w:p w14:paraId="5402E4A2" w14:textId="39C43DF0"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i första hand bestå av bidrag för genomförandet av agendor/allianser för företagsinnovation genom två kompletterande instrument: i) Innovationspakter som främjar samarbete och leder till utveckling av innovationsprojekt, och ii) mobilisering av projekt som syftar till FoU och dess omvandling till nya varor och tjänster genom investeringar. Modelleringsagendorna ska väljas ut genom öppna konkurrensutsatta ansökningsomgångar för strategiska planer som ska föreslås av konsortier mellan företag och akademiska, vetenskapliga och/eller tekniska institutioner. Denna investering bygger på den strategiska ram som ska genomföras inom ramen för RE-r09 och stärker gränssnittsinstitutionernas roll och konsolideringen av detta nätverk. </w:t>
      </w:r>
    </w:p>
    <w:p w14:paraId="0E09FBF6" w14:textId="77777777" w:rsidR="00E040FD" w:rsidRDefault="00740D64">
      <w:pPr>
        <w:pStyle w:val="P68B1DB1-Normal4"/>
        <w:keepNext/>
        <w:spacing w:before="40" w:after="0" w:line="259" w:lineRule="auto"/>
        <w:jc w:val="both"/>
        <w:rPr>
          <w:rFonts w:eastAsiaTheme="minorEastAsia" w:cs="Times New Roman"/>
          <w:noProof/>
          <w:highlight w:val="green"/>
        </w:rPr>
      </w:pPr>
      <w:r>
        <w:rPr>
          <w:noProof/>
        </w:rPr>
        <w:t>För att säkerställa att åtgärden är förenlig med den tekniska vägledningen om att inte orsaka betydande skada (2021/C58/01) ska kriterierna för stödberättigande i kravspecifikationerna för kommande ansökningsomgångar utesluta följande verksamheter: i) Verksamhet som rör fossila bränslen, inbegripet användning i senare led</w:t>
      </w:r>
      <w:r>
        <w:rPr>
          <w:noProof/>
        </w:rPr>
        <w:footnoteReference w:id="11"/>
      </w:r>
      <w:r>
        <w:rPr>
          <w:noProof/>
        </w:rPr>
        <w:t>. II) Verksamhet inom ramen för EU:s utsläppshandelssystem som uppnår beräknade växthusgasutsläpp som inte är lägre än de relevanta riktmärkena</w:t>
      </w:r>
      <w:r>
        <w:rPr>
          <w:noProof/>
        </w:rPr>
        <w:footnoteReference w:id="12"/>
      </w:r>
      <w:r>
        <w:rPr>
          <w:noProof/>
        </w:rPr>
        <w:t>. III) Verksamhet i samband med avfallsdeponier, förbränningsanläggningar</w:t>
      </w:r>
      <w:r>
        <w:rPr>
          <w:noProof/>
        </w:rPr>
        <w:footnoteReference w:id="13"/>
      </w:r>
      <w:r>
        <w:rPr>
          <w:noProof/>
        </w:rPr>
        <w:t xml:space="preserve"> och anläggningar för mekanisk biologisk behandling</w:t>
      </w:r>
      <w:r>
        <w:rPr>
          <w:noProof/>
        </w:rPr>
        <w:footnoteReference w:id="14"/>
      </w:r>
      <w:r>
        <w:rPr>
          <w:noProof/>
        </w:rPr>
        <w:t>. och iv) verksamheter där långsiktigt bortskaffande av avfall kan skada miljön. Uppdragsbeskrivningen ska dessutom innehålla krav på att endast verksamheter som är förenliga med relevant EU-lagstiftning och nationell miljölagstiftning får väljas ut.</w:t>
      </w:r>
    </w:p>
    <w:p w14:paraId="5C52E9CB"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73E004CF"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RE-C05-i01.02: Gröna agendor/allianser för företagsinnovation</w:t>
      </w:r>
    </w:p>
    <w:p w14:paraId="742560E6" w14:textId="52E527EF"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investering är att genomföra samma instrument som i RE-C05 – i01.01, men som är specialiserade på en begränsad uppsättning gröna agendor via konsortier mellan företag och akademiska, vetenskapliga och/eller tekniska institutioner för att stödja innovation (med fokus på den gröna omställningen, område 022 i bilagan till förordningen om faciliteten för återhämtning och resiliens). </w:t>
      </w:r>
    </w:p>
    <w:p w14:paraId="59034061" w14:textId="2902A5C2" w:rsidR="00E040FD" w:rsidRDefault="00740D64">
      <w:pPr>
        <w:pStyle w:val="P68B1DB1-Normal4"/>
        <w:keepNext/>
        <w:spacing w:before="40" w:after="0" w:line="259" w:lineRule="auto"/>
        <w:jc w:val="both"/>
        <w:rPr>
          <w:rFonts w:eastAsiaTheme="minorEastAsia" w:cs="Times New Roman"/>
          <w:noProof/>
          <w:highlight w:val="green"/>
        </w:rPr>
      </w:pPr>
      <w:r>
        <w:rPr>
          <w:noProof/>
        </w:rPr>
        <w:t>För att säkerställa att åtgärden är förenlig med den tekniska vägledningen om att inte orsaka betydande skada (2021/C58/01) ska kriterierna för stödberättigande i kravspecifikationerna för kommande ansökningsomgångar utesluta följande verksamheter: i) Verksamhet som rör fossila bränslen, inbegripet användning i senare led</w:t>
      </w:r>
      <w:r>
        <w:rPr>
          <w:noProof/>
        </w:rPr>
        <w:footnoteReference w:id="15"/>
      </w:r>
      <w:r>
        <w:rPr>
          <w:noProof/>
        </w:rPr>
        <w:t>. II) Verksamhet inom ramen för EU:s utsläppshandelssystem som uppnår beräknade växthusgasutsläpp som inte är lägre än de relevanta riktmärkena</w:t>
      </w:r>
      <w:r>
        <w:rPr>
          <w:noProof/>
        </w:rPr>
        <w:footnoteReference w:id="16"/>
      </w:r>
      <w:r>
        <w:rPr>
          <w:noProof/>
        </w:rPr>
        <w:t>. III) Verksamhet i samband med avfallsdeponier, förbränningsanläggningar</w:t>
      </w:r>
      <w:r>
        <w:rPr>
          <w:noProof/>
        </w:rPr>
        <w:footnoteReference w:id="17"/>
      </w:r>
      <w:r>
        <w:rPr>
          <w:noProof/>
        </w:rPr>
        <w:t xml:space="preserve"> och anläggningar för mekanisk biologisk behandling</w:t>
      </w:r>
      <w:r>
        <w:rPr>
          <w:noProof/>
        </w:rPr>
        <w:footnoteReference w:id="18"/>
      </w:r>
      <w:r>
        <w:rPr>
          <w:noProof/>
        </w:rPr>
        <w:t>. och iv) verksamheter där långsiktigt bortskaffande av avfall kan skada miljön. Uppdragsbeskrivningen ska dessutom innehålla krav på att endast verksamheter som är förenliga med relevant EU-lagstiftning och nationell miljölagstiftning får väljas ut.</w:t>
      </w:r>
    </w:p>
    <w:p w14:paraId="484ECBF2" w14:textId="77777777" w:rsidR="00E040FD" w:rsidRDefault="00740D64">
      <w:pPr>
        <w:pStyle w:val="P68B1DB1-Normal4"/>
        <w:keepNext/>
        <w:spacing w:before="40" w:after="0" w:line="259" w:lineRule="auto"/>
        <w:jc w:val="both"/>
        <w:rPr>
          <w:rFonts w:eastAsiaTheme="minorEastAsia"/>
          <w:noProof/>
        </w:rPr>
      </w:pPr>
      <w:r>
        <w:rPr>
          <w:noProof/>
        </w:rPr>
        <w:t xml:space="preserve">Investeringen ska vara genomförd senast den 31 december 2025. </w:t>
      </w:r>
    </w:p>
    <w:p w14:paraId="11F2ED51"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RE-C05-i02: Kontaktuppdrag – förnyelse av nätverket för vetenskapligt och tekniskt stöd och vägledning för produktionsstrukturer</w:t>
      </w:r>
    </w:p>
    <w:p w14:paraId="2F86ED35" w14:textId="34E07F85" w:rsidR="00E040FD" w:rsidRDefault="00740D64">
      <w:pPr>
        <w:pStyle w:val="P68B1DB1-Normal4"/>
        <w:keepNext/>
        <w:spacing w:before="40" w:after="0" w:line="259" w:lineRule="auto"/>
        <w:jc w:val="both"/>
        <w:rPr>
          <w:rFonts w:eastAsiaTheme="minorEastAsia" w:cs="Times New Roman"/>
          <w:noProof/>
        </w:rPr>
      </w:pPr>
      <w:r>
        <w:rPr>
          <w:noProof/>
        </w:rPr>
        <w:t>Syftet med investeringen är att stärka och stärka det nationella vetenskapliga och tekniska systemet och att förbättra kopplingarna mellan näringslivet och den akademiska världen för att säkerställa en effektiv tekniköverföring och överföring av forskningsresultat till innovation. Investeringen ska bestå i att konsolidera den nya finansieringsmodellen för centrumen för det tekniska gränssnittssystemet och CoLAB:s privata icke-vinstdrivande sammanslutningar eller företag som syftar till att skapa kvalificerade arbetstillfällen, direkt eller indirekt, genom att genomföra forsknings- och innovationsåtgärder på grundval av strukturen på 1/3 av grundfinansieringen, 1/3 av konkurrenskraftig finansiering och 1/3 av marknadsfinansiering, genom att säkra 186 miljoner euro i grundfinansiering till</w:t>
      </w:r>
      <w:r>
        <w:rPr>
          <w:i/>
          <w:noProof/>
        </w:rPr>
        <w:t xml:space="preserve"> Interface Mission</w:t>
      </w:r>
      <w:r>
        <w:rPr>
          <w:noProof/>
        </w:rPr>
        <w:t xml:space="preserve">. Investeringen ska bestå av 500 företag som ska dra nytta av detta system och de tjänster som tillhandahålls av Interface-enheterna. Den kombinerade åtgärden RE-r11 och investering RE-C05-i02 förväntas uppnå ovannämnda mål. </w:t>
      </w:r>
    </w:p>
    <w:p w14:paraId="6646C73E" w14:textId="77777777" w:rsidR="00E040FD" w:rsidRDefault="00740D64">
      <w:pPr>
        <w:pStyle w:val="P68B1DB1-Normal4"/>
        <w:keepNext/>
        <w:spacing w:before="40" w:after="0" w:line="259" w:lineRule="auto"/>
        <w:jc w:val="both"/>
        <w:rPr>
          <w:rFonts w:eastAsiaTheme="minorEastAsia" w:cs="Times New Roman"/>
          <w:noProof/>
          <w:highlight w:val="green"/>
        </w:rPr>
      </w:pPr>
      <w:r>
        <w:rPr>
          <w:noProof/>
        </w:rPr>
        <w:t>För att säkerställa att åtgärden är förenlig med den tekniska vägledningen om att inte orsaka betydande skada (2021/C58/01) ska kriterierna för stödberättigande i kravspecifikationerna för kommande ansökningsomgångar utesluta följande verksamheter: i) Verksamhet som rör fossila bränslen, inbegripet användning i senare led</w:t>
      </w:r>
      <w:r>
        <w:rPr>
          <w:noProof/>
        </w:rPr>
        <w:footnoteReference w:id="19"/>
      </w:r>
      <w:r>
        <w:rPr>
          <w:noProof/>
        </w:rPr>
        <w:t>. II) Verksamhet inom ramen för EU:s utsläppshandelssystem som uppnår beräknade växthusgasutsläpp som inte är lägre än de relevanta riktmärkena</w:t>
      </w:r>
      <w:r>
        <w:rPr>
          <w:noProof/>
        </w:rPr>
        <w:footnoteReference w:id="20"/>
      </w:r>
      <w:r>
        <w:rPr>
          <w:noProof/>
        </w:rPr>
        <w:t>. III) Verksamhet i samband med avfallsdeponier, förbränningsanläggningar</w:t>
      </w:r>
      <w:r>
        <w:rPr>
          <w:noProof/>
        </w:rPr>
        <w:footnoteReference w:id="21"/>
      </w:r>
      <w:r>
        <w:rPr>
          <w:noProof/>
        </w:rPr>
        <w:t xml:space="preserve"> och anläggningar för mekanisk biologisk behandling</w:t>
      </w:r>
      <w:r>
        <w:rPr>
          <w:noProof/>
        </w:rPr>
        <w:footnoteReference w:id="22"/>
      </w:r>
      <w:r>
        <w:rPr>
          <w:noProof/>
        </w:rPr>
        <w:t>. och iv) verksamheter där långsiktigt bortskaffande av avfall kan skada miljön. Uppdragsbeskrivningen ska dessutom innehålla krav på att endast verksamheter som är förenliga med relevant EU-lagstiftning och nationell miljölagstiftning får väljas ut.</w:t>
      </w:r>
    </w:p>
    <w:p w14:paraId="5B04203E"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4855D333"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RE-C05-i03: Forsknings- och innovationsagenda för hållbart jordbruk, livsmedel och jordbruksindustri [Innovationsagenda för jordbruket 20 30].</w:t>
      </w:r>
    </w:p>
    <w:p w14:paraId="1F941BDA"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investering är att främja forskning och innovation för att uppnå ett mer hållbart jordbruk. </w:t>
      </w:r>
    </w:p>
    <w:p w14:paraId="0FFD493F" w14:textId="49252C8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bestå av bidrag till offentliga och privata enheter för att stödja innovationsagendan för jordbruket 20 | 30. Agendan är uppdelad i 15 flaggskeppsinitiativ till stöd för FoU-projekt och innovationsprojekt och 5 innovationsstruktureringsprojekt med inriktning på digitalisering. Dessa forsknings- och innovationsprojekt ska tillgodose de behov som fastställs i Portugals strategiska plan för den gemensamma jordbrukspolitiken. De olika initiativen ska omfatta åtgärder för cirkulär bioekonomi och precisionsjordbruk. Olika produktionssystem och produktionssektorer ska beaktas vid urvalet av projekt. 100 forsknings- och innovationsprojekt förväntas få stöd. Dessutom ska investeringen omfatta återvinning och uppgradering av de vetenskapliga anläggningarna och utrustningen vid 24 försöksjordbruk och laboratorier (innovationsnav). </w:t>
      </w:r>
    </w:p>
    <w:p w14:paraId="02EFC191" w14:textId="727A1287" w:rsidR="00E040FD" w:rsidRDefault="00740D64">
      <w:pPr>
        <w:pStyle w:val="P68B1DB1-Normal4"/>
        <w:keepNext/>
        <w:spacing w:before="40" w:after="0" w:line="259" w:lineRule="auto"/>
        <w:jc w:val="both"/>
        <w:rPr>
          <w:rFonts w:eastAsiaTheme="minorEastAsia" w:cs="Times New Roman"/>
          <w:noProof/>
          <w:highlight w:val="green"/>
        </w:rPr>
      </w:pPr>
      <w:r>
        <w:rPr>
          <w:noProof/>
        </w:rPr>
        <w:t>För att säkerställa att åtgärden är förenlig med den tekniska vägledningen om att inte orsaka betydande skada (2021/C58/01) ska kriterierna för stödberättigande i kravspecifikationerna för kommande ansökningsomgångar utesluta följande verksamheter: i) Verksamhet som rör fossila bränslen, inbegripet användning i senare led</w:t>
      </w:r>
      <w:r>
        <w:rPr>
          <w:noProof/>
        </w:rPr>
        <w:footnoteReference w:id="23"/>
      </w:r>
      <w:r>
        <w:rPr>
          <w:noProof/>
        </w:rPr>
        <w:t>. II) Verksamhet inom ramen för EU:s utsläppshandelssystem som uppnår beräknade växthusgasutsläpp som inte är lägre än de relevanta riktmärkena</w:t>
      </w:r>
      <w:r>
        <w:rPr>
          <w:noProof/>
        </w:rPr>
        <w:footnoteReference w:id="24"/>
      </w:r>
      <w:r>
        <w:rPr>
          <w:noProof/>
        </w:rPr>
        <w:t>. III) Verksamhet i samband med avfallsdeponier, förbränningsanläggningar</w:t>
      </w:r>
      <w:r>
        <w:rPr>
          <w:noProof/>
        </w:rPr>
        <w:footnoteReference w:id="25"/>
      </w:r>
      <w:r>
        <w:rPr>
          <w:noProof/>
        </w:rPr>
        <w:t xml:space="preserve"> och anläggningar för mekanisk biologisk behandling</w:t>
      </w:r>
      <w:r>
        <w:rPr>
          <w:noProof/>
        </w:rPr>
        <w:footnoteReference w:id="26"/>
      </w:r>
      <w:r>
        <w:rPr>
          <w:noProof/>
        </w:rPr>
        <w:t>. och iv) verksamheter där långsiktigt bortskaffande av avfall kan skada miljön. Uppdragsbeskrivningen ska dessutom innehålla krav på att endast verksamheter som är förenliga med relevant EU-lagstiftning och nationell miljölagstiftning får väljas ut.</w:t>
      </w:r>
    </w:p>
    <w:p w14:paraId="67497350"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vara genomförd senast den 31 december 2025. </w:t>
      </w:r>
    </w:p>
    <w:p w14:paraId="07D9C278" w14:textId="77777777" w:rsidR="00E040FD" w:rsidRDefault="00740D64">
      <w:pPr>
        <w:pStyle w:val="P68B1DB1-Normal5"/>
        <w:spacing w:before="240" w:after="0" w:line="259" w:lineRule="auto"/>
        <w:ind w:left="851"/>
        <w:jc w:val="both"/>
        <w:outlineLvl w:val="3"/>
        <w:rPr>
          <w:rFonts w:eastAsiaTheme="minorEastAsia" w:cs="Times New Roman"/>
          <w:noProof/>
        </w:rPr>
      </w:pPr>
      <w:r>
        <w:rPr>
          <w:noProof/>
        </w:rPr>
        <w:t>Investering RE-C05-i04-RAA: Rekapitalisering av Azorernas affärssystem</w:t>
      </w:r>
    </w:p>
    <w:p w14:paraId="4806397B" w14:textId="77777777" w:rsidR="00E040FD" w:rsidRDefault="00740D64">
      <w:pPr>
        <w:pStyle w:val="P68B1DB1-Normal4"/>
        <w:spacing w:before="40" w:after="0" w:line="259" w:lineRule="auto"/>
        <w:jc w:val="both"/>
        <w:rPr>
          <w:rFonts w:eastAsiaTheme="minorEastAsia" w:cs="Times New Roman"/>
          <w:noProof/>
        </w:rPr>
      </w:pPr>
      <w:r>
        <w:rPr>
          <w:noProof/>
        </w:rPr>
        <w:t>Syftet med åtgärden är att åtgärda det strukturella problemet med underkapitalisering av företagen i den autonoma regionen Azorerna.</w:t>
      </w:r>
    </w:p>
    <w:p w14:paraId="31D7ECE4" w14:textId="0CCCA1E9" w:rsidR="00E040FD" w:rsidRDefault="00740D64">
      <w:pPr>
        <w:pStyle w:val="P68B1DB1-Normal4"/>
        <w:spacing w:before="40" w:after="0" w:line="259" w:lineRule="auto"/>
        <w:jc w:val="both"/>
        <w:rPr>
          <w:rFonts w:eastAsiaTheme="minorEastAsia" w:cs="Times New Roman"/>
          <w:noProof/>
        </w:rPr>
      </w:pPr>
      <w:r>
        <w:rPr>
          <w:noProof/>
        </w:rPr>
        <w:t xml:space="preserve">Denna investering ska bestå av bildandet av specialföretaget, som därefter ska investera 125 000 000 EUR i livskraftiga företag i Azorerna, huvudsakligen i form av eget kapital. Investeringen kompletterar nationella investeringar som syftar till kapitalisering av företag med ett regionalt anslag och med särskilda instrument som svarar mot särdragen i den autonoma regionens affärsstruktur. </w:t>
      </w:r>
    </w:p>
    <w:p w14:paraId="43A7AC10" w14:textId="77777777" w:rsidR="00E040FD" w:rsidRDefault="00740D64">
      <w:pPr>
        <w:pStyle w:val="P68B1DB1-Normal4"/>
        <w:spacing w:before="40" w:after="0" w:line="259" w:lineRule="auto"/>
        <w:jc w:val="both"/>
        <w:rPr>
          <w:rFonts w:eastAsiaTheme="minorEastAsia" w:cs="Times New Roman"/>
          <w:noProof/>
        </w:rPr>
      </w:pPr>
      <w:r>
        <w:rPr>
          <w:noProof/>
        </w:rPr>
        <w:t xml:space="preserve">Alla projekt ska genomföras i full överensstämmelse med den tekniska vägledningen om att inte orsaka betydande skada (2021/C58/01). Portugal har dessutom åtagit sig att i det investeringspolicydokument som avser instrumentet på 125 000 000 EUR, som ska antas av </w:t>
      </w:r>
      <w:r>
        <w:rPr>
          <w:i/>
          <w:noProof/>
        </w:rPr>
        <w:t>Banco Português de Fomento i egenskap</w:t>
      </w:r>
      <w:r>
        <w:rPr>
          <w:noProof/>
        </w:rPr>
        <w:t xml:space="preserve"> av ledningsorgan för specialföretaget, närmare ange kriterierna för urval/stödberättigande för företag som får stöd, säkerställa respekt för klimat- och miljökraven i faciliteten för återhämtning och resiliens, inbegripet efterlevnad av den tekniska vägledningen om att inte orsaka betydande skada (2021/C58/01) för tillgångar/verksamheter och/eller företag som får stöd och ange investeringsmål och riktad avkastning. För att företag som får stöd ska följa den tekniska vägledningen om att inte orsaka betydande skada (2021/C58/01) ska investeringspolicyn kräva följande: </w:t>
      </w:r>
    </w:p>
    <w:p w14:paraId="1280B55C" w14:textId="77777777" w:rsidR="00E040FD" w:rsidRDefault="00740D64">
      <w:pPr>
        <w:pStyle w:val="P68B1DB1-Normal4"/>
        <w:numPr>
          <w:ilvl w:val="0"/>
          <w:numId w:val="57"/>
        </w:numPr>
        <w:spacing w:before="40" w:after="160" w:line="259" w:lineRule="auto"/>
        <w:contextualSpacing/>
        <w:jc w:val="both"/>
        <w:rPr>
          <w:rFonts w:eastAsiaTheme="minorEastAsia" w:cs="Times New Roman"/>
          <w:noProof/>
        </w:rPr>
      </w:pPr>
      <w:r>
        <w:rPr>
          <w:noProof/>
        </w:rPr>
        <w:t xml:space="preserve">användning av hållbarhetssäkring, </w:t>
      </w:r>
    </w:p>
    <w:p w14:paraId="6EBA5233" w14:textId="77777777" w:rsidR="00E040FD" w:rsidRDefault="00740D64">
      <w:pPr>
        <w:pStyle w:val="P68B1DB1-Normal4"/>
        <w:numPr>
          <w:ilvl w:val="0"/>
          <w:numId w:val="57"/>
        </w:numPr>
        <w:spacing w:before="40" w:after="160" w:line="259" w:lineRule="auto"/>
        <w:contextualSpacing/>
        <w:jc w:val="both"/>
        <w:rPr>
          <w:rFonts w:eastAsiaTheme="minorEastAsia" w:cs="Times New Roman"/>
          <w:noProof/>
        </w:rPr>
      </w:pPr>
      <w:r>
        <w:rPr>
          <w:noProof/>
        </w:rPr>
        <w:t>en förteckning över uteslutningar som omfattar följande delar:</w:t>
      </w:r>
    </w:p>
    <w:p w14:paraId="7CF06F2D" w14:textId="77777777" w:rsidR="00E040FD" w:rsidRDefault="00740D64">
      <w:pPr>
        <w:pStyle w:val="P68B1DB1-Normal4"/>
        <w:numPr>
          <w:ilvl w:val="1"/>
          <w:numId w:val="64"/>
        </w:numPr>
        <w:spacing w:before="40" w:after="160" w:line="259" w:lineRule="auto"/>
        <w:contextualSpacing/>
        <w:jc w:val="both"/>
        <w:rPr>
          <w:rFonts w:eastAsiaTheme="minorEastAsia" w:cs="Times New Roman"/>
          <w:noProof/>
        </w:rPr>
      </w:pPr>
      <w:r>
        <w:rPr>
          <w:noProof/>
        </w:rPr>
        <w:t>Verksamhet med anknytning till fossila bränslen, inbegripet användning i senare led</w:t>
      </w:r>
      <w:r>
        <w:rPr>
          <w:noProof/>
        </w:rPr>
        <w:footnoteReference w:id="27"/>
      </w:r>
      <w:r>
        <w:rPr>
          <w:noProof/>
        </w:rPr>
        <w:t xml:space="preserve">. </w:t>
      </w:r>
    </w:p>
    <w:p w14:paraId="4A89E7FD" w14:textId="77777777" w:rsidR="00E040FD" w:rsidRDefault="00740D64">
      <w:pPr>
        <w:pStyle w:val="P68B1DB1-Normal4"/>
        <w:numPr>
          <w:ilvl w:val="1"/>
          <w:numId w:val="64"/>
        </w:numPr>
        <w:spacing w:before="40" w:after="160" w:line="259" w:lineRule="auto"/>
        <w:contextualSpacing/>
        <w:jc w:val="both"/>
        <w:rPr>
          <w:rFonts w:eastAsiaTheme="minorEastAsia" w:cs="Times New Roman"/>
          <w:noProof/>
        </w:rPr>
      </w:pPr>
      <w:r>
        <w:rPr>
          <w:noProof/>
        </w:rPr>
        <w:t>Verksamhet inom ramen för EU:s utsläppshandelssystem som uppnår beräknade växthusgasutsläpp som inte är lägre än de relevanta riktmärkena</w:t>
      </w:r>
      <w:r>
        <w:rPr>
          <w:noProof/>
        </w:rPr>
        <w:footnoteReference w:id="28"/>
      </w:r>
      <w:r>
        <w:rPr>
          <w:noProof/>
        </w:rPr>
        <w:t xml:space="preserve">. </w:t>
      </w:r>
    </w:p>
    <w:p w14:paraId="3363B8AD" w14:textId="77777777" w:rsidR="00E040FD" w:rsidRDefault="00740D64">
      <w:pPr>
        <w:pStyle w:val="P68B1DB1-Normal4"/>
        <w:numPr>
          <w:ilvl w:val="1"/>
          <w:numId w:val="64"/>
        </w:numPr>
        <w:spacing w:before="40" w:after="160" w:line="259" w:lineRule="auto"/>
        <w:contextualSpacing/>
        <w:jc w:val="both"/>
        <w:rPr>
          <w:rFonts w:eastAsiaTheme="minorEastAsia" w:cs="Times New Roman"/>
          <w:noProof/>
        </w:rPr>
      </w:pPr>
      <w:r>
        <w:rPr>
          <w:noProof/>
        </w:rPr>
        <w:t>Verksamhet i samband med avfallsdeponier, förbränningsanläggningar</w:t>
      </w:r>
      <w:r>
        <w:rPr>
          <w:noProof/>
        </w:rPr>
        <w:footnoteReference w:id="29"/>
      </w:r>
      <w:r>
        <w:rPr>
          <w:noProof/>
        </w:rPr>
        <w:t xml:space="preserve"> och anläggningar för mekanisk biologisk behandling</w:t>
      </w:r>
      <w:r>
        <w:rPr>
          <w:noProof/>
        </w:rPr>
        <w:footnoteReference w:id="30"/>
      </w:r>
      <w:r>
        <w:rPr>
          <w:noProof/>
        </w:rPr>
        <w:t xml:space="preserve">. </w:t>
      </w:r>
    </w:p>
    <w:p w14:paraId="222E0859" w14:textId="77777777" w:rsidR="00E040FD" w:rsidRDefault="00740D64">
      <w:pPr>
        <w:pStyle w:val="P68B1DB1-Normal4"/>
        <w:numPr>
          <w:ilvl w:val="1"/>
          <w:numId w:val="64"/>
        </w:numPr>
        <w:spacing w:before="40" w:after="160" w:line="259" w:lineRule="auto"/>
        <w:contextualSpacing/>
        <w:jc w:val="both"/>
        <w:rPr>
          <w:rFonts w:eastAsiaTheme="minorEastAsia" w:cs="Times New Roman"/>
          <w:noProof/>
        </w:rPr>
      </w:pPr>
      <w:r>
        <w:rPr>
          <w:noProof/>
        </w:rPr>
        <w:t>Verksamhet där det långsiktiga bortskaffandet av avfall kan skada miljön på lång sikt, t.ex. kärnavfall. och</w:t>
      </w:r>
    </w:p>
    <w:p w14:paraId="5B02FFE5" w14:textId="77777777" w:rsidR="00E040FD" w:rsidRDefault="00740D64">
      <w:pPr>
        <w:pStyle w:val="P68B1DB1-Normal4"/>
        <w:numPr>
          <w:ilvl w:val="1"/>
          <w:numId w:val="64"/>
        </w:numPr>
        <w:spacing w:before="40" w:after="160" w:line="259" w:lineRule="auto"/>
        <w:contextualSpacing/>
        <w:jc w:val="both"/>
        <w:rPr>
          <w:rFonts w:eastAsiaTheme="minorEastAsia" w:cs="Times New Roman"/>
          <w:noProof/>
        </w:rPr>
      </w:pPr>
      <w:r>
        <w:rPr>
          <w:noProof/>
        </w:rPr>
        <w:t xml:space="preserve">FoU I ägnade sig åt ovannämnda tillgångar och verksamheter. </w:t>
      </w:r>
    </w:p>
    <w:p w14:paraId="1D1FCB8F" w14:textId="77777777" w:rsidR="00E040FD" w:rsidRDefault="00740D64">
      <w:pPr>
        <w:pStyle w:val="P68B1DB1-Normal4"/>
        <w:numPr>
          <w:ilvl w:val="0"/>
          <w:numId w:val="57"/>
        </w:numPr>
        <w:spacing w:before="40" w:after="160" w:line="259" w:lineRule="auto"/>
        <w:contextualSpacing/>
        <w:jc w:val="both"/>
        <w:rPr>
          <w:rFonts w:eastAsiaTheme="minorEastAsia" w:cs="Times New Roman"/>
          <w:noProof/>
        </w:rPr>
      </w:pPr>
      <w:r>
        <w:rPr>
          <w:noProof/>
        </w:rPr>
        <w:t xml:space="preserve">obligatoriska efterlevnadskontroller genom </w:t>
      </w:r>
      <w:r>
        <w:rPr>
          <w:i/>
          <w:noProof/>
        </w:rPr>
        <w:t>Banco Português de Fomento</w:t>
      </w:r>
      <w:r>
        <w:rPr>
          <w:noProof/>
        </w:rPr>
        <w:t xml:space="preserve"> och/eller dess utvalda finansiella intermediärer för transaktioner som är undantagna från hållbarhetssäkring, och </w:t>
      </w:r>
    </w:p>
    <w:p w14:paraId="67D0FED8" w14:textId="77777777" w:rsidR="00E040FD" w:rsidRDefault="00740D64">
      <w:pPr>
        <w:pStyle w:val="P68B1DB1-Normal4"/>
        <w:numPr>
          <w:ilvl w:val="0"/>
          <w:numId w:val="57"/>
        </w:numPr>
        <w:spacing w:before="40" w:after="160" w:line="259" w:lineRule="auto"/>
        <w:contextualSpacing/>
        <w:jc w:val="both"/>
        <w:rPr>
          <w:rFonts w:eastAsiaTheme="minorEastAsia" w:cs="Times New Roman"/>
          <w:noProof/>
        </w:rPr>
      </w:pPr>
      <w:r>
        <w:rPr>
          <w:noProof/>
        </w:rPr>
        <w:t>mottagare av stöd till eget kapital som får minst 50 % av sina intäkter från verksamheter som förtecknas i uteslutningsförteckningen för att anta och offentliggöra planer för grön omställning.</w:t>
      </w:r>
    </w:p>
    <w:p w14:paraId="57CD92C3" w14:textId="77777777" w:rsidR="00E040FD" w:rsidRDefault="00740D64">
      <w:pPr>
        <w:pStyle w:val="P68B1DB1-Normal4"/>
        <w:spacing w:before="40" w:after="0" w:line="259" w:lineRule="auto"/>
        <w:jc w:val="both"/>
        <w:rPr>
          <w:rFonts w:eastAsiaTheme="minorEastAsia" w:cs="Times New Roman"/>
          <w:noProof/>
        </w:rPr>
      </w:pPr>
      <w:r>
        <w:rPr>
          <w:noProof/>
        </w:rPr>
        <w:t xml:space="preserve">Investeringen ska vara genomförd senast den 31 december 2025. </w:t>
      </w:r>
    </w:p>
    <w:p w14:paraId="04842B12"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RE-C05-i05-RAA: Ekonomisk återhämtning för Azorernas jordbruk</w:t>
      </w:r>
    </w:p>
    <w:p w14:paraId="5D74F80D" w14:textId="77777777" w:rsidR="00E040FD" w:rsidRDefault="00740D64">
      <w:pPr>
        <w:pStyle w:val="P68B1DB1-Normal4"/>
        <w:spacing w:before="40" w:after="0" w:line="259" w:lineRule="auto"/>
        <w:jc w:val="both"/>
        <w:rPr>
          <w:rFonts w:eastAsiaTheme="minorEastAsia" w:cs="Times New Roman"/>
          <w:noProof/>
        </w:rPr>
      </w:pPr>
      <w:r>
        <w:rPr>
          <w:noProof/>
        </w:rPr>
        <w:t xml:space="preserve">Syftet med investeringen är att främja jordbruket på Azorerna, med ett starkt fokus på hållbarhet och främjande av lokal produktion. Jordbruket på Azorerna har stor ekonomisk, social och territoriell betydelse för den regionala sammanhållningen, med tanke på fragmenteringen av det regionala territoriet, som kännetecknas av öar med särskilda egenskaper. Denna investering syftar till att i) bidra till motståndskraften och den hållbara tillväxten hos den regionala produktionspotentialen, ii) mildra krisens ekonomiska och sociala konsekvenser för jordbruks- och livsmedelssektorn på Azorerna och iii) bidra till den dubbla klimatomställningen och den digitala omställningen inom jordbruks- och livsmedelssektorn på Azorerna. </w:t>
      </w:r>
    </w:p>
    <w:p w14:paraId="6B5CF27F" w14:textId="216C1C52" w:rsidR="00E040FD" w:rsidRDefault="00740D64">
      <w:pPr>
        <w:pStyle w:val="P68B1DB1-Normal4"/>
        <w:spacing w:before="40" w:after="0" w:line="259" w:lineRule="auto"/>
        <w:jc w:val="both"/>
        <w:rPr>
          <w:rFonts w:eastAsiaTheme="minorEastAsia" w:cs="Times New Roman"/>
          <w:noProof/>
        </w:rPr>
      </w:pPr>
      <w:r>
        <w:rPr>
          <w:noProof/>
        </w:rPr>
        <w:t xml:space="preserve">Investeringen ska bestå av i) stöd till investeringsprojekt för innovation av produkter och produktionsprocesser för regionala jordbruksföretag, ii) offentliga investeringar i innovation och den dubbla omställningen (inbegripet ett program för att förbättra jordbrukarnas kompetens för den gröna och digitala omställningen och hållbar konsumtion, inbegripet certifieringar) och iii) offentliga investeringar i omstruktureringen, inbegripet investeringar i innovation av produktionsprocesser och i den gröna omställningen av det regionala slaktnätverket och certifiering av mjölkens kvalitet. </w:t>
      </w:r>
    </w:p>
    <w:p w14:paraId="67CFE1ED" w14:textId="77777777" w:rsidR="00E040FD" w:rsidRDefault="00740D64">
      <w:pPr>
        <w:pStyle w:val="P68B1DB1-Normal4"/>
        <w:spacing w:before="40" w:after="0" w:line="259" w:lineRule="auto"/>
        <w:jc w:val="both"/>
        <w:rPr>
          <w:rFonts w:eastAsiaTheme="minorEastAsia" w:cs="Times New Roman"/>
          <w:noProof/>
        </w:rPr>
      </w:pPr>
      <w:r>
        <w:rPr>
          <w:noProof/>
        </w:rPr>
        <w:t>Investeringen ska vara genomförd senast den 31 december 2025.</w:t>
      </w:r>
    </w:p>
    <w:p w14:paraId="0FE3436B" w14:textId="1CD87910" w:rsidR="00E040FD" w:rsidRDefault="00740D64">
      <w:pPr>
        <w:pStyle w:val="P68B1DB1-Normal5"/>
        <w:keepNext/>
        <w:spacing w:before="240" w:after="0" w:line="259" w:lineRule="auto"/>
        <w:ind w:left="851"/>
        <w:jc w:val="both"/>
        <w:outlineLvl w:val="3"/>
        <w:rPr>
          <w:rFonts w:eastAsiaTheme="minorEastAsia" w:cs="Times New Roman"/>
          <w:noProof/>
        </w:rPr>
      </w:pPr>
      <w:bookmarkStart w:id="8" w:name="_Toc137472448"/>
      <w:bookmarkStart w:id="9" w:name="_Hlk144129521"/>
      <w:r>
        <w:rPr>
          <w:noProof/>
        </w:rPr>
        <w:t xml:space="preserve">Investering RE-C05-i07-RAM: Kapitaliseringsinstrument för företag </w:t>
      </w:r>
      <w:bookmarkEnd w:id="8"/>
      <w:r>
        <w:rPr>
          <w:noProof/>
        </w:rPr>
        <w:t xml:space="preserve">på Madeira </w:t>
      </w:r>
    </w:p>
    <w:p w14:paraId="1C9E1081" w14:textId="77777777" w:rsidR="00E040FD" w:rsidRDefault="00740D64">
      <w:pPr>
        <w:pStyle w:val="P68B1DB1-Normal4"/>
        <w:spacing w:before="40" w:after="0" w:line="259" w:lineRule="auto"/>
        <w:jc w:val="both"/>
        <w:rPr>
          <w:rFonts w:cs="Times New Roman"/>
          <w:noProof/>
        </w:rPr>
      </w:pPr>
      <w:r>
        <w:rPr>
          <w:noProof/>
        </w:rPr>
        <w:t xml:space="preserve">Syftet med denna åtgärd är att stödja investeringar i den autonoma regionen Madeira i syfte att ta itu med lokala företags strukturella likviditetsproblem och stärka den regionala ekonomins konkurrenskraft. </w:t>
      </w:r>
    </w:p>
    <w:p w14:paraId="76EBD3EA" w14:textId="19DDA592" w:rsidR="00E040FD" w:rsidRDefault="00740D64">
      <w:pPr>
        <w:pStyle w:val="P68B1DB1-Normal4"/>
        <w:spacing w:before="40" w:after="0" w:line="259" w:lineRule="auto"/>
        <w:jc w:val="both"/>
        <w:rPr>
          <w:rFonts w:cs="Times New Roman"/>
          <w:noProof/>
        </w:rPr>
      </w:pPr>
      <w:r>
        <w:rPr>
          <w:noProof/>
        </w:rPr>
        <w:t>Denna investering ska bestå i att förstärka det finansiella stöd som beviljas genom en kreditfacilitet (</w:t>
      </w:r>
      <w:r>
        <w:rPr>
          <w:i/>
          <w:noProof/>
        </w:rPr>
        <w:t>Investe RAM 2020)</w:t>
      </w:r>
      <w:r>
        <w:rPr>
          <w:noProof/>
        </w:rPr>
        <w:t xml:space="preserve">. Instrumentet ska ge kreditgarantier till företag som garanterar ett totalt lånebelopp på 15 900 000 EUR. Instrumentet ska också subventionera räntekostnader för lånen (för 100 % av den riskfria räntesatsen (Euribor) plus minst 60 % av en riskspridning på upp till 3,4 %). Investeringen ska genomföras genom ett protokoll mellan </w:t>
      </w:r>
      <w:r>
        <w:rPr>
          <w:i/>
          <w:noProof/>
        </w:rPr>
        <w:t>Banco Português de Fomento, Instituto de Desenvolvimento Empresarial</w:t>
      </w:r>
      <w:r>
        <w:rPr>
          <w:noProof/>
        </w:rPr>
        <w:t xml:space="preserve"> och finansiella intermediärer som valts ut av dem.</w:t>
      </w:r>
    </w:p>
    <w:p w14:paraId="502DBAE8" w14:textId="3F70318A" w:rsidR="00E040FD" w:rsidRDefault="00740D64">
      <w:pPr>
        <w:pStyle w:val="P68B1DB1-Normal4"/>
        <w:spacing w:before="40" w:after="0" w:line="259" w:lineRule="auto"/>
        <w:jc w:val="both"/>
        <w:rPr>
          <w:rFonts w:cs="Times New Roman"/>
          <w:noProof/>
        </w:rPr>
      </w:pPr>
      <w:r>
        <w:rPr>
          <w:noProof/>
        </w:rPr>
        <w:t xml:space="preserve">För att säkerställa att åtgärden är förenlig med principen om att inte orsaka betydande skada enligt faciliteten för återhämtning och resiliens enligt den tekniska vägledningen om att inte orsaka betydande skada (2021/C58/01) ska det eller de rättsliga avtalen mellan </w:t>
      </w:r>
      <w:r>
        <w:rPr>
          <w:i/>
          <w:noProof/>
        </w:rPr>
        <w:t>Banco Português de Fomento</w:t>
      </w:r>
      <w:r>
        <w:rPr>
          <w:noProof/>
        </w:rPr>
        <w:t xml:space="preserve">, </w:t>
      </w:r>
      <w:r>
        <w:rPr>
          <w:i/>
          <w:noProof/>
        </w:rPr>
        <w:t>Instituto de Desenvolvimento Empresarial</w:t>
      </w:r>
      <w:r>
        <w:rPr>
          <w:noProof/>
        </w:rPr>
        <w:t xml:space="preserve"> och de finansiella intermediärer som valts ut av dem samt det efterföljande genomförandeavtalet (protokollet) för finansieringsinstrumentet</w:t>
      </w:r>
    </w:p>
    <w:p w14:paraId="05683CB6" w14:textId="2E756E4E" w:rsidR="00E040FD" w:rsidRDefault="00740D64">
      <w:pPr>
        <w:pStyle w:val="ListParagraph"/>
        <w:keepNext w:val="0"/>
        <w:numPr>
          <w:ilvl w:val="0"/>
          <w:numId w:val="74"/>
        </w:numPr>
        <w:spacing w:before="120" w:after="120" w:line="22" w:lineRule="atLeast"/>
        <w:rPr>
          <w:noProof/>
        </w:rPr>
      </w:pPr>
      <w:r>
        <w:rPr>
          <w:noProof/>
        </w:rPr>
        <w:t>Undanta följande verksamheter och tillgångar från stödberättigande: (i) Verksamhet och tillgångar med anknytning till fossila bränslen, inbegripet användning i senare led</w:t>
      </w:r>
      <w:r>
        <w:rPr>
          <w:rStyle w:val="FootnoteReference"/>
          <w:noProof/>
        </w:rPr>
        <w:footnoteReference w:id="31"/>
      </w:r>
      <w:r>
        <w:rPr>
          <w:noProof/>
        </w:rPr>
        <w:t>. II) Verksamhet och tillgångar inom ramen för EU:s utsläppshandelssystem som uppnår beräknade växthusgasutsläpp som inte är lägre än de relevanta riktmärkena</w:t>
      </w:r>
      <w:r>
        <w:rPr>
          <w:rStyle w:val="FootnoteReference"/>
          <w:noProof/>
        </w:rPr>
        <w:footnoteReference w:id="32"/>
      </w:r>
      <w:r>
        <w:rPr>
          <w:noProof/>
        </w:rPr>
        <w:t>. III) Verksamhet och tillgångar i samband med avfallsdeponier, förbränningsanläggningar</w:t>
      </w:r>
      <w:r>
        <w:rPr>
          <w:rStyle w:val="FootnoteReference"/>
          <w:noProof/>
        </w:rPr>
        <w:footnoteReference w:id="33"/>
      </w:r>
      <w:r>
        <w:rPr>
          <w:noProof/>
        </w:rPr>
        <w:t xml:space="preserve"> och anläggningar för mekanisk biologisk behandling</w:t>
      </w:r>
      <w:r>
        <w:rPr>
          <w:rStyle w:val="FootnoteReference"/>
          <w:noProof/>
        </w:rPr>
        <w:footnoteReference w:id="34"/>
      </w:r>
      <w:r>
        <w:rPr>
          <w:noProof/>
        </w:rPr>
        <w:t>. och</w:t>
      </w:r>
    </w:p>
    <w:p w14:paraId="0AEDD136" w14:textId="78BAD798" w:rsidR="00E040FD" w:rsidRDefault="00740D64">
      <w:pPr>
        <w:pStyle w:val="ListParagraph"/>
        <w:keepNext w:val="0"/>
        <w:numPr>
          <w:ilvl w:val="0"/>
          <w:numId w:val="74"/>
        </w:numPr>
        <w:spacing w:before="120" w:after="120" w:line="22" w:lineRule="atLeast"/>
        <w:rPr>
          <w:noProof/>
        </w:rPr>
      </w:pPr>
      <w:r>
        <w:rPr>
          <w:noProof/>
        </w:rPr>
        <w:t>Kräva att mottagaren följer relevant EU-lagstiftning och nationell miljölagstiftning.</w:t>
      </w:r>
    </w:p>
    <w:p w14:paraId="0AB91DA2" w14:textId="6E00CAC3" w:rsidR="00E040FD" w:rsidRDefault="00740D64">
      <w:pPr>
        <w:pStyle w:val="P68B1DB1-Normal4"/>
        <w:spacing w:line="22" w:lineRule="atLeast"/>
        <w:jc w:val="both"/>
        <w:rPr>
          <w:rFonts w:cs="Times New Roman"/>
          <w:noProof/>
        </w:rPr>
      </w:pPr>
      <w:r>
        <w:rPr>
          <w:noProof/>
        </w:rPr>
        <w:t>Investeringen ska vara genomförd senast den 31 december 2025.</w:t>
      </w:r>
    </w:p>
    <w:p w14:paraId="3868A1A9" w14:textId="37A914CF" w:rsidR="00E040FD" w:rsidRDefault="00740D64">
      <w:pPr>
        <w:pStyle w:val="P68B1DB1-Heading214"/>
        <w:rPr>
          <w:noProof/>
        </w:rPr>
      </w:pPr>
      <w:bookmarkStart w:id="10" w:name="_Toc137472449"/>
      <w:bookmarkEnd w:id="9"/>
      <w:r>
        <w:rPr>
          <w:noProof/>
        </w:rPr>
        <w:t>Investering RE-C05-i08: Mer digital vetenskap</w:t>
      </w:r>
      <w:bookmarkEnd w:id="10"/>
    </w:p>
    <w:p w14:paraId="210E9435" w14:textId="77777777" w:rsidR="00E040FD" w:rsidRDefault="00740D64">
      <w:pPr>
        <w:pStyle w:val="P68B1DB1-Normal4"/>
        <w:rPr>
          <w:rFonts w:cs="Times New Roman"/>
          <w:noProof/>
        </w:rPr>
      </w:pPr>
      <w:r>
        <w:rPr>
          <w:noProof/>
        </w:rPr>
        <w:t>Syftet med denna åtgärd är att påskynda processen för digital omvandling och digitalisering av vetenskapen och av de tjänster som stöder det nationella vetenskapstekniksystemet.</w:t>
      </w:r>
    </w:p>
    <w:p w14:paraId="27ECE621" w14:textId="77777777" w:rsidR="00E040FD" w:rsidRDefault="00740D64">
      <w:pPr>
        <w:pStyle w:val="P68B1DB1-Normal4"/>
        <w:rPr>
          <w:rFonts w:cs="Times New Roman"/>
          <w:noProof/>
        </w:rPr>
      </w:pPr>
      <w:r>
        <w:rPr>
          <w:noProof/>
        </w:rPr>
        <w:t>I detta syfte ska investeringen</w:t>
      </w:r>
    </w:p>
    <w:p w14:paraId="46455329" w14:textId="5256B8E3" w:rsidR="00E040FD" w:rsidRDefault="00740D64">
      <w:pPr>
        <w:pStyle w:val="ListParagraph"/>
        <w:keepNext w:val="0"/>
        <w:numPr>
          <w:ilvl w:val="0"/>
          <w:numId w:val="75"/>
        </w:numPr>
        <w:spacing w:before="120" w:after="120" w:line="240" w:lineRule="auto"/>
        <w:rPr>
          <w:noProof/>
        </w:rPr>
      </w:pPr>
      <w:r>
        <w:rPr>
          <w:noProof/>
        </w:rPr>
        <w:t>Slutföra ”Science XXI campus” och ”Science Desk” (fysisk och online), där tjänster och finansieringsmekanismer för forskare, FoU-enheter och högre utbildningsanstalter ska göras tillgängliga på ett och samma ställe.</w:t>
      </w:r>
    </w:p>
    <w:p w14:paraId="6C941732" w14:textId="2B79750A" w:rsidR="00E040FD" w:rsidRDefault="00740D64">
      <w:pPr>
        <w:pStyle w:val="ListParagraph"/>
        <w:keepNext w:val="0"/>
        <w:numPr>
          <w:ilvl w:val="0"/>
          <w:numId w:val="75"/>
        </w:numPr>
        <w:spacing w:before="120" w:after="120" w:line="240" w:lineRule="auto"/>
        <w:rPr>
          <w:noProof/>
        </w:rPr>
      </w:pPr>
      <w:r>
        <w:rPr>
          <w:noProof/>
        </w:rPr>
        <w:t>Inrätta National Advanced Computing Centre (CNCA), som täcker Portugals nationella bidrag till den nya superdatorn ”Deucalion” och färdigställer datacentre/stödinfrastruktur för driften av de två superdatorerna ”Deucalion” och ”Mare Nostrum 5”.</w:t>
      </w:r>
    </w:p>
    <w:p w14:paraId="084AC810" w14:textId="77777777" w:rsidR="00E040FD" w:rsidRDefault="00740D64">
      <w:pPr>
        <w:pStyle w:val="ListParagraph"/>
        <w:keepNext w:val="0"/>
        <w:numPr>
          <w:ilvl w:val="0"/>
          <w:numId w:val="75"/>
        </w:numPr>
        <w:spacing w:before="120" w:after="120" w:line="240" w:lineRule="auto"/>
        <w:rPr>
          <w:noProof/>
        </w:rPr>
      </w:pPr>
      <w:r>
        <w:rPr>
          <w:noProof/>
        </w:rPr>
        <w:t>Stödja lanseringen av ett program för FoU-projekt med inriktning på utveckling och genomförande av avancerade system för cybersäkerhet, artificiell intelligens och datavetenskap inom den offentliga förvaltningen samt ett program för vetenskaplig egenmakt.</w:t>
      </w:r>
    </w:p>
    <w:p w14:paraId="37E9BAB2" w14:textId="659E6A48" w:rsidR="00E040FD" w:rsidRDefault="00740D64">
      <w:pPr>
        <w:pStyle w:val="ListParagraph"/>
        <w:keepNext w:val="0"/>
        <w:numPr>
          <w:ilvl w:val="0"/>
          <w:numId w:val="75"/>
        </w:numPr>
        <w:spacing w:before="120" w:after="120" w:line="240" w:lineRule="auto"/>
        <w:rPr>
          <w:noProof/>
        </w:rPr>
      </w:pPr>
      <w:r>
        <w:rPr>
          <w:noProof/>
        </w:rPr>
        <w:t>Öka antalet kurser som erbjuds genom den nationella plattformen för onlinekurser (NAU).</w:t>
      </w:r>
    </w:p>
    <w:p w14:paraId="1CAC10F0" w14:textId="77777777" w:rsidR="00E040FD" w:rsidRDefault="00740D64">
      <w:pPr>
        <w:pStyle w:val="ListParagraph"/>
        <w:keepNext w:val="0"/>
        <w:numPr>
          <w:ilvl w:val="0"/>
          <w:numId w:val="75"/>
        </w:numPr>
        <w:spacing w:before="120" w:after="120" w:line="240" w:lineRule="auto"/>
        <w:rPr>
          <w:noProof/>
        </w:rPr>
      </w:pPr>
      <w:r>
        <w:rPr>
          <w:noProof/>
        </w:rPr>
        <w:t>Genomföra det nationella programmet för öppen vetenskap och forskningsdata (PNCADAI).</w:t>
      </w:r>
    </w:p>
    <w:p w14:paraId="32824034" w14:textId="77777777" w:rsidR="00E040FD" w:rsidRDefault="00740D64">
      <w:pPr>
        <w:pStyle w:val="P68B1DB1-Normal4"/>
        <w:rPr>
          <w:rFonts w:cs="Times New Roman"/>
          <w:noProof/>
        </w:rPr>
      </w:pPr>
      <w:r>
        <w:rPr>
          <w:noProof/>
        </w:rPr>
        <w:t>Investeringen ska vara genomförd senast den 31 mars 2026.</w:t>
      </w:r>
    </w:p>
    <w:p w14:paraId="37E57FD8" w14:textId="6C90134D" w:rsidR="00E040FD" w:rsidRDefault="00740D64">
      <w:pPr>
        <w:pStyle w:val="P68B1DB1-Heading214"/>
        <w:rPr>
          <w:noProof/>
        </w:rPr>
      </w:pPr>
      <w:bookmarkStart w:id="11" w:name="_Toc209238830"/>
      <w:bookmarkStart w:id="12" w:name="_Toc137472447"/>
      <w:r>
        <w:rPr>
          <w:noProof/>
        </w:rPr>
        <w:t>Investering RE-C05-i09 – - Scale-up: Mobilisering av agendor/allianser för företagsinnovation</w:t>
      </w:r>
      <w:bookmarkEnd w:id="11"/>
      <w:bookmarkEnd w:id="12"/>
    </w:p>
    <w:p w14:paraId="2416536F" w14:textId="77777777" w:rsidR="00E040FD" w:rsidRDefault="00740D64">
      <w:pPr>
        <w:pStyle w:val="P68B1DB1-Normal4"/>
        <w:jc w:val="both"/>
        <w:rPr>
          <w:rFonts w:cs="Times New Roman"/>
          <w:noProof/>
        </w:rPr>
      </w:pPr>
      <w:r>
        <w:rPr>
          <w:noProof/>
        </w:rPr>
        <w:t xml:space="preserve">Syftet med denna investering är att öka investeringarna RE-C05 – i01.01, inom ramen för komponent 5. Den utökade delen av åtgärden ska öka antalet produkter, processer eller tjänster som färdigställts från Mobilisation Agendas/Alliances for Business Innovation. </w:t>
      </w:r>
    </w:p>
    <w:p w14:paraId="71CB417C" w14:textId="39E86924" w:rsidR="00E040FD" w:rsidRDefault="00740D64">
      <w:pPr>
        <w:pStyle w:val="P68B1DB1-Normal4"/>
        <w:jc w:val="both"/>
        <w:rPr>
          <w:rFonts w:eastAsiaTheme="minorEastAsia" w:cs="Times New Roman"/>
          <w:noProof/>
        </w:rPr>
      </w:pPr>
      <w:r>
        <w:rPr>
          <w:noProof/>
        </w:rPr>
        <w:t>Investeringen ska vara genomförd senast den 31 december 2025.</w:t>
      </w:r>
    </w:p>
    <w:p w14:paraId="0EE30DD3" w14:textId="6E416376" w:rsidR="00E040FD" w:rsidRDefault="00740D64">
      <w:pPr>
        <w:pStyle w:val="P68B1DB1-Heading214"/>
        <w:rPr>
          <w:noProof/>
        </w:rPr>
      </w:pPr>
      <w:bookmarkStart w:id="13" w:name="_Toc137472485"/>
      <w:r>
        <w:rPr>
          <w:noProof/>
        </w:rPr>
        <w:t>Investering RE-C05-i10 – - Scale-up: Gröna agendor/allianser för företagsinnovation</w:t>
      </w:r>
      <w:bookmarkEnd w:id="13"/>
    </w:p>
    <w:p w14:paraId="150A2213" w14:textId="5D8DC0D8" w:rsidR="00E040FD" w:rsidRDefault="00740D64">
      <w:pPr>
        <w:pStyle w:val="P68B1DB1-Normal4"/>
        <w:jc w:val="both"/>
        <w:rPr>
          <w:rFonts w:cs="Times New Roman"/>
          <w:noProof/>
        </w:rPr>
      </w:pPr>
      <w:r>
        <w:rPr>
          <w:noProof/>
        </w:rPr>
        <w:t>Syftet med denna investering är att öka investeringarna RE-C05 – i01.02 inom ramen för komponent 5. Den utökade delen av åtgärden ska öka antalet produkter, processer eller tjänster från ytterligare gröna agendor.</w:t>
      </w:r>
    </w:p>
    <w:p w14:paraId="40C9E33B" w14:textId="77777777" w:rsidR="00E040FD" w:rsidRDefault="00740D64">
      <w:pPr>
        <w:pStyle w:val="P68B1DB1-Normal4"/>
        <w:jc w:val="both"/>
        <w:rPr>
          <w:rFonts w:eastAsiaTheme="minorEastAsia" w:cs="Times New Roman"/>
          <w:noProof/>
        </w:rPr>
      </w:pPr>
      <w:r>
        <w:rPr>
          <w:noProof/>
        </w:rPr>
        <w:t xml:space="preserve">Investeringen ska vara genomförd senast den 31 december 2025. </w:t>
      </w:r>
    </w:p>
    <w:p w14:paraId="2DD7051F" w14:textId="77777777" w:rsidR="00E040FD" w:rsidRDefault="00E040FD">
      <w:pPr>
        <w:rPr>
          <w:rFonts w:ascii="Times New Roman" w:hAnsi="Times New Roman" w:cs="Times New Roman"/>
          <w:noProof/>
          <w:sz w:val="24"/>
        </w:rPr>
      </w:pPr>
    </w:p>
    <w:p w14:paraId="528A2C1C" w14:textId="77777777" w:rsidR="00E040FD" w:rsidRDefault="00E040FD">
      <w:pPr>
        <w:spacing w:line="22" w:lineRule="atLeast"/>
        <w:jc w:val="both"/>
        <w:rPr>
          <w:rFonts w:ascii="Times New Roman" w:hAnsi="Times New Roman" w:cs="Times New Roman"/>
          <w:noProof/>
          <w:sz w:val="24"/>
        </w:rPr>
      </w:pPr>
    </w:p>
    <w:p w14:paraId="040D9F53" w14:textId="77777777" w:rsidR="00E040FD" w:rsidRDefault="00E040FD">
      <w:pPr>
        <w:spacing w:before="40" w:after="0" w:line="259" w:lineRule="auto"/>
        <w:jc w:val="both"/>
        <w:rPr>
          <w:rFonts w:ascii="Times New Roman" w:eastAsiaTheme="minorEastAsia" w:hAnsi="Times New Roman" w:cs="Times New Roman"/>
          <w:noProof/>
          <w:sz w:val="24"/>
        </w:rPr>
        <w:sectPr w:rsidR="00E040FD" w:rsidSect="00E00EDD">
          <w:headerReference w:type="even" r:id="rId96"/>
          <w:headerReference w:type="default" r:id="rId97"/>
          <w:footerReference w:type="even" r:id="rId98"/>
          <w:footerReference w:type="default" r:id="rId99"/>
          <w:headerReference w:type="first" r:id="rId100"/>
          <w:footerReference w:type="first" r:id="rId101"/>
          <w:pgSz w:w="11907" w:h="16839"/>
          <w:pgMar w:top="1134" w:right="1134" w:bottom="1134" w:left="1134" w:header="567" w:footer="567" w:gutter="0"/>
          <w:cols w:space="720"/>
          <w:docGrid w:linePitch="360"/>
        </w:sectPr>
      </w:pPr>
    </w:p>
    <w:p w14:paraId="19A5F577" w14:textId="77777777" w:rsidR="00E040FD" w:rsidRDefault="00E040FD">
      <w:pPr>
        <w:spacing w:before="40" w:after="0" w:line="259" w:lineRule="auto"/>
        <w:jc w:val="both"/>
        <w:rPr>
          <w:rFonts w:ascii="Times New Roman" w:eastAsiaTheme="minorEastAsia" w:hAnsi="Times New Roman" w:cs="Times New Roman"/>
          <w:noProof/>
          <w:sz w:val="24"/>
        </w:rPr>
      </w:pPr>
    </w:p>
    <w:p w14:paraId="0EC6A68F" w14:textId="77777777" w:rsidR="00E040FD" w:rsidRDefault="00740D64">
      <w:pPr>
        <w:pStyle w:val="P68B1DB1-Normal3"/>
        <w:spacing w:before="40" w:after="0" w:line="259" w:lineRule="auto"/>
        <w:ind w:left="130" w:firstLine="720"/>
        <w:jc w:val="both"/>
        <w:outlineLvl w:val="2"/>
        <w:rPr>
          <w:rFonts w:eastAsiaTheme="minorEastAsia" w:cs="Times New Roman"/>
          <w:noProof/>
        </w:rPr>
      </w:pPr>
      <w:r>
        <w:rPr>
          <w:noProof/>
        </w:rPr>
        <w:t>E.2. Delmål, mål, indikatorer och tidsplan för övervakning och genomförande avseende icke återbetalningspliktigt ekonomiskt stöd</w:t>
      </w:r>
    </w:p>
    <w:p w14:paraId="75F064A2" w14:textId="77777777" w:rsidR="00E040FD" w:rsidRDefault="00E040FD">
      <w:pPr>
        <w:spacing w:before="40" w:after="0" w:line="259" w:lineRule="auto"/>
        <w:jc w:val="both"/>
        <w:rPr>
          <w:rFonts w:ascii="Times New Roman" w:eastAsiaTheme="minorEastAsia" w:hAnsi="Times New Roman" w:cs="Times New Roman"/>
          <w:noProof/>
          <w:sz w:val="24"/>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65"/>
        <w:gridCol w:w="976"/>
        <w:gridCol w:w="1668"/>
        <w:gridCol w:w="2029"/>
        <w:gridCol w:w="982"/>
        <w:gridCol w:w="982"/>
        <w:gridCol w:w="626"/>
        <w:gridCol w:w="514"/>
        <w:gridCol w:w="747"/>
        <w:gridCol w:w="3919"/>
      </w:tblGrid>
      <w:tr w:rsidR="00E040FD" w14:paraId="1198CA4A" w14:textId="77777777">
        <w:trPr>
          <w:trHeight w:val="300"/>
          <w:tblHeader/>
        </w:trPr>
        <w:tc>
          <w:tcPr>
            <w:tcW w:w="1134" w:type="dxa"/>
            <w:vMerge w:val="restart"/>
            <w:shd w:val="clear" w:color="auto" w:fill="BDD6EE"/>
            <w:vAlign w:val="center"/>
            <w:hideMark/>
          </w:tcPr>
          <w:p w14:paraId="22518CE5"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165" w:type="dxa"/>
            <w:vMerge w:val="restart"/>
            <w:shd w:val="clear" w:color="auto" w:fill="BDD6EE"/>
            <w:noWrap/>
            <w:vAlign w:val="center"/>
            <w:hideMark/>
          </w:tcPr>
          <w:p w14:paraId="2D96F25A"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976" w:type="dxa"/>
            <w:vMerge w:val="restart"/>
            <w:shd w:val="clear" w:color="auto" w:fill="BDD6EE"/>
            <w:noWrap/>
            <w:vAlign w:val="center"/>
            <w:hideMark/>
          </w:tcPr>
          <w:p w14:paraId="441A5184" w14:textId="53663AE8" w:rsidR="00E040FD" w:rsidRDefault="00740D64">
            <w:pPr>
              <w:pStyle w:val="P68B1DB1-Normal6"/>
              <w:spacing w:after="0" w:line="240" w:lineRule="auto"/>
              <w:jc w:val="center"/>
              <w:rPr>
                <w:rFonts w:eastAsia="Times New Roman" w:cs="Times New Roman"/>
                <w:noProof/>
              </w:rPr>
            </w:pPr>
            <w:r>
              <w:rPr>
                <w:noProof/>
              </w:rPr>
              <w:t xml:space="preserve">Delmål/mål </w:t>
            </w:r>
          </w:p>
          <w:p w14:paraId="12DC3346" w14:textId="13EEAED9" w:rsidR="00E040FD" w:rsidRDefault="00E040FD">
            <w:pPr>
              <w:spacing w:after="0" w:line="240" w:lineRule="auto"/>
              <w:rPr>
                <w:rFonts w:ascii="Times New Roman" w:eastAsia="Times New Roman" w:hAnsi="Times New Roman" w:cs="Times New Roman"/>
                <w:b/>
                <w:noProof/>
                <w:sz w:val="18"/>
              </w:rPr>
            </w:pPr>
          </w:p>
        </w:tc>
        <w:tc>
          <w:tcPr>
            <w:tcW w:w="1668" w:type="dxa"/>
            <w:vMerge w:val="restart"/>
            <w:shd w:val="clear" w:color="auto" w:fill="BDD6EE"/>
            <w:noWrap/>
            <w:vAlign w:val="center"/>
            <w:hideMark/>
          </w:tcPr>
          <w:p w14:paraId="24A7D056" w14:textId="77777777" w:rsidR="00E040FD" w:rsidRDefault="00740D64">
            <w:pPr>
              <w:pStyle w:val="P68B1DB1-Normal6"/>
              <w:spacing w:after="0" w:line="240" w:lineRule="auto"/>
              <w:jc w:val="center"/>
              <w:rPr>
                <w:rFonts w:eastAsia="Times New Roman" w:cs="Times New Roman"/>
                <w:noProof/>
              </w:rPr>
            </w:pPr>
            <w:r>
              <w:rPr>
                <w:noProof/>
              </w:rPr>
              <w:t>Namn</w:t>
            </w:r>
          </w:p>
        </w:tc>
        <w:tc>
          <w:tcPr>
            <w:tcW w:w="2029" w:type="dxa"/>
            <w:vMerge w:val="restart"/>
            <w:shd w:val="clear" w:color="auto" w:fill="BDD6EE"/>
            <w:noWrap/>
            <w:vAlign w:val="center"/>
            <w:hideMark/>
          </w:tcPr>
          <w:p w14:paraId="54F026CB"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590" w:type="dxa"/>
            <w:gridSpan w:val="3"/>
            <w:shd w:val="clear" w:color="auto" w:fill="BDD6EE"/>
            <w:noWrap/>
            <w:vAlign w:val="center"/>
            <w:hideMark/>
          </w:tcPr>
          <w:p w14:paraId="1C0D1264"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61" w:type="dxa"/>
            <w:gridSpan w:val="2"/>
            <w:shd w:val="clear" w:color="auto" w:fill="BDD6EE"/>
            <w:noWrap/>
            <w:vAlign w:val="center"/>
            <w:hideMark/>
          </w:tcPr>
          <w:p w14:paraId="3C87353C"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3919" w:type="dxa"/>
            <w:vMerge w:val="restart"/>
            <w:shd w:val="clear" w:color="auto" w:fill="BDD6EE"/>
            <w:noWrap/>
            <w:vAlign w:val="center"/>
            <w:hideMark/>
          </w:tcPr>
          <w:p w14:paraId="2A120D66"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328E94F7" w14:textId="77777777">
        <w:trPr>
          <w:trHeight w:val="414"/>
          <w:tblHeader/>
        </w:trPr>
        <w:tc>
          <w:tcPr>
            <w:tcW w:w="1134" w:type="dxa"/>
            <w:vMerge/>
            <w:vAlign w:val="center"/>
            <w:hideMark/>
          </w:tcPr>
          <w:p w14:paraId="2D953042" w14:textId="77777777" w:rsidR="00E040FD" w:rsidRDefault="00E040FD">
            <w:pPr>
              <w:spacing w:after="0" w:line="240" w:lineRule="auto"/>
              <w:rPr>
                <w:rFonts w:ascii="Times New Roman" w:eastAsia="Times New Roman" w:hAnsi="Times New Roman" w:cs="Times New Roman"/>
                <w:b/>
                <w:noProof/>
                <w:sz w:val="18"/>
              </w:rPr>
            </w:pPr>
          </w:p>
        </w:tc>
        <w:tc>
          <w:tcPr>
            <w:tcW w:w="1165" w:type="dxa"/>
            <w:vMerge/>
            <w:vAlign w:val="center"/>
            <w:hideMark/>
          </w:tcPr>
          <w:p w14:paraId="4F69105E" w14:textId="77777777" w:rsidR="00E040FD" w:rsidRDefault="00E040FD">
            <w:pPr>
              <w:spacing w:after="0" w:line="240" w:lineRule="auto"/>
              <w:rPr>
                <w:rFonts w:ascii="Times New Roman" w:eastAsia="Times New Roman" w:hAnsi="Times New Roman" w:cs="Times New Roman"/>
                <w:b/>
                <w:noProof/>
                <w:sz w:val="18"/>
              </w:rPr>
            </w:pPr>
          </w:p>
        </w:tc>
        <w:tc>
          <w:tcPr>
            <w:tcW w:w="976" w:type="dxa"/>
            <w:vMerge/>
            <w:noWrap/>
            <w:vAlign w:val="center"/>
            <w:hideMark/>
          </w:tcPr>
          <w:p w14:paraId="0CA5CF6D" w14:textId="53822D8D" w:rsidR="00E040FD" w:rsidRDefault="00E040FD">
            <w:pPr>
              <w:spacing w:after="0" w:line="240" w:lineRule="auto"/>
              <w:rPr>
                <w:rFonts w:ascii="Times New Roman" w:eastAsia="Times New Roman" w:hAnsi="Times New Roman" w:cs="Times New Roman"/>
                <w:b/>
                <w:noProof/>
                <w:sz w:val="18"/>
              </w:rPr>
            </w:pPr>
          </w:p>
        </w:tc>
        <w:tc>
          <w:tcPr>
            <w:tcW w:w="1668" w:type="dxa"/>
            <w:vMerge/>
            <w:vAlign w:val="center"/>
            <w:hideMark/>
          </w:tcPr>
          <w:p w14:paraId="501343F1" w14:textId="77777777" w:rsidR="00E040FD" w:rsidRDefault="00E040FD">
            <w:pPr>
              <w:spacing w:after="0" w:line="240" w:lineRule="auto"/>
              <w:rPr>
                <w:rFonts w:ascii="Times New Roman" w:eastAsia="Times New Roman" w:hAnsi="Times New Roman" w:cs="Times New Roman"/>
                <w:b/>
                <w:noProof/>
                <w:sz w:val="18"/>
              </w:rPr>
            </w:pPr>
          </w:p>
        </w:tc>
        <w:tc>
          <w:tcPr>
            <w:tcW w:w="2029" w:type="dxa"/>
            <w:vMerge/>
            <w:vAlign w:val="center"/>
            <w:hideMark/>
          </w:tcPr>
          <w:p w14:paraId="0E224900" w14:textId="77777777" w:rsidR="00E040FD" w:rsidRDefault="00E040FD">
            <w:pPr>
              <w:spacing w:after="0" w:line="240" w:lineRule="auto"/>
              <w:rPr>
                <w:rFonts w:ascii="Times New Roman" w:eastAsia="Times New Roman" w:hAnsi="Times New Roman" w:cs="Times New Roman"/>
                <w:b/>
                <w:noProof/>
                <w:sz w:val="18"/>
              </w:rPr>
            </w:pPr>
          </w:p>
        </w:tc>
        <w:tc>
          <w:tcPr>
            <w:tcW w:w="982" w:type="dxa"/>
            <w:tcBorders>
              <w:bottom w:val="single" w:sz="4" w:space="0" w:color="auto"/>
            </w:tcBorders>
            <w:shd w:val="clear" w:color="auto" w:fill="BDD6EE"/>
            <w:noWrap/>
            <w:vAlign w:val="center"/>
            <w:hideMark/>
          </w:tcPr>
          <w:p w14:paraId="54572D4F"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82" w:type="dxa"/>
            <w:tcBorders>
              <w:bottom w:val="single" w:sz="4" w:space="0" w:color="auto"/>
            </w:tcBorders>
            <w:shd w:val="clear" w:color="auto" w:fill="BDD6EE"/>
            <w:noWrap/>
            <w:vAlign w:val="center"/>
            <w:hideMark/>
          </w:tcPr>
          <w:p w14:paraId="2F722543"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626" w:type="dxa"/>
            <w:tcBorders>
              <w:bottom w:val="single" w:sz="4" w:space="0" w:color="auto"/>
            </w:tcBorders>
            <w:shd w:val="clear" w:color="auto" w:fill="BDD6EE"/>
            <w:noWrap/>
            <w:vAlign w:val="center"/>
            <w:hideMark/>
          </w:tcPr>
          <w:p w14:paraId="490C54F4" w14:textId="77777777" w:rsidR="00E040FD" w:rsidRDefault="00740D64">
            <w:pPr>
              <w:pStyle w:val="P68B1DB1-Normal6"/>
              <w:spacing w:after="0" w:line="240" w:lineRule="auto"/>
              <w:jc w:val="center"/>
              <w:rPr>
                <w:rFonts w:eastAsia="Times New Roman" w:cs="Times New Roman"/>
                <w:noProof/>
              </w:rPr>
            </w:pPr>
            <w:r>
              <w:rPr>
                <w:noProof/>
              </w:rPr>
              <w:t>Mål</w:t>
            </w:r>
          </w:p>
        </w:tc>
        <w:tc>
          <w:tcPr>
            <w:tcW w:w="514" w:type="dxa"/>
            <w:tcBorders>
              <w:bottom w:val="single" w:sz="4" w:space="0" w:color="auto"/>
            </w:tcBorders>
            <w:shd w:val="clear" w:color="auto" w:fill="BDD6EE"/>
            <w:noWrap/>
            <w:vAlign w:val="center"/>
            <w:hideMark/>
          </w:tcPr>
          <w:p w14:paraId="7923F7C5" w14:textId="77777777" w:rsidR="00E040FD" w:rsidRDefault="00740D64">
            <w:pPr>
              <w:pStyle w:val="P68B1DB1-Normal6"/>
              <w:spacing w:after="0" w:line="240" w:lineRule="auto"/>
              <w:jc w:val="center"/>
              <w:rPr>
                <w:rFonts w:eastAsia="Times New Roman" w:cs="Times New Roman"/>
                <w:noProof/>
              </w:rPr>
            </w:pPr>
            <w:r>
              <w:rPr>
                <w:noProof/>
              </w:rPr>
              <w:t>Q</w:t>
            </w:r>
          </w:p>
        </w:tc>
        <w:tc>
          <w:tcPr>
            <w:tcW w:w="747" w:type="dxa"/>
            <w:tcBorders>
              <w:bottom w:val="single" w:sz="4" w:space="0" w:color="auto"/>
            </w:tcBorders>
            <w:shd w:val="clear" w:color="auto" w:fill="BDD6EE"/>
            <w:noWrap/>
            <w:vAlign w:val="center"/>
            <w:hideMark/>
          </w:tcPr>
          <w:p w14:paraId="73E52651" w14:textId="77777777" w:rsidR="00E040FD" w:rsidRDefault="00740D64">
            <w:pPr>
              <w:pStyle w:val="P68B1DB1-Normal6"/>
              <w:spacing w:after="0" w:line="240" w:lineRule="auto"/>
              <w:jc w:val="center"/>
              <w:rPr>
                <w:rFonts w:eastAsia="Times New Roman" w:cs="Times New Roman"/>
                <w:noProof/>
              </w:rPr>
            </w:pPr>
            <w:r>
              <w:rPr>
                <w:noProof/>
              </w:rPr>
              <w:t>Året</w:t>
            </w:r>
          </w:p>
        </w:tc>
        <w:tc>
          <w:tcPr>
            <w:tcW w:w="3919" w:type="dxa"/>
            <w:vMerge/>
            <w:vAlign w:val="center"/>
            <w:hideMark/>
          </w:tcPr>
          <w:p w14:paraId="38FBE50A" w14:textId="77777777" w:rsidR="00E040FD" w:rsidRDefault="00E040FD">
            <w:pPr>
              <w:spacing w:after="0" w:line="240" w:lineRule="auto"/>
              <w:rPr>
                <w:rFonts w:ascii="Times New Roman" w:eastAsia="Times New Roman" w:hAnsi="Times New Roman" w:cs="Times New Roman"/>
                <w:b/>
                <w:noProof/>
                <w:sz w:val="18"/>
              </w:rPr>
            </w:pPr>
          </w:p>
        </w:tc>
      </w:tr>
      <w:tr w:rsidR="00E040FD" w14:paraId="110D1462" w14:textId="77777777">
        <w:trPr>
          <w:trHeight w:val="1328"/>
        </w:trPr>
        <w:tc>
          <w:tcPr>
            <w:tcW w:w="1134" w:type="dxa"/>
            <w:shd w:val="clear" w:color="auto" w:fill="C4EFCE"/>
            <w:vAlign w:val="center"/>
            <w:hideMark/>
          </w:tcPr>
          <w:p w14:paraId="6746EC53" w14:textId="77777777" w:rsidR="00E040FD" w:rsidRDefault="00740D64">
            <w:pPr>
              <w:pStyle w:val="P68B1DB1-Normal7"/>
              <w:spacing w:after="0" w:line="240" w:lineRule="auto"/>
              <w:jc w:val="center"/>
              <w:rPr>
                <w:rFonts w:eastAsia="Times New Roman" w:cs="Calibri"/>
                <w:noProof/>
              </w:rPr>
            </w:pPr>
            <w:r>
              <w:rPr>
                <w:noProof/>
              </w:rPr>
              <w:t>5.1</w:t>
            </w:r>
          </w:p>
        </w:tc>
        <w:tc>
          <w:tcPr>
            <w:tcW w:w="1165" w:type="dxa"/>
            <w:shd w:val="clear" w:color="auto" w:fill="C4EFCE"/>
            <w:vAlign w:val="center"/>
            <w:hideMark/>
          </w:tcPr>
          <w:p w14:paraId="26E5077E" w14:textId="77777777" w:rsidR="00E040FD" w:rsidRDefault="00740D64">
            <w:pPr>
              <w:pStyle w:val="P68B1DB1-Normal8"/>
              <w:spacing w:after="0" w:line="240" w:lineRule="auto"/>
              <w:jc w:val="center"/>
              <w:rPr>
                <w:rFonts w:eastAsia="Times New Roman" w:cs="Calibri"/>
                <w:noProof/>
              </w:rPr>
            </w:pPr>
            <w:r>
              <w:rPr>
                <w:noProof/>
              </w:rPr>
              <w:t>RE-C05-r09</w:t>
            </w:r>
          </w:p>
        </w:tc>
        <w:tc>
          <w:tcPr>
            <w:tcW w:w="976" w:type="dxa"/>
            <w:shd w:val="clear" w:color="auto" w:fill="C4EFCE"/>
            <w:vAlign w:val="center"/>
            <w:hideMark/>
          </w:tcPr>
          <w:p w14:paraId="3B5D305C" w14:textId="77777777" w:rsidR="00E040FD" w:rsidRDefault="00740D6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01150D1F" w14:textId="77777777" w:rsidR="00E040FD" w:rsidRDefault="00740D64">
            <w:pPr>
              <w:pStyle w:val="P68B1DB1-Normal8"/>
              <w:spacing w:after="0" w:line="240" w:lineRule="auto"/>
              <w:jc w:val="center"/>
              <w:rPr>
                <w:rFonts w:eastAsia="Times New Roman" w:cs="Calibri"/>
                <w:noProof/>
              </w:rPr>
            </w:pPr>
            <w:r>
              <w:rPr>
                <w:noProof/>
              </w:rPr>
              <w:t>Uppdatering av riktlinjerna för strategin för teknisk innovation och företagsinnovation för Portugal 2030</w:t>
            </w:r>
          </w:p>
        </w:tc>
        <w:tc>
          <w:tcPr>
            <w:tcW w:w="2029" w:type="dxa"/>
            <w:shd w:val="clear" w:color="auto" w:fill="C4EFCE"/>
            <w:vAlign w:val="center"/>
            <w:hideMark/>
          </w:tcPr>
          <w:p w14:paraId="1FA50D9E" w14:textId="77777777" w:rsidR="00E040FD" w:rsidRDefault="00740D64">
            <w:pPr>
              <w:pStyle w:val="P68B1DB1-Normal8"/>
              <w:spacing w:after="0" w:line="240" w:lineRule="auto"/>
              <w:jc w:val="center"/>
              <w:rPr>
                <w:rFonts w:eastAsia="Times New Roman" w:cs="Calibri"/>
                <w:noProof/>
              </w:rPr>
            </w:pPr>
            <w:r>
              <w:rPr>
                <w:noProof/>
              </w:rPr>
              <w:t>Offentliggörande av uppdaterade riktlinjer för strategin för teknisk innovation och företagsinnovation för Portugal 2030</w:t>
            </w:r>
          </w:p>
        </w:tc>
        <w:tc>
          <w:tcPr>
            <w:tcW w:w="982" w:type="dxa"/>
            <w:shd w:val="clear" w:color="auto" w:fill="C4EFCE"/>
            <w:vAlign w:val="center"/>
            <w:hideMark/>
          </w:tcPr>
          <w:p w14:paraId="1A083873"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86A4EC8" w14:textId="77777777" w:rsidR="00E040FD" w:rsidRDefault="00740D6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315D3D4A" w14:textId="77777777" w:rsidR="00E040FD" w:rsidRDefault="00740D6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61050DF5"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19F55430" w14:textId="77777777" w:rsidR="00E040FD" w:rsidRDefault="00740D6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73AB634A" w14:textId="77777777" w:rsidR="00E040FD" w:rsidRDefault="00740D64">
            <w:pPr>
              <w:pStyle w:val="P68B1DB1-Normal8"/>
              <w:spacing w:after="0" w:line="240" w:lineRule="auto"/>
              <w:jc w:val="both"/>
              <w:rPr>
                <w:rFonts w:eastAsia="Times New Roman" w:cs="Calibri"/>
                <w:noProof/>
              </w:rPr>
            </w:pPr>
            <w:r>
              <w:rPr>
                <w:noProof/>
              </w:rPr>
              <w:t xml:space="preserve">Uppdatering av ministerrådets beslut om godkännande av riktlinjerna för en strategi för teknisk innovation och företagsinnovation för Portugal 2018–2030, med beaktande av Portugals nyligen antagna strategi för 2030 och de nya utmaningarna i samband med ekonomisk återhämtning.  </w:t>
            </w:r>
          </w:p>
        </w:tc>
      </w:tr>
      <w:tr w:rsidR="00E040FD" w14:paraId="5E5E0ADB" w14:textId="77777777">
        <w:trPr>
          <w:trHeight w:val="1134"/>
        </w:trPr>
        <w:tc>
          <w:tcPr>
            <w:tcW w:w="1134" w:type="dxa"/>
            <w:shd w:val="clear" w:color="auto" w:fill="C4EFCE"/>
            <w:vAlign w:val="center"/>
            <w:hideMark/>
          </w:tcPr>
          <w:p w14:paraId="3DD3A8E0" w14:textId="77777777" w:rsidR="00E040FD" w:rsidRDefault="00740D64">
            <w:pPr>
              <w:pStyle w:val="P68B1DB1-Normal7"/>
              <w:spacing w:after="0" w:line="240" w:lineRule="auto"/>
              <w:jc w:val="center"/>
              <w:rPr>
                <w:rFonts w:eastAsia="Times New Roman" w:cs="Calibri"/>
                <w:noProof/>
              </w:rPr>
            </w:pPr>
            <w:r>
              <w:rPr>
                <w:noProof/>
              </w:rPr>
              <w:t>5.2</w:t>
            </w:r>
          </w:p>
        </w:tc>
        <w:tc>
          <w:tcPr>
            <w:tcW w:w="1165" w:type="dxa"/>
            <w:shd w:val="clear" w:color="auto" w:fill="C4EFCE"/>
            <w:vAlign w:val="center"/>
            <w:hideMark/>
          </w:tcPr>
          <w:p w14:paraId="7C0278D5" w14:textId="77777777" w:rsidR="00E040FD" w:rsidRDefault="00740D64">
            <w:pPr>
              <w:pStyle w:val="P68B1DB1-Normal8"/>
              <w:spacing w:after="0" w:line="240" w:lineRule="auto"/>
              <w:jc w:val="center"/>
              <w:rPr>
                <w:rFonts w:eastAsia="Times New Roman" w:cs="Calibri"/>
                <w:noProof/>
              </w:rPr>
            </w:pPr>
            <w:r>
              <w:rPr>
                <w:noProof/>
              </w:rPr>
              <w:t>RE-C05-r11</w:t>
            </w:r>
          </w:p>
        </w:tc>
        <w:tc>
          <w:tcPr>
            <w:tcW w:w="976" w:type="dxa"/>
            <w:shd w:val="clear" w:color="auto" w:fill="C4EFCE"/>
            <w:vAlign w:val="center"/>
            <w:hideMark/>
          </w:tcPr>
          <w:p w14:paraId="05E26CF5"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A7AA3EE" w14:textId="77777777" w:rsidR="00E040FD" w:rsidRDefault="00740D64">
            <w:pPr>
              <w:pStyle w:val="P68B1DB1-Normal8"/>
              <w:spacing w:after="0" w:line="240" w:lineRule="auto"/>
              <w:jc w:val="center"/>
              <w:rPr>
                <w:rFonts w:eastAsia="Times New Roman" w:cs="Calibri"/>
                <w:noProof/>
              </w:rPr>
            </w:pPr>
            <w:r>
              <w:rPr>
                <w:noProof/>
              </w:rPr>
              <w:t>Utvidgning av nätverket av erkända samarbetslaboratorier</w:t>
            </w:r>
          </w:p>
        </w:tc>
        <w:tc>
          <w:tcPr>
            <w:tcW w:w="2029" w:type="dxa"/>
            <w:shd w:val="clear" w:color="auto" w:fill="C4EFCE"/>
            <w:vAlign w:val="center"/>
            <w:hideMark/>
          </w:tcPr>
          <w:p w14:paraId="2DEFD2C1"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475022A"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77E0ED1B" w14:textId="77777777" w:rsidR="00E040FD" w:rsidRDefault="00740D64">
            <w:pPr>
              <w:pStyle w:val="P68B1DB1-Normal8"/>
              <w:spacing w:after="0" w:line="240" w:lineRule="auto"/>
              <w:jc w:val="center"/>
              <w:rPr>
                <w:rFonts w:eastAsia="Times New Roman" w:cs="Calibri"/>
                <w:noProof/>
              </w:rPr>
            </w:pPr>
            <w:r>
              <w:rPr>
                <w:noProof/>
              </w:rPr>
              <w:t>26</w:t>
            </w:r>
          </w:p>
        </w:tc>
        <w:tc>
          <w:tcPr>
            <w:tcW w:w="626" w:type="dxa"/>
            <w:shd w:val="clear" w:color="auto" w:fill="C4EFCE"/>
            <w:vAlign w:val="center"/>
            <w:hideMark/>
          </w:tcPr>
          <w:p w14:paraId="0AF51B93" w14:textId="77777777" w:rsidR="00E040FD" w:rsidRDefault="00740D64">
            <w:pPr>
              <w:pStyle w:val="P68B1DB1-Normal8"/>
              <w:spacing w:after="0" w:line="240" w:lineRule="auto"/>
              <w:jc w:val="center"/>
              <w:rPr>
                <w:rFonts w:eastAsia="Times New Roman" w:cs="Calibri"/>
                <w:noProof/>
              </w:rPr>
            </w:pPr>
            <w:r>
              <w:rPr>
                <w:noProof/>
              </w:rPr>
              <w:t>35</w:t>
            </w:r>
          </w:p>
        </w:tc>
        <w:tc>
          <w:tcPr>
            <w:tcW w:w="514" w:type="dxa"/>
            <w:shd w:val="clear" w:color="auto" w:fill="C4EFCE"/>
            <w:vAlign w:val="center"/>
            <w:hideMark/>
          </w:tcPr>
          <w:p w14:paraId="782F8621" w14:textId="77777777" w:rsidR="00E040FD" w:rsidRDefault="00740D64">
            <w:pPr>
              <w:pStyle w:val="P68B1DB1-Normal8"/>
              <w:spacing w:after="0" w:line="240" w:lineRule="auto"/>
              <w:jc w:val="center"/>
              <w:rPr>
                <w:rFonts w:eastAsia="Times New Roman" w:cs="Calibri"/>
                <w:noProof/>
              </w:rPr>
            </w:pPr>
            <w:r>
              <w:rPr>
                <w:noProof/>
              </w:rPr>
              <w:t>KVARTAL 1</w:t>
            </w:r>
          </w:p>
        </w:tc>
        <w:tc>
          <w:tcPr>
            <w:tcW w:w="747" w:type="dxa"/>
            <w:shd w:val="clear" w:color="auto" w:fill="C4EFCE"/>
            <w:vAlign w:val="center"/>
            <w:hideMark/>
          </w:tcPr>
          <w:p w14:paraId="523994E0" w14:textId="77777777" w:rsidR="00E040FD" w:rsidRDefault="00740D6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06113D01" w14:textId="77777777" w:rsidR="00E040FD" w:rsidRDefault="00740D64">
            <w:pPr>
              <w:pStyle w:val="P68B1DB1-Normal8"/>
              <w:spacing w:after="0" w:line="240" w:lineRule="auto"/>
              <w:jc w:val="both"/>
              <w:rPr>
                <w:rFonts w:eastAsia="Times New Roman" w:cs="Calibri"/>
                <w:noProof/>
              </w:rPr>
            </w:pPr>
            <w:r>
              <w:rPr>
                <w:noProof/>
              </w:rPr>
              <w:t>Erkännande och tilldelning av kvalifikationer för nya samarbetslaboratorier – utvidgning av nätverket av samarbetslaboratorier genom erkännande och tilldelning av titeln till nya enheter, till följd av den ansöknings- och utvärderingsprocess som genomförs av en oberoende utvärderingspanel bestående av experter med erkända internationella meriter som utsetts av styrelsen för FCT, I.P (Foundation for Science and Technology)</w:t>
            </w:r>
          </w:p>
        </w:tc>
      </w:tr>
      <w:tr w:rsidR="00E040FD" w14:paraId="35A3451C" w14:textId="77777777">
        <w:trPr>
          <w:trHeight w:val="832"/>
        </w:trPr>
        <w:tc>
          <w:tcPr>
            <w:tcW w:w="1134" w:type="dxa"/>
            <w:shd w:val="clear" w:color="auto" w:fill="C4EFCE"/>
            <w:vAlign w:val="center"/>
            <w:hideMark/>
          </w:tcPr>
          <w:p w14:paraId="58D355F0" w14:textId="77777777" w:rsidR="00E040FD" w:rsidRDefault="00740D64">
            <w:pPr>
              <w:pStyle w:val="P68B1DB1-Normal7"/>
              <w:spacing w:after="0" w:line="240" w:lineRule="auto"/>
              <w:jc w:val="center"/>
              <w:rPr>
                <w:rFonts w:eastAsia="Times New Roman" w:cs="Calibri"/>
                <w:noProof/>
              </w:rPr>
            </w:pPr>
            <w:r>
              <w:rPr>
                <w:noProof/>
              </w:rPr>
              <w:t>5.3</w:t>
            </w:r>
          </w:p>
        </w:tc>
        <w:tc>
          <w:tcPr>
            <w:tcW w:w="1165" w:type="dxa"/>
            <w:shd w:val="clear" w:color="auto" w:fill="C4EFCE"/>
            <w:vAlign w:val="center"/>
            <w:hideMark/>
          </w:tcPr>
          <w:p w14:paraId="3E94C4FC" w14:textId="77777777" w:rsidR="00E040FD" w:rsidRDefault="00740D64">
            <w:pPr>
              <w:pStyle w:val="P68B1DB1-Normal8"/>
              <w:spacing w:after="0" w:line="240" w:lineRule="auto"/>
              <w:jc w:val="center"/>
              <w:rPr>
                <w:rFonts w:eastAsia="Times New Roman" w:cs="Calibri"/>
                <w:noProof/>
              </w:rPr>
            </w:pPr>
            <w:r>
              <w:rPr>
                <w:noProof/>
              </w:rPr>
              <w:t>RE-C05-r11</w:t>
            </w:r>
          </w:p>
        </w:tc>
        <w:tc>
          <w:tcPr>
            <w:tcW w:w="976" w:type="dxa"/>
            <w:shd w:val="clear" w:color="auto" w:fill="C4EFCE"/>
            <w:vAlign w:val="center"/>
            <w:hideMark/>
          </w:tcPr>
          <w:p w14:paraId="6C55C77E" w14:textId="77777777" w:rsidR="00E040FD" w:rsidRDefault="00740D6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31D325B5" w14:textId="77777777" w:rsidR="00E040FD" w:rsidRDefault="00740D64">
            <w:pPr>
              <w:pStyle w:val="P68B1DB1-Normal8"/>
              <w:spacing w:after="0" w:line="240" w:lineRule="auto"/>
              <w:jc w:val="center"/>
              <w:rPr>
                <w:rFonts w:eastAsia="Times New Roman" w:cs="Calibri"/>
                <w:noProof/>
              </w:rPr>
            </w:pPr>
            <w:r>
              <w:rPr>
                <w:noProof/>
              </w:rPr>
              <w:t>Ikraftträdande av den nya rättsliga ordningen för teknik- och innovationscentrum</w:t>
            </w:r>
          </w:p>
        </w:tc>
        <w:tc>
          <w:tcPr>
            <w:tcW w:w="2029" w:type="dxa"/>
            <w:shd w:val="clear" w:color="auto" w:fill="C4EFCE"/>
            <w:vAlign w:val="center"/>
            <w:hideMark/>
          </w:tcPr>
          <w:p w14:paraId="0C5A7131" w14:textId="77777777" w:rsidR="00E040FD" w:rsidRDefault="00740D64">
            <w:pPr>
              <w:pStyle w:val="P68B1DB1-Normal8"/>
              <w:spacing w:after="0" w:line="240" w:lineRule="auto"/>
              <w:jc w:val="center"/>
              <w:rPr>
                <w:rFonts w:eastAsia="Times New Roman" w:cs="Calibri"/>
                <w:noProof/>
              </w:rPr>
            </w:pPr>
            <w:r>
              <w:rPr>
                <w:noProof/>
              </w:rPr>
              <w:t xml:space="preserve">Ikraftträdande av den nya rättsliga ordningen för teknik- och innovationscentrum </w:t>
            </w:r>
          </w:p>
        </w:tc>
        <w:tc>
          <w:tcPr>
            <w:tcW w:w="982" w:type="dxa"/>
            <w:shd w:val="clear" w:color="auto" w:fill="C4EFCE"/>
            <w:vAlign w:val="center"/>
            <w:hideMark/>
          </w:tcPr>
          <w:p w14:paraId="04B50F84"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3120DC99" w14:textId="77777777" w:rsidR="00E040FD" w:rsidRDefault="00740D6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54BBA269" w14:textId="77777777" w:rsidR="00E040FD" w:rsidRDefault="00740D6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3D528544"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21CF437E" w14:textId="77777777" w:rsidR="00E040FD" w:rsidRDefault="00740D6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275CFEAF" w14:textId="77777777" w:rsidR="00E040FD" w:rsidRDefault="00740D64">
            <w:pPr>
              <w:pStyle w:val="P68B1DB1-Normal8"/>
              <w:spacing w:after="0" w:line="240" w:lineRule="auto"/>
              <w:jc w:val="both"/>
              <w:rPr>
                <w:rFonts w:eastAsia="Times New Roman" w:cs="Calibri"/>
                <w:noProof/>
              </w:rPr>
            </w:pPr>
            <w:r>
              <w:rPr>
                <w:noProof/>
              </w:rPr>
              <w:t>Lagstiftningen ska se över och standardisera den rättsliga ramen för de enheter som ingår i det vetenskapliga och tekniska systemet och fastställa dess finansierings- och utvärderingsmodell.</w:t>
            </w:r>
          </w:p>
        </w:tc>
      </w:tr>
      <w:tr w:rsidR="00E040FD" w14:paraId="0A1CA6E0" w14:textId="77777777">
        <w:trPr>
          <w:trHeight w:val="882"/>
        </w:trPr>
        <w:tc>
          <w:tcPr>
            <w:tcW w:w="1134" w:type="dxa"/>
            <w:shd w:val="clear" w:color="auto" w:fill="C4EFCE"/>
            <w:vAlign w:val="center"/>
            <w:hideMark/>
          </w:tcPr>
          <w:p w14:paraId="539F0C3A" w14:textId="77777777" w:rsidR="00E040FD" w:rsidRDefault="00740D64">
            <w:pPr>
              <w:pStyle w:val="P68B1DB1-Normal7"/>
              <w:spacing w:after="0" w:line="240" w:lineRule="auto"/>
              <w:jc w:val="center"/>
              <w:rPr>
                <w:rFonts w:eastAsia="Times New Roman" w:cs="Calibri"/>
                <w:noProof/>
              </w:rPr>
            </w:pPr>
            <w:r>
              <w:rPr>
                <w:noProof/>
              </w:rPr>
              <w:t>5.4</w:t>
            </w:r>
          </w:p>
        </w:tc>
        <w:tc>
          <w:tcPr>
            <w:tcW w:w="1165" w:type="dxa"/>
            <w:shd w:val="clear" w:color="auto" w:fill="C4EFCE"/>
            <w:vAlign w:val="center"/>
            <w:hideMark/>
          </w:tcPr>
          <w:p w14:paraId="17A4EABC" w14:textId="77777777" w:rsidR="00E040FD" w:rsidRDefault="00740D64">
            <w:pPr>
              <w:pStyle w:val="P68B1DB1-Normal8"/>
              <w:spacing w:after="0" w:line="240" w:lineRule="auto"/>
              <w:jc w:val="center"/>
              <w:rPr>
                <w:rFonts w:eastAsia="Times New Roman" w:cs="Calibri"/>
                <w:noProof/>
              </w:rPr>
            </w:pPr>
            <w:r>
              <w:rPr>
                <w:noProof/>
              </w:rPr>
              <w:t>RE-C05-r12</w:t>
            </w:r>
          </w:p>
        </w:tc>
        <w:tc>
          <w:tcPr>
            <w:tcW w:w="976" w:type="dxa"/>
            <w:shd w:val="clear" w:color="auto" w:fill="C4EFCE"/>
            <w:vAlign w:val="center"/>
            <w:hideMark/>
          </w:tcPr>
          <w:p w14:paraId="2CCDE3B9" w14:textId="77777777" w:rsidR="00E040FD" w:rsidRDefault="00740D6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71A5F73D" w14:textId="77777777" w:rsidR="00E040FD" w:rsidRDefault="00740D64">
            <w:pPr>
              <w:pStyle w:val="P68B1DB1-Normal8"/>
              <w:spacing w:after="0" w:line="240" w:lineRule="auto"/>
              <w:jc w:val="center"/>
              <w:rPr>
                <w:rFonts w:eastAsia="Times New Roman" w:cs="Calibri"/>
                <w:noProof/>
              </w:rPr>
            </w:pPr>
            <w:r>
              <w:rPr>
                <w:noProof/>
              </w:rPr>
              <w:t>Godkännande av innovationsagendan för jordbruket</w:t>
            </w:r>
          </w:p>
        </w:tc>
        <w:tc>
          <w:tcPr>
            <w:tcW w:w="2029" w:type="dxa"/>
            <w:shd w:val="clear" w:color="auto" w:fill="C4EFCE"/>
            <w:vAlign w:val="center"/>
            <w:hideMark/>
          </w:tcPr>
          <w:p w14:paraId="070AC07F" w14:textId="77777777" w:rsidR="00E040FD" w:rsidRDefault="00740D64">
            <w:pPr>
              <w:pStyle w:val="P68B1DB1-Normal8"/>
              <w:spacing w:after="0" w:line="240" w:lineRule="auto"/>
              <w:jc w:val="center"/>
              <w:rPr>
                <w:rFonts w:eastAsia="Times New Roman" w:cs="Calibri"/>
                <w:noProof/>
              </w:rPr>
            </w:pPr>
            <w:r>
              <w:rPr>
                <w:noProof/>
              </w:rPr>
              <w:t>Godkännande av innovationsagendan för jordbruket</w:t>
            </w:r>
          </w:p>
        </w:tc>
        <w:tc>
          <w:tcPr>
            <w:tcW w:w="982" w:type="dxa"/>
            <w:shd w:val="clear" w:color="auto" w:fill="C4EFCE"/>
            <w:vAlign w:val="center"/>
            <w:hideMark/>
          </w:tcPr>
          <w:p w14:paraId="428779D0"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2590ACF" w14:textId="77777777" w:rsidR="00E040FD" w:rsidRDefault="00740D6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0D0096C5" w14:textId="77777777" w:rsidR="00E040FD" w:rsidRDefault="00740D6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6AA4C8CC"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4EB83404" w14:textId="77777777" w:rsidR="00E040FD" w:rsidRDefault="00740D64">
            <w:pPr>
              <w:pStyle w:val="P68B1DB1-Normal8"/>
              <w:spacing w:after="0" w:line="240" w:lineRule="auto"/>
              <w:jc w:val="center"/>
              <w:rPr>
                <w:rFonts w:eastAsia="Times New Roman" w:cs="Calibri"/>
                <w:noProof/>
              </w:rPr>
            </w:pPr>
            <w:r>
              <w:rPr>
                <w:noProof/>
              </w:rPr>
              <w:t>2020</w:t>
            </w:r>
          </w:p>
        </w:tc>
        <w:tc>
          <w:tcPr>
            <w:tcW w:w="3919" w:type="dxa"/>
            <w:shd w:val="clear" w:color="auto" w:fill="C4EFCE"/>
            <w:vAlign w:val="center"/>
            <w:hideMark/>
          </w:tcPr>
          <w:p w14:paraId="0BB06B9A" w14:textId="77777777" w:rsidR="00E040FD" w:rsidRDefault="00740D64">
            <w:pPr>
              <w:pStyle w:val="P68B1DB1-Normal8"/>
              <w:spacing w:after="0" w:line="240" w:lineRule="auto"/>
              <w:jc w:val="both"/>
              <w:rPr>
                <w:rFonts w:eastAsia="Times New Roman" w:cs="Calibri"/>
                <w:noProof/>
              </w:rPr>
            </w:pPr>
            <w:r>
              <w:rPr>
                <w:noProof/>
              </w:rPr>
              <w:t>Offentliggörande av ministerrådets beslut om godkännande av innovationsagendan för jordbruket. Ministerrådets beslut offentliggjort den 15/10/2020</w:t>
            </w:r>
          </w:p>
        </w:tc>
      </w:tr>
      <w:tr w:rsidR="00E040FD" w14:paraId="32426B30" w14:textId="77777777">
        <w:trPr>
          <w:trHeight w:val="290"/>
        </w:trPr>
        <w:tc>
          <w:tcPr>
            <w:tcW w:w="1134" w:type="dxa"/>
            <w:shd w:val="clear" w:color="auto" w:fill="C4EFCE"/>
            <w:vAlign w:val="center"/>
            <w:hideMark/>
          </w:tcPr>
          <w:p w14:paraId="496B6F04" w14:textId="11995258" w:rsidR="00E040FD" w:rsidRDefault="00740D64">
            <w:pPr>
              <w:pStyle w:val="P68B1DB1-Normal7"/>
              <w:spacing w:after="0" w:line="240" w:lineRule="auto"/>
              <w:jc w:val="center"/>
              <w:rPr>
                <w:rFonts w:eastAsia="Times New Roman" w:cs="Calibri"/>
                <w:noProof/>
              </w:rPr>
            </w:pPr>
            <w:r>
              <w:rPr>
                <w:noProof/>
              </w:rPr>
              <w:t>5.5</w:t>
            </w:r>
          </w:p>
        </w:tc>
        <w:tc>
          <w:tcPr>
            <w:tcW w:w="1165" w:type="dxa"/>
            <w:shd w:val="clear" w:color="auto" w:fill="C4EFCE"/>
            <w:vAlign w:val="center"/>
            <w:hideMark/>
          </w:tcPr>
          <w:p w14:paraId="398EBCED" w14:textId="77777777" w:rsidR="00E040FD" w:rsidRDefault="00740D64">
            <w:pPr>
              <w:pStyle w:val="P68B1DB1-Normal8"/>
              <w:spacing w:after="0" w:line="240" w:lineRule="auto"/>
              <w:jc w:val="center"/>
              <w:rPr>
                <w:rFonts w:eastAsia="Times New Roman" w:cs="Calibri"/>
                <w:noProof/>
              </w:rPr>
            </w:pPr>
            <w:r>
              <w:rPr>
                <w:noProof/>
              </w:rPr>
              <w:t>RE-C05-i01.01</w:t>
            </w:r>
          </w:p>
        </w:tc>
        <w:tc>
          <w:tcPr>
            <w:tcW w:w="976" w:type="dxa"/>
            <w:shd w:val="clear" w:color="auto" w:fill="C4EFCE"/>
            <w:vAlign w:val="center"/>
            <w:hideMark/>
          </w:tcPr>
          <w:p w14:paraId="33F2AD16"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7FE6E86D" w14:textId="1BD699C7" w:rsidR="00E040FD" w:rsidRDefault="00740D64">
            <w:pPr>
              <w:pStyle w:val="P68B1DB1-Normal8"/>
              <w:spacing w:after="0" w:line="240" w:lineRule="auto"/>
              <w:jc w:val="center"/>
              <w:rPr>
                <w:rFonts w:eastAsia="Times New Roman" w:cs="Calibri"/>
                <w:noProof/>
              </w:rPr>
            </w:pPr>
            <w:r>
              <w:rPr>
                <w:noProof/>
              </w:rPr>
              <w:t>Ingående av kontrakt för att utveckla nya produkter, processer eller tjänster inom relevanta strategiska områden (innovationsagendor).</w:t>
            </w:r>
          </w:p>
        </w:tc>
        <w:tc>
          <w:tcPr>
            <w:tcW w:w="2029" w:type="dxa"/>
            <w:shd w:val="clear" w:color="auto" w:fill="C4EFCE"/>
            <w:vAlign w:val="center"/>
            <w:hideMark/>
          </w:tcPr>
          <w:p w14:paraId="586F89B8"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A0335E1"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7836D100"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9FCEC27" w14:textId="77777777" w:rsidR="00E040FD" w:rsidRDefault="00740D64">
            <w:pPr>
              <w:pStyle w:val="P68B1DB1-Normal8"/>
              <w:spacing w:after="0" w:line="240" w:lineRule="auto"/>
              <w:jc w:val="center"/>
              <w:rPr>
                <w:rFonts w:eastAsia="Times New Roman" w:cs="Calibri"/>
                <w:noProof/>
              </w:rPr>
            </w:pPr>
            <w:r>
              <w:rPr>
                <w:noProof/>
              </w:rPr>
              <w:t>6</w:t>
            </w:r>
          </w:p>
        </w:tc>
        <w:tc>
          <w:tcPr>
            <w:tcW w:w="514" w:type="dxa"/>
            <w:shd w:val="clear" w:color="auto" w:fill="C4EFCE"/>
            <w:vAlign w:val="center"/>
            <w:hideMark/>
          </w:tcPr>
          <w:p w14:paraId="26FC7773"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3E7F441B" w14:textId="77777777" w:rsidR="00E040FD" w:rsidRDefault="00740D64">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60B6D042" w14:textId="77777777" w:rsidR="00E040FD" w:rsidRDefault="00740D64">
            <w:pPr>
              <w:pStyle w:val="P68B1DB1-Normal8"/>
              <w:spacing w:after="0" w:line="240" w:lineRule="auto"/>
              <w:jc w:val="both"/>
              <w:rPr>
                <w:rFonts w:eastAsia="Times New Roman" w:cs="Calibri"/>
                <w:noProof/>
              </w:rPr>
            </w:pPr>
            <w:r>
              <w:rPr>
                <w:noProof/>
              </w:rPr>
              <w:t xml:space="preserve">Ingående av sex avtal (innovationspakter eller mobilisering av projekt) med konsortier, som ska omfatta följande: Identifiering av de enheter som ingår i konsortiet. </w:t>
            </w:r>
          </w:p>
          <w:p w14:paraId="4551FC29" w14:textId="213B120F" w:rsidR="00E040FD" w:rsidRDefault="00740D64">
            <w:pPr>
              <w:pStyle w:val="P68B1DB1-Normal8"/>
              <w:spacing w:after="0" w:line="240" w:lineRule="auto"/>
              <w:jc w:val="both"/>
              <w:rPr>
                <w:rFonts w:eastAsia="Times New Roman" w:cs="Calibri"/>
                <w:noProof/>
              </w:rPr>
            </w:pPr>
            <w:r>
              <w:rPr>
                <w:noProof/>
              </w:rPr>
              <w:t>Affärsplan/investering.</w:t>
            </w:r>
          </w:p>
          <w:p w14:paraId="74966FD9" w14:textId="77777777" w:rsidR="00E040FD" w:rsidRDefault="00740D64">
            <w:pPr>
              <w:pStyle w:val="P68B1DB1-Normal8"/>
              <w:spacing w:after="0" w:line="240" w:lineRule="auto"/>
              <w:jc w:val="both"/>
              <w:rPr>
                <w:rFonts w:eastAsia="Times New Roman" w:cs="Calibri"/>
                <w:noProof/>
              </w:rPr>
            </w:pPr>
            <w:r>
              <w:rPr>
                <w:noProof/>
              </w:rPr>
              <w:t xml:space="preserve">storleken på finansieringen. </w:t>
            </w:r>
          </w:p>
          <w:p w14:paraId="3EC5A194" w14:textId="77777777" w:rsidR="00E040FD" w:rsidRDefault="00740D64">
            <w:pPr>
              <w:pStyle w:val="P68B1DB1-Normal8"/>
              <w:spacing w:after="0" w:line="240" w:lineRule="auto"/>
              <w:jc w:val="both"/>
              <w:rPr>
                <w:rFonts w:eastAsia="Times New Roman" w:cs="Calibri"/>
                <w:noProof/>
              </w:rPr>
            </w:pPr>
            <w:r>
              <w:rPr>
                <w:noProof/>
              </w:rPr>
              <w:t xml:space="preserve">De mål som stödmottagaren är bunden av. </w:t>
            </w:r>
          </w:p>
          <w:p w14:paraId="6A5827B9" w14:textId="77777777" w:rsidR="00E040FD" w:rsidRDefault="00740D64">
            <w:pPr>
              <w:pStyle w:val="P68B1DB1-Normal8"/>
              <w:spacing w:after="0" w:line="240" w:lineRule="auto"/>
              <w:jc w:val="both"/>
              <w:rPr>
                <w:rFonts w:eastAsia="Times New Roman" w:cs="Calibri"/>
                <w:noProof/>
              </w:rPr>
            </w:pPr>
            <w:r>
              <w:rPr>
                <w:noProof/>
              </w:rPr>
              <w:t xml:space="preserve">Övervakningens form. </w:t>
            </w:r>
          </w:p>
          <w:p w14:paraId="336484AB" w14:textId="12D62436" w:rsidR="00E040FD" w:rsidRDefault="00740D64">
            <w:pPr>
              <w:pStyle w:val="P68B1DB1-Normal8"/>
              <w:spacing w:after="0" w:line="240" w:lineRule="auto"/>
              <w:jc w:val="both"/>
              <w:rPr>
                <w:rFonts w:eastAsia="Times New Roman" w:cs="Calibri"/>
                <w:noProof/>
              </w:rPr>
            </w:pPr>
            <w:r>
              <w:rPr>
                <w:noProof/>
              </w:rPr>
              <w:t>Avtalen ska omfatta sammanlagt minst 60 produkter, processer eller tjänster. Kravspecifikationerna ska innehålla kriterier för stödberättigande som säkerställer att de utvalda projekten uppfyller den tekniska vägledningen om att inte orsaka betydande skada (2021/C58/01) genom användning av en uteslutningslista och kravet på efterlevnad av relevant EU-lagstiftning och nationell miljölagstiftning.</w:t>
            </w:r>
          </w:p>
        </w:tc>
      </w:tr>
      <w:tr w:rsidR="00E040FD" w14:paraId="2A70DAF8" w14:textId="77777777">
        <w:trPr>
          <w:trHeight w:val="1177"/>
        </w:trPr>
        <w:tc>
          <w:tcPr>
            <w:tcW w:w="1134" w:type="dxa"/>
            <w:shd w:val="clear" w:color="auto" w:fill="C4EFCE"/>
            <w:vAlign w:val="center"/>
            <w:hideMark/>
          </w:tcPr>
          <w:p w14:paraId="509D06FA" w14:textId="77777777" w:rsidR="00E040FD" w:rsidRDefault="00740D64">
            <w:pPr>
              <w:pStyle w:val="P68B1DB1-Normal7"/>
              <w:spacing w:after="0" w:line="240" w:lineRule="auto"/>
              <w:jc w:val="center"/>
              <w:rPr>
                <w:rFonts w:eastAsia="Times New Roman" w:cs="Calibri"/>
                <w:noProof/>
              </w:rPr>
            </w:pPr>
            <w:r>
              <w:rPr>
                <w:noProof/>
              </w:rPr>
              <w:t>5.6</w:t>
            </w:r>
          </w:p>
        </w:tc>
        <w:tc>
          <w:tcPr>
            <w:tcW w:w="1165" w:type="dxa"/>
            <w:shd w:val="clear" w:color="auto" w:fill="C4EFCE"/>
            <w:vAlign w:val="center"/>
            <w:hideMark/>
          </w:tcPr>
          <w:p w14:paraId="33218AE0" w14:textId="77777777" w:rsidR="00E040FD" w:rsidRDefault="00740D64">
            <w:pPr>
              <w:pStyle w:val="P68B1DB1-Normal8"/>
              <w:spacing w:after="0" w:line="240" w:lineRule="auto"/>
              <w:jc w:val="center"/>
              <w:rPr>
                <w:rFonts w:eastAsia="Times New Roman" w:cs="Calibri"/>
                <w:noProof/>
              </w:rPr>
            </w:pPr>
            <w:r>
              <w:rPr>
                <w:noProof/>
              </w:rPr>
              <w:t>RE-C05-i01.01</w:t>
            </w:r>
          </w:p>
        </w:tc>
        <w:tc>
          <w:tcPr>
            <w:tcW w:w="976" w:type="dxa"/>
            <w:shd w:val="clear" w:color="auto" w:fill="C4EFCE"/>
            <w:vAlign w:val="center"/>
            <w:hideMark/>
          </w:tcPr>
          <w:p w14:paraId="28D975FD"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99030BE" w14:textId="77777777" w:rsidR="00E040FD" w:rsidRDefault="00740D64">
            <w:pPr>
              <w:pStyle w:val="P68B1DB1-Normal8"/>
              <w:spacing w:after="0" w:line="240" w:lineRule="auto"/>
              <w:jc w:val="center"/>
              <w:rPr>
                <w:rFonts w:eastAsia="Times New Roman" w:cs="Calibri"/>
                <w:noProof/>
              </w:rPr>
            </w:pPr>
            <w:r>
              <w:rPr>
                <w:noProof/>
              </w:rPr>
              <w:t xml:space="preserve">Slutförande av genomförandet av 6 års kontrakt (innovationspakter eller mobilisering av projekt)  </w:t>
            </w:r>
          </w:p>
        </w:tc>
        <w:tc>
          <w:tcPr>
            <w:tcW w:w="2029" w:type="dxa"/>
            <w:shd w:val="clear" w:color="auto" w:fill="C4EFCE"/>
            <w:vAlign w:val="center"/>
            <w:hideMark/>
          </w:tcPr>
          <w:p w14:paraId="6BAACDF3"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12ABD6D2"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655CED5C"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390ACFAB" w14:textId="77777777" w:rsidR="00E040FD" w:rsidRDefault="00740D64">
            <w:pPr>
              <w:pStyle w:val="P68B1DB1-Normal8"/>
              <w:spacing w:after="0" w:line="240" w:lineRule="auto"/>
              <w:jc w:val="center"/>
              <w:rPr>
                <w:rFonts w:eastAsia="Times New Roman" w:cs="Calibri"/>
                <w:noProof/>
              </w:rPr>
            </w:pPr>
            <w:r>
              <w:rPr>
                <w:noProof/>
              </w:rPr>
              <w:t>6</w:t>
            </w:r>
          </w:p>
        </w:tc>
        <w:tc>
          <w:tcPr>
            <w:tcW w:w="514" w:type="dxa"/>
            <w:shd w:val="clear" w:color="auto" w:fill="C4EFCE"/>
            <w:vAlign w:val="center"/>
            <w:hideMark/>
          </w:tcPr>
          <w:p w14:paraId="6ECDA684"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6279F629" w14:textId="77777777" w:rsidR="00E040FD" w:rsidRDefault="00740D6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BE5656C" w14:textId="77777777" w:rsidR="00E040FD" w:rsidRDefault="00740D64">
            <w:pPr>
              <w:pStyle w:val="P68B1DB1-Normal8"/>
              <w:spacing w:after="0" w:line="240" w:lineRule="auto"/>
              <w:jc w:val="both"/>
              <w:rPr>
                <w:rFonts w:eastAsia="Times New Roman" w:cs="Calibri"/>
                <w:noProof/>
              </w:rPr>
            </w:pPr>
            <w:r>
              <w:rPr>
                <w:noProof/>
              </w:rPr>
              <w:t xml:space="preserve">Slutförande av de produkter, processer eller tjänster inom relevanta strategiska områden som följer av genomförandet av de sex kontrakt (innovationspakter eller mobilisering av projekt) som ingåtts med konsortier. </w:t>
            </w:r>
          </w:p>
        </w:tc>
      </w:tr>
      <w:tr w:rsidR="00E040FD" w14:paraId="6643E212" w14:textId="77777777">
        <w:trPr>
          <w:trHeight w:val="3677"/>
        </w:trPr>
        <w:tc>
          <w:tcPr>
            <w:tcW w:w="1134" w:type="dxa"/>
            <w:shd w:val="clear" w:color="auto" w:fill="C4EFCE"/>
            <w:vAlign w:val="center"/>
            <w:hideMark/>
          </w:tcPr>
          <w:p w14:paraId="468D23F3" w14:textId="77777777" w:rsidR="00E040FD" w:rsidRDefault="00740D64">
            <w:pPr>
              <w:pStyle w:val="P68B1DB1-Normal7"/>
              <w:spacing w:after="0" w:line="240" w:lineRule="auto"/>
              <w:jc w:val="center"/>
              <w:rPr>
                <w:rFonts w:eastAsia="Times New Roman" w:cs="Calibri"/>
                <w:noProof/>
              </w:rPr>
            </w:pPr>
            <w:r>
              <w:rPr>
                <w:noProof/>
              </w:rPr>
              <w:t>5.7 </w:t>
            </w:r>
          </w:p>
        </w:tc>
        <w:tc>
          <w:tcPr>
            <w:tcW w:w="1165" w:type="dxa"/>
            <w:shd w:val="clear" w:color="auto" w:fill="C4EFCE"/>
            <w:vAlign w:val="center"/>
            <w:hideMark/>
          </w:tcPr>
          <w:p w14:paraId="2FA90289" w14:textId="77777777" w:rsidR="00E040FD" w:rsidRDefault="00740D64">
            <w:pPr>
              <w:pStyle w:val="P68B1DB1-Normal8"/>
              <w:spacing w:after="0" w:line="240" w:lineRule="auto"/>
              <w:jc w:val="center"/>
              <w:rPr>
                <w:rFonts w:eastAsia="Times New Roman" w:cs="Calibri"/>
                <w:noProof/>
              </w:rPr>
            </w:pPr>
            <w:r>
              <w:rPr>
                <w:noProof/>
              </w:rPr>
              <w:t>RE-C05-i01.02</w:t>
            </w:r>
          </w:p>
        </w:tc>
        <w:tc>
          <w:tcPr>
            <w:tcW w:w="976" w:type="dxa"/>
            <w:shd w:val="clear" w:color="auto" w:fill="C4EFCE"/>
            <w:vAlign w:val="center"/>
            <w:hideMark/>
          </w:tcPr>
          <w:p w14:paraId="01D312C5"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983D09B" w14:textId="4A5620C6" w:rsidR="00E040FD" w:rsidRDefault="00740D64">
            <w:pPr>
              <w:pStyle w:val="P68B1DB1-Normal8"/>
              <w:spacing w:after="0" w:line="240" w:lineRule="auto"/>
              <w:jc w:val="center"/>
              <w:rPr>
                <w:rFonts w:eastAsia="Times New Roman" w:cs="Calibri"/>
                <w:noProof/>
              </w:rPr>
            </w:pPr>
            <w:r>
              <w:rPr>
                <w:noProof/>
              </w:rPr>
              <w:t xml:space="preserve">Ingående av avtal för att utveckla nya produkter, processer eller tjänster inom strategiska områden som är relevanta för en koldioxidsnål ekonomi, resiliens och anpassning till klimatförändringar. </w:t>
            </w:r>
          </w:p>
        </w:tc>
        <w:tc>
          <w:tcPr>
            <w:tcW w:w="2029" w:type="dxa"/>
            <w:shd w:val="clear" w:color="auto" w:fill="C4EFCE"/>
            <w:vAlign w:val="center"/>
            <w:hideMark/>
          </w:tcPr>
          <w:p w14:paraId="70E69742"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945C4B9"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6498CFE3"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556C19C5" w14:textId="77777777" w:rsidR="00E040FD" w:rsidRDefault="00740D64">
            <w:pPr>
              <w:pStyle w:val="P68B1DB1-Normal8"/>
              <w:spacing w:after="0" w:line="240" w:lineRule="auto"/>
              <w:jc w:val="center"/>
              <w:rPr>
                <w:rFonts w:eastAsia="Times New Roman" w:cs="Calibri"/>
                <w:noProof/>
              </w:rPr>
            </w:pPr>
            <w:r>
              <w:rPr>
                <w:noProof/>
              </w:rPr>
              <w:t>4</w:t>
            </w:r>
          </w:p>
        </w:tc>
        <w:tc>
          <w:tcPr>
            <w:tcW w:w="514" w:type="dxa"/>
            <w:shd w:val="clear" w:color="auto" w:fill="C4EFCE"/>
            <w:vAlign w:val="center"/>
            <w:hideMark/>
          </w:tcPr>
          <w:p w14:paraId="2F258065"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4CBB76C3" w14:textId="77777777" w:rsidR="00E040FD" w:rsidRDefault="00740D64">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60F200E4" w14:textId="77777777" w:rsidR="00E040FD" w:rsidRDefault="00740D64">
            <w:pPr>
              <w:pStyle w:val="P68B1DB1-Normal8"/>
              <w:spacing w:after="0" w:line="240" w:lineRule="auto"/>
              <w:jc w:val="both"/>
              <w:rPr>
                <w:rFonts w:eastAsia="Times New Roman" w:cs="Calibri"/>
                <w:noProof/>
              </w:rPr>
            </w:pPr>
            <w:r>
              <w:rPr>
                <w:noProof/>
              </w:rPr>
              <w:t>Ingående av fyra kontrakt (innovationspakter eller mobilisering av projekt) med konsortier, som ska omfatta följande: Identifiering av de enheter som ingår i konsortiet.</w:t>
            </w:r>
          </w:p>
          <w:p w14:paraId="270B450D" w14:textId="4F7D3223" w:rsidR="00E040FD" w:rsidRDefault="00740D64">
            <w:pPr>
              <w:pStyle w:val="P68B1DB1-Normal8"/>
              <w:spacing w:after="0" w:line="240" w:lineRule="auto"/>
              <w:jc w:val="both"/>
              <w:rPr>
                <w:rFonts w:eastAsia="Times New Roman" w:cs="Calibri"/>
                <w:noProof/>
              </w:rPr>
            </w:pPr>
            <w:r>
              <w:rPr>
                <w:noProof/>
              </w:rPr>
              <w:t xml:space="preserve">Affärsplan/investering. </w:t>
            </w:r>
          </w:p>
          <w:p w14:paraId="026E6977" w14:textId="77777777" w:rsidR="00E040FD" w:rsidRDefault="00740D64">
            <w:pPr>
              <w:pStyle w:val="P68B1DB1-Normal8"/>
              <w:spacing w:after="0" w:line="240" w:lineRule="auto"/>
              <w:jc w:val="both"/>
              <w:rPr>
                <w:rFonts w:eastAsia="Times New Roman" w:cs="Calibri"/>
                <w:noProof/>
              </w:rPr>
            </w:pPr>
            <w:r>
              <w:rPr>
                <w:noProof/>
              </w:rPr>
              <w:t xml:space="preserve">storleken på finansieringen. </w:t>
            </w:r>
          </w:p>
          <w:p w14:paraId="3DAD31FF" w14:textId="77777777" w:rsidR="00E040FD" w:rsidRDefault="00740D64">
            <w:pPr>
              <w:pStyle w:val="P68B1DB1-Normal8"/>
              <w:spacing w:after="0" w:line="240" w:lineRule="auto"/>
              <w:jc w:val="both"/>
              <w:rPr>
                <w:rFonts w:eastAsia="Times New Roman" w:cs="Calibri"/>
                <w:noProof/>
              </w:rPr>
            </w:pPr>
            <w:r>
              <w:rPr>
                <w:noProof/>
              </w:rPr>
              <w:t xml:space="preserve">De mål som stödmottagaren är bunden av. </w:t>
            </w:r>
          </w:p>
          <w:p w14:paraId="7918E159" w14:textId="77777777" w:rsidR="00E040FD" w:rsidRDefault="00740D64">
            <w:pPr>
              <w:pStyle w:val="P68B1DB1-Normal8"/>
              <w:spacing w:after="0" w:line="240" w:lineRule="auto"/>
              <w:jc w:val="both"/>
              <w:rPr>
                <w:rFonts w:eastAsia="Times New Roman" w:cs="Calibri"/>
                <w:noProof/>
              </w:rPr>
            </w:pPr>
            <w:r>
              <w:rPr>
                <w:noProof/>
              </w:rPr>
              <w:t>Övervakningens form.</w:t>
            </w:r>
          </w:p>
          <w:p w14:paraId="663B5E0B" w14:textId="77777777" w:rsidR="00E040FD" w:rsidRDefault="00E040FD">
            <w:pPr>
              <w:spacing w:after="0" w:line="240" w:lineRule="auto"/>
              <w:jc w:val="both"/>
              <w:rPr>
                <w:rFonts w:ascii="Calibri" w:eastAsia="Times New Roman" w:hAnsi="Calibri" w:cs="Calibri"/>
                <w:noProof/>
                <w:sz w:val="16"/>
              </w:rPr>
            </w:pPr>
          </w:p>
          <w:p w14:paraId="4EC7E909" w14:textId="1C2F6D07" w:rsidR="00E040FD" w:rsidRDefault="00740D64">
            <w:pPr>
              <w:pStyle w:val="P68B1DB1-Normal9"/>
              <w:spacing w:after="0" w:line="240" w:lineRule="auto"/>
              <w:jc w:val="both"/>
              <w:rPr>
                <w:rFonts w:eastAsia="Times New Roman" w:cs="Calibri"/>
                <w:noProof/>
                <w:sz w:val="16"/>
              </w:rPr>
            </w:pPr>
            <w:r>
              <w:rPr>
                <w:noProof/>
                <w:sz w:val="16"/>
              </w:rPr>
              <w:t>Kontrakten ska stödja totalt minst 40 produkter, processer eller tjänster och ska återspegla anpassning till insatsområde 022 (Forsknings- och innovationsprocesser, tekniköverföring och samarbete mellan företag med fokus på en koldioxidsnål ekonomi och motståndskraft mot och anpassning till klimatförändringar).</w:t>
            </w:r>
            <w:r>
              <w:rPr>
                <w:noProof/>
              </w:rPr>
              <w:t xml:space="preserve"> </w:t>
            </w:r>
            <w:r>
              <w:rPr>
                <w:noProof/>
                <w:sz w:val="16"/>
              </w:rPr>
              <w:t>Kravspecifikationerna ska innehålla kriterier för stödberättigande som säkerställer att de utvalda projekten uppfyller den tekniska vägledningen om att inte orsaka betydande skada (2021/C58/01) genom användning av en uteslutningslista och kravet på efterlevnad av relevant EU-lagstiftning och nationell miljölagstiftning.</w:t>
            </w:r>
          </w:p>
        </w:tc>
      </w:tr>
      <w:tr w:rsidR="00E040FD" w14:paraId="7CCE9FC2" w14:textId="77777777">
        <w:trPr>
          <w:trHeight w:val="1405"/>
        </w:trPr>
        <w:tc>
          <w:tcPr>
            <w:tcW w:w="1134" w:type="dxa"/>
            <w:shd w:val="clear" w:color="auto" w:fill="C4EFCE"/>
            <w:vAlign w:val="center"/>
            <w:hideMark/>
          </w:tcPr>
          <w:p w14:paraId="42B4F12E" w14:textId="77777777" w:rsidR="00E040FD" w:rsidRDefault="00740D64">
            <w:pPr>
              <w:pStyle w:val="P68B1DB1-Normal7"/>
              <w:spacing w:after="0" w:line="240" w:lineRule="auto"/>
              <w:jc w:val="center"/>
              <w:rPr>
                <w:rFonts w:eastAsia="Times New Roman" w:cs="Calibri"/>
                <w:noProof/>
              </w:rPr>
            </w:pPr>
            <w:r>
              <w:rPr>
                <w:noProof/>
              </w:rPr>
              <w:t>5.8</w:t>
            </w:r>
          </w:p>
        </w:tc>
        <w:tc>
          <w:tcPr>
            <w:tcW w:w="1165" w:type="dxa"/>
            <w:shd w:val="clear" w:color="auto" w:fill="C4EFCE"/>
            <w:vAlign w:val="center"/>
            <w:hideMark/>
          </w:tcPr>
          <w:p w14:paraId="32953778" w14:textId="77777777" w:rsidR="00E040FD" w:rsidRDefault="00740D64">
            <w:pPr>
              <w:pStyle w:val="P68B1DB1-Normal8"/>
              <w:spacing w:after="0" w:line="240" w:lineRule="auto"/>
              <w:jc w:val="center"/>
              <w:rPr>
                <w:rFonts w:eastAsia="Times New Roman" w:cs="Calibri"/>
                <w:noProof/>
              </w:rPr>
            </w:pPr>
            <w:r>
              <w:rPr>
                <w:noProof/>
              </w:rPr>
              <w:t>RE-C05-i01.02</w:t>
            </w:r>
          </w:p>
        </w:tc>
        <w:tc>
          <w:tcPr>
            <w:tcW w:w="976" w:type="dxa"/>
            <w:shd w:val="clear" w:color="auto" w:fill="C4EFCE"/>
            <w:vAlign w:val="center"/>
            <w:hideMark/>
          </w:tcPr>
          <w:p w14:paraId="217DD48E"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73501CE1" w14:textId="77777777" w:rsidR="00E040FD" w:rsidRDefault="00740D64">
            <w:pPr>
              <w:pStyle w:val="P68B1DB1-Normal8"/>
              <w:spacing w:after="0" w:line="240" w:lineRule="auto"/>
              <w:jc w:val="center"/>
              <w:rPr>
                <w:rFonts w:eastAsia="Times New Roman" w:cs="Calibri"/>
                <w:noProof/>
              </w:rPr>
            </w:pPr>
            <w:r>
              <w:rPr>
                <w:noProof/>
              </w:rPr>
              <w:t xml:space="preserve">Produkter, processer eller tjänster som är relevanta för en koldioxidsnål ekonomi, resiliens och anpassning till klimatförändringar </w:t>
            </w:r>
          </w:p>
        </w:tc>
        <w:tc>
          <w:tcPr>
            <w:tcW w:w="2029" w:type="dxa"/>
            <w:shd w:val="clear" w:color="auto" w:fill="C4EFCE"/>
            <w:vAlign w:val="center"/>
            <w:hideMark/>
          </w:tcPr>
          <w:p w14:paraId="6370E703"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D5B40EB"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30D6679D"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C51CFC6" w14:textId="77777777" w:rsidR="00E040FD" w:rsidRDefault="00740D64">
            <w:pPr>
              <w:pStyle w:val="P68B1DB1-Normal8"/>
              <w:spacing w:after="0" w:line="240" w:lineRule="auto"/>
              <w:jc w:val="center"/>
              <w:rPr>
                <w:rFonts w:eastAsia="Times New Roman" w:cs="Calibri"/>
                <w:noProof/>
              </w:rPr>
            </w:pPr>
            <w:r>
              <w:rPr>
                <w:noProof/>
              </w:rPr>
              <w:t>4</w:t>
            </w:r>
          </w:p>
        </w:tc>
        <w:tc>
          <w:tcPr>
            <w:tcW w:w="514" w:type="dxa"/>
            <w:shd w:val="clear" w:color="auto" w:fill="C4EFCE"/>
            <w:vAlign w:val="center"/>
            <w:hideMark/>
          </w:tcPr>
          <w:p w14:paraId="599C9B52"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67FF8210" w14:textId="77777777" w:rsidR="00E040FD" w:rsidRDefault="00740D6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502D8185" w14:textId="77777777" w:rsidR="00E040FD" w:rsidRDefault="00740D64">
            <w:pPr>
              <w:pStyle w:val="P68B1DB1-Normal8"/>
              <w:spacing w:after="0" w:line="240" w:lineRule="auto"/>
              <w:jc w:val="both"/>
              <w:rPr>
                <w:rFonts w:eastAsia="Times New Roman" w:cs="Calibri"/>
                <w:noProof/>
              </w:rPr>
            </w:pPr>
            <w:r>
              <w:rPr>
                <w:noProof/>
              </w:rPr>
              <w:t>Slutförande av de produkter, processer eller tjänster som följer av genomförandet av de fyra kontrakt (innovationspakter eller mobilisering av projekt) som ingåtts med konsortier, vilket återspeglar anpassningen till insatsområde 022 (forsknings- och innovationsprocesser, tekniköverföring och samarbete mellan företag med fokus på en koldioxidsnål ekonomi och motståndskraft mot och anpassning till klimatförändringar).</w:t>
            </w:r>
          </w:p>
        </w:tc>
      </w:tr>
      <w:tr w:rsidR="00E040FD" w14:paraId="7306DD3C" w14:textId="77777777">
        <w:trPr>
          <w:trHeight w:val="420"/>
        </w:trPr>
        <w:tc>
          <w:tcPr>
            <w:tcW w:w="1134" w:type="dxa"/>
            <w:shd w:val="clear" w:color="auto" w:fill="C4EFCE"/>
            <w:vAlign w:val="center"/>
            <w:hideMark/>
          </w:tcPr>
          <w:p w14:paraId="1DD3CA84" w14:textId="77777777" w:rsidR="00E040FD" w:rsidRDefault="00740D64">
            <w:pPr>
              <w:pStyle w:val="P68B1DB1-Normal7"/>
              <w:spacing w:after="0" w:line="240" w:lineRule="auto"/>
              <w:jc w:val="center"/>
              <w:rPr>
                <w:rFonts w:eastAsia="Times New Roman" w:cs="Calibri"/>
                <w:noProof/>
              </w:rPr>
            </w:pPr>
            <w:r>
              <w:rPr>
                <w:noProof/>
              </w:rPr>
              <w:t>5.9</w:t>
            </w:r>
          </w:p>
        </w:tc>
        <w:tc>
          <w:tcPr>
            <w:tcW w:w="1165" w:type="dxa"/>
            <w:shd w:val="clear" w:color="auto" w:fill="C4EFCE"/>
            <w:vAlign w:val="center"/>
            <w:hideMark/>
          </w:tcPr>
          <w:p w14:paraId="610CF94D" w14:textId="77777777" w:rsidR="00E040FD" w:rsidRDefault="00740D64">
            <w:pPr>
              <w:pStyle w:val="P68B1DB1-Normal8"/>
              <w:spacing w:after="0" w:line="240" w:lineRule="auto"/>
              <w:jc w:val="center"/>
              <w:rPr>
                <w:rFonts w:eastAsia="Times New Roman" w:cs="Calibri"/>
                <w:noProof/>
              </w:rPr>
            </w:pPr>
            <w:r>
              <w:rPr>
                <w:noProof/>
              </w:rPr>
              <w:t>RE-C05-i02</w:t>
            </w:r>
          </w:p>
        </w:tc>
        <w:tc>
          <w:tcPr>
            <w:tcW w:w="976" w:type="dxa"/>
            <w:shd w:val="clear" w:color="auto" w:fill="C4EFCE"/>
            <w:vAlign w:val="center"/>
            <w:hideMark/>
          </w:tcPr>
          <w:p w14:paraId="49C4E686"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21CC7D92" w14:textId="62765798" w:rsidR="00E040FD" w:rsidRDefault="00740D64">
            <w:pPr>
              <w:pStyle w:val="P68B1DB1-Normal8"/>
              <w:spacing w:after="0" w:line="240" w:lineRule="auto"/>
              <w:jc w:val="center"/>
              <w:rPr>
                <w:rFonts w:eastAsia="Times New Roman" w:cs="Calibri"/>
                <w:noProof/>
              </w:rPr>
            </w:pPr>
            <w:r>
              <w:rPr>
                <w:noProof/>
              </w:rPr>
              <w:t xml:space="preserve">Avtal med gränssnittsenheter, inbegripet samarbetslaboratorier – Colabs, som ingåtts </w:t>
            </w:r>
          </w:p>
        </w:tc>
        <w:tc>
          <w:tcPr>
            <w:tcW w:w="2029" w:type="dxa"/>
            <w:shd w:val="clear" w:color="auto" w:fill="C4EFCE"/>
            <w:vAlign w:val="center"/>
            <w:hideMark/>
          </w:tcPr>
          <w:p w14:paraId="3CFA0A2E"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F654CC4"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4C3EF509"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64B4173" w14:textId="77777777" w:rsidR="00E040FD" w:rsidRDefault="00740D64">
            <w:pPr>
              <w:pStyle w:val="P68B1DB1-Normal8"/>
              <w:spacing w:after="0" w:line="240" w:lineRule="auto"/>
              <w:jc w:val="center"/>
              <w:rPr>
                <w:rFonts w:eastAsia="Times New Roman" w:cs="Calibri"/>
                <w:noProof/>
              </w:rPr>
            </w:pPr>
            <w:r>
              <w:rPr>
                <w:noProof/>
              </w:rPr>
              <w:t>20</w:t>
            </w:r>
          </w:p>
        </w:tc>
        <w:tc>
          <w:tcPr>
            <w:tcW w:w="514" w:type="dxa"/>
            <w:shd w:val="clear" w:color="auto" w:fill="C4EFCE"/>
            <w:vAlign w:val="center"/>
            <w:hideMark/>
          </w:tcPr>
          <w:p w14:paraId="301A90D3"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0632C366" w14:textId="77777777" w:rsidR="00E040FD" w:rsidRDefault="00740D64">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41D8E0A7" w14:textId="77777777" w:rsidR="00E040FD" w:rsidRDefault="00740D64">
            <w:pPr>
              <w:pStyle w:val="P68B1DB1-Normal8"/>
              <w:spacing w:after="0" w:line="240" w:lineRule="auto"/>
              <w:jc w:val="both"/>
              <w:rPr>
                <w:rFonts w:eastAsia="Times New Roman" w:cs="Calibri"/>
                <w:noProof/>
              </w:rPr>
            </w:pPr>
            <w:r>
              <w:rPr>
                <w:noProof/>
              </w:rPr>
              <w:t xml:space="preserve">Efter en anbudsinfordran, urvalet av de enheter som ska få stöd. Denna ansökningsomgång är begränsad till förslagsställare som är erkända som ”gränssnittsenheter” eller som samarbetslaboratorier. </w:t>
            </w:r>
          </w:p>
          <w:p w14:paraId="7F724A76" w14:textId="77777777" w:rsidR="00E040FD" w:rsidRDefault="00E040FD">
            <w:pPr>
              <w:spacing w:after="0" w:line="240" w:lineRule="auto"/>
              <w:jc w:val="both"/>
              <w:rPr>
                <w:rFonts w:ascii="Calibri" w:eastAsia="Times New Roman" w:hAnsi="Calibri" w:cs="Calibri"/>
                <w:noProof/>
                <w:sz w:val="16"/>
              </w:rPr>
            </w:pPr>
          </w:p>
          <w:p w14:paraId="647EE43D" w14:textId="710B48F1" w:rsidR="00E040FD" w:rsidRDefault="00740D64">
            <w:pPr>
              <w:pStyle w:val="P68B1DB1-Normal9"/>
              <w:spacing w:after="0" w:line="240" w:lineRule="auto"/>
              <w:jc w:val="both"/>
              <w:rPr>
                <w:rFonts w:eastAsia="Times New Roman" w:cs="Calibri"/>
                <w:noProof/>
                <w:sz w:val="16"/>
              </w:rPr>
            </w:pPr>
            <w:r>
              <w:rPr>
                <w:noProof/>
                <w:sz w:val="16"/>
              </w:rPr>
              <w:t>Kontrakten ska återspegla anpassningen till insatsområdena 021 (tekniköverföring och samarbete mellan företag, forskningscentrum och utbildningssektorn) och/eller 022 (Forsknings- och innovationsprocesser, tekniköverföring och samarbete mellan företag, med fokus på en koldioxidsnål ekonomi och motståndskraft mot och anpassning till klimatförändringar).</w:t>
            </w:r>
            <w:r>
              <w:rPr>
                <w:noProof/>
              </w:rPr>
              <w:t xml:space="preserve"> </w:t>
            </w:r>
            <w:r>
              <w:rPr>
                <w:noProof/>
                <w:sz w:val="16"/>
              </w:rPr>
              <w:t>Kravspecifikationerna ska innehålla kriterier för stödberättigande som säkerställer att de utvalda projekten uppfyller den tekniska vägledningen om att inte orsaka betydande skada (2021/C58/01) genom användning av en uteslutningslista och kravet på efterlevnad av relevant EU-lagstiftning och nationell miljölagstiftning.</w:t>
            </w:r>
          </w:p>
        </w:tc>
      </w:tr>
      <w:tr w:rsidR="00E040FD" w14:paraId="5DDFFD35" w14:textId="77777777">
        <w:trPr>
          <w:trHeight w:val="1366"/>
        </w:trPr>
        <w:tc>
          <w:tcPr>
            <w:tcW w:w="1134" w:type="dxa"/>
            <w:shd w:val="clear" w:color="auto" w:fill="C4EFCE"/>
            <w:vAlign w:val="center"/>
            <w:hideMark/>
          </w:tcPr>
          <w:p w14:paraId="4A7C31C4" w14:textId="77777777" w:rsidR="00E040FD" w:rsidRDefault="00740D64">
            <w:pPr>
              <w:pStyle w:val="P68B1DB1-Normal7"/>
              <w:spacing w:after="0" w:line="240" w:lineRule="auto"/>
              <w:jc w:val="center"/>
              <w:rPr>
                <w:rFonts w:eastAsia="Times New Roman" w:cs="Calibri"/>
                <w:noProof/>
              </w:rPr>
            </w:pPr>
            <w:r>
              <w:rPr>
                <w:noProof/>
              </w:rPr>
              <w:t>5.10</w:t>
            </w:r>
          </w:p>
        </w:tc>
        <w:tc>
          <w:tcPr>
            <w:tcW w:w="1165" w:type="dxa"/>
            <w:shd w:val="clear" w:color="auto" w:fill="C4EFCE"/>
            <w:vAlign w:val="center"/>
            <w:hideMark/>
          </w:tcPr>
          <w:p w14:paraId="198E11A9" w14:textId="77777777" w:rsidR="00E040FD" w:rsidRDefault="00740D64">
            <w:pPr>
              <w:pStyle w:val="P68B1DB1-Normal8"/>
              <w:spacing w:after="0" w:line="240" w:lineRule="auto"/>
              <w:jc w:val="center"/>
              <w:rPr>
                <w:rFonts w:eastAsia="Times New Roman" w:cs="Calibri"/>
                <w:noProof/>
              </w:rPr>
            </w:pPr>
            <w:r>
              <w:rPr>
                <w:noProof/>
              </w:rPr>
              <w:t>RE-C05-i02</w:t>
            </w:r>
          </w:p>
        </w:tc>
        <w:tc>
          <w:tcPr>
            <w:tcW w:w="976" w:type="dxa"/>
            <w:shd w:val="clear" w:color="auto" w:fill="C4EFCE"/>
            <w:vAlign w:val="center"/>
            <w:hideMark/>
          </w:tcPr>
          <w:p w14:paraId="7A48319F"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EA48790" w14:textId="77777777" w:rsidR="00E040FD" w:rsidRDefault="00740D64">
            <w:pPr>
              <w:pStyle w:val="P68B1DB1-Normal8"/>
              <w:spacing w:after="0" w:line="240" w:lineRule="auto"/>
              <w:jc w:val="center"/>
              <w:rPr>
                <w:rFonts w:eastAsia="Times New Roman" w:cs="Calibri"/>
                <w:noProof/>
              </w:rPr>
            </w:pPr>
            <w:r>
              <w:rPr>
                <w:noProof/>
              </w:rPr>
              <w:t>Företag som drar nytta av de tjänster som tillhandahålls av de förmedlande enheterna, inbegripet samarbetslaboratorier – Colabs</w:t>
            </w:r>
          </w:p>
        </w:tc>
        <w:tc>
          <w:tcPr>
            <w:tcW w:w="2029" w:type="dxa"/>
            <w:shd w:val="clear" w:color="auto" w:fill="C4EFCE"/>
            <w:vAlign w:val="center"/>
            <w:hideMark/>
          </w:tcPr>
          <w:p w14:paraId="48F1813E"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3F810DF"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0EAC23B1"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7CE1E755" w14:textId="77777777" w:rsidR="00E040FD" w:rsidRDefault="00740D64">
            <w:pPr>
              <w:pStyle w:val="P68B1DB1-Normal8"/>
              <w:spacing w:after="0" w:line="240" w:lineRule="auto"/>
              <w:jc w:val="center"/>
              <w:rPr>
                <w:rFonts w:eastAsia="Times New Roman" w:cs="Calibri"/>
                <w:noProof/>
              </w:rPr>
            </w:pPr>
            <w:r>
              <w:rPr>
                <w:noProof/>
              </w:rPr>
              <w:t>500</w:t>
            </w:r>
          </w:p>
        </w:tc>
        <w:tc>
          <w:tcPr>
            <w:tcW w:w="514" w:type="dxa"/>
            <w:shd w:val="clear" w:color="auto" w:fill="C4EFCE"/>
            <w:vAlign w:val="center"/>
            <w:hideMark/>
          </w:tcPr>
          <w:p w14:paraId="0174A444"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72CE65E5" w14:textId="77777777" w:rsidR="00E040FD" w:rsidRDefault="00740D6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327EDF0" w14:textId="77777777" w:rsidR="00E040FD" w:rsidRDefault="00740D64">
            <w:pPr>
              <w:pStyle w:val="P68B1DB1-Normal8"/>
              <w:spacing w:after="0" w:line="240" w:lineRule="auto"/>
              <w:jc w:val="both"/>
              <w:rPr>
                <w:rFonts w:eastAsia="Times New Roman" w:cs="Calibri"/>
                <w:noProof/>
              </w:rPr>
            </w:pPr>
            <w:r>
              <w:rPr>
                <w:noProof/>
              </w:rPr>
              <w:t>De genomföranderapporter som ska lämnas in årligen av gränssnittsenheterna ska göra det möjligt att mäta de kvantitativa framstegen i förhållande till de specifika mål som togs vid tilldelningen av grundfinansieringen, särskilt antalet företag som drar nytta av de tillhandahållna tjänsterna.</w:t>
            </w:r>
          </w:p>
        </w:tc>
      </w:tr>
      <w:tr w:rsidR="00E040FD" w14:paraId="296A7EE2" w14:textId="77777777">
        <w:trPr>
          <w:trHeight w:val="420"/>
        </w:trPr>
        <w:tc>
          <w:tcPr>
            <w:tcW w:w="1134" w:type="dxa"/>
            <w:shd w:val="clear" w:color="auto" w:fill="C4EFCE"/>
            <w:vAlign w:val="center"/>
            <w:hideMark/>
          </w:tcPr>
          <w:p w14:paraId="7501BF2E" w14:textId="0A9B9B12" w:rsidR="00E040FD" w:rsidRDefault="00740D64">
            <w:pPr>
              <w:pStyle w:val="P68B1DB1-Normal7"/>
              <w:spacing w:after="0" w:line="240" w:lineRule="auto"/>
              <w:jc w:val="center"/>
              <w:rPr>
                <w:rFonts w:eastAsia="Times New Roman" w:cs="Calibri"/>
                <w:noProof/>
              </w:rPr>
            </w:pPr>
            <w:r>
              <w:rPr>
                <w:noProof/>
              </w:rPr>
              <w:t>5.11</w:t>
            </w:r>
          </w:p>
        </w:tc>
        <w:tc>
          <w:tcPr>
            <w:tcW w:w="1165" w:type="dxa"/>
            <w:shd w:val="clear" w:color="auto" w:fill="C4EFCE"/>
            <w:vAlign w:val="center"/>
            <w:hideMark/>
          </w:tcPr>
          <w:p w14:paraId="5F103B40" w14:textId="77777777" w:rsidR="00E040FD" w:rsidRDefault="00740D64">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0CBDE3B0" w14:textId="77777777" w:rsidR="00E040FD" w:rsidRDefault="00740D6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BD49DD1" w14:textId="77777777" w:rsidR="00E040FD" w:rsidRDefault="00740D64">
            <w:pPr>
              <w:pStyle w:val="P68B1DB1-Normal8"/>
              <w:spacing w:after="0" w:line="240" w:lineRule="auto"/>
              <w:jc w:val="center"/>
              <w:rPr>
                <w:rFonts w:eastAsia="Times New Roman" w:cs="Calibri"/>
                <w:noProof/>
              </w:rPr>
            </w:pPr>
            <w:r>
              <w:rPr>
                <w:noProof/>
              </w:rPr>
              <w:t xml:space="preserve">Anbudsförfarande för forsknings- och innovationsprojekt </w:t>
            </w:r>
          </w:p>
        </w:tc>
        <w:tc>
          <w:tcPr>
            <w:tcW w:w="2029" w:type="dxa"/>
            <w:shd w:val="clear" w:color="auto" w:fill="C4EFCE"/>
            <w:vAlign w:val="center"/>
            <w:hideMark/>
          </w:tcPr>
          <w:p w14:paraId="56B754AF" w14:textId="77777777" w:rsidR="00E040FD" w:rsidRDefault="00740D64">
            <w:pPr>
              <w:pStyle w:val="P68B1DB1-Normal8"/>
              <w:spacing w:after="0" w:line="240" w:lineRule="auto"/>
              <w:jc w:val="center"/>
              <w:rPr>
                <w:rFonts w:eastAsia="Times New Roman" w:cs="Calibri"/>
                <w:noProof/>
              </w:rPr>
            </w:pPr>
            <w:r>
              <w:rPr>
                <w:noProof/>
              </w:rPr>
              <w:t xml:space="preserve">Offentliggörande av meddelande om inledande av ett anbudsförfarande för forsknings- och innovationsprojekt </w:t>
            </w:r>
          </w:p>
        </w:tc>
        <w:tc>
          <w:tcPr>
            <w:tcW w:w="982" w:type="dxa"/>
            <w:shd w:val="clear" w:color="auto" w:fill="C4EFCE"/>
            <w:vAlign w:val="center"/>
            <w:hideMark/>
          </w:tcPr>
          <w:p w14:paraId="52389DDB"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10CC40E" w14:textId="77777777" w:rsidR="00E040FD" w:rsidRDefault="00740D6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41CA43B3" w14:textId="77777777" w:rsidR="00E040FD" w:rsidRDefault="00740D6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0793F21D" w14:textId="77777777" w:rsidR="00E040FD" w:rsidRDefault="00740D64">
            <w:pPr>
              <w:pStyle w:val="P68B1DB1-Normal8"/>
              <w:spacing w:after="0" w:line="240" w:lineRule="auto"/>
              <w:jc w:val="center"/>
              <w:rPr>
                <w:rFonts w:eastAsia="Times New Roman" w:cs="Calibri"/>
                <w:noProof/>
              </w:rPr>
            </w:pPr>
            <w:r>
              <w:rPr>
                <w:noProof/>
              </w:rPr>
              <w:t>KVARTAL 3</w:t>
            </w:r>
          </w:p>
        </w:tc>
        <w:tc>
          <w:tcPr>
            <w:tcW w:w="747" w:type="dxa"/>
            <w:shd w:val="clear" w:color="auto" w:fill="C4EFCE"/>
            <w:vAlign w:val="center"/>
            <w:hideMark/>
          </w:tcPr>
          <w:p w14:paraId="51BBEBF8" w14:textId="77777777" w:rsidR="00E040FD" w:rsidRDefault="00740D6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09C4175C" w14:textId="77777777" w:rsidR="00E040FD" w:rsidRDefault="00740D64">
            <w:pPr>
              <w:pStyle w:val="P68B1DB1-Normal8"/>
              <w:spacing w:after="0" w:line="240" w:lineRule="auto"/>
              <w:jc w:val="both"/>
              <w:rPr>
                <w:rFonts w:eastAsia="Times New Roman" w:cs="Calibri"/>
                <w:noProof/>
              </w:rPr>
            </w:pPr>
            <w:r>
              <w:rPr>
                <w:noProof/>
              </w:rPr>
              <w:t xml:space="preserve">Inleda anbudsförfaranden för program/projekt för forskning och innovation som ska finansieras inom ramen för innovationsagendan för jordbruket 2030. </w:t>
            </w:r>
          </w:p>
          <w:p w14:paraId="424377D2" w14:textId="77777777" w:rsidR="00E040FD" w:rsidRDefault="00E040FD">
            <w:pPr>
              <w:spacing w:after="0" w:line="240" w:lineRule="auto"/>
              <w:jc w:val="both"/>
              <w:rPr>
                <w:rFonts w:ascii="Calibri" w:eastAsia="Times New Roman" w:hAnsi="Calibri" w:cs="Calibri"/>
                <w:noProof/>
                <w:sz w:val="16"/>
              </w:rPr>
            </w:pPr>
          </w:p>
          <w:p w14:paraId="4EAA924A" w14:textId="77777777" w:rsidR="00E040FD" w:rsidRDefault="00740D64">
            <w:pPr>
              <w:pStyle w:val="P68B1DB1-Normal8"/>
              <w:spacing w:after="0" w:line="240" w:lineRule="auto"/>
              <w:jc w:val="both"/>
              <w:rPr>
                <w:rFonts w:eastAsia="Times New Roman" w:cs="Calibri"/>
                <w:noProof/>
              </w:rPr>
            </w:pPr>
            <w:r>
              <w:rPr>
                <w:noProof/>
              </w:rPr>
              <w:t xml:space="preserve">Kravspecifikationen ska omfatta kriterier för stödberättigande som säkerställer att de utvalda projekten överensstämmer med den tekniska vägledningen om principen om att inte orsaka betydande skada (2021/C58/01) genom att använda en förteckning över uteslutningar och kravet på överensstämmelse med relevant EU-lagstiftning och nationell miljölagstiftning. Urvalskriterierna ska säkerställa att projekten inriktas på antingen </w:t>
            </w:r>
          </w:p>
          <w:p w14:paraId="6AB443B7" w14:textId="3523683F" w:rsidR="00E040FD" w:rsidRDefault="00740D64">
            <w:pPr>
              <w:pStyle w:val="P68B1DB1-Normal8"/>
              <w:spacing w:after="0" w:line="240" w:lineRule="auto"/>
              <w:rPr>
                <w:rFonts w:eastAsia="Times New Roman" w:cs="Calibri"/>
                <w:noProof/>
              </w:rPr>
            </w:pPr>
            <w:r>
              <w:rPr>
                <w:noProof/>
              </w:rPr>
              <w:t xml:space="preserve">— om en koldioxidsnål ekonomi, motståndskraft mot och anpassning till klimatförändringar genom minskade utsläpp, ökad koldioxidbindning eller förstärkning av motståndskraften mot och anpassningen till klimatförändringar som återspeglar kraven på insatsområde 022 i enlighet med bilaga VI till förordningen om faciliteten för återhämtning och resiliens </w:t>
            </w:r>
          </w:p>
          <w:p w14:paraId="31587418" w14:textId="3A5A6E5D" w:rsidR="00E040FD" w:rsidRDefault="00740D64">
            <w:pPr>
              <w:pStyle w:val="P68B1DB1-Normal8"/>
              <w:spacing w:after="0" w:line="240" w:lineRule="auto"/>
              <w:jc w:val="both"/>
              <w:rPr>
                <w:rFonts w:eastAsia="Times New Roman" w:cs="Calibri"/>
                <w:noProof/>
              </w:rPr>
            </w:pPr>
            <w:r>
              <w:rPr>
                <w:noProof/>
              </w:rPr>
              <w:t>— eller om FoU-projekt för digitalisering, såsom en gemensam jordbruksportal, digital omställning och forsknings- och innovationsprojekt med anknytning till värdekedjor, som återspeglar kraven på insatsområde 009.</w:t>
            </w:r>
          </w:p>
        </w:tc>
      </w:tr>
      <w:tr w:rsidR="00E040FD" w14:paraId="00335F0E" w14:textId="77777777">
        <w:trPr>
          <w:trHeight w:val="1347"/>
        </w:trPr>
        <w:tc>
          <w:tcPr>
            <w:tcW w:w="1134" w:type="dxa"/>
            <w:shd w:val="clear" w:color="auto" w:fill="C4EFCE"/>
            <w:vAlign w:val="center"/>
            <w:hideMark/>
          </w:tcPr>
          <w:p w14:paraId="6928F1B6" w14:textId="77777777" w:rsidR="00E040FD" w:rsidRDefault="00740D64">
            <w:pPr>
              <w:pStyle w:val="P68B1DB1-Normal7"/>
              <w:spacing w:after="0" w:line="240" w:lineRule="auto"/>
              <w:jc w:val="center"/>
              <w:rPr>
                <w:rFonts w:eastAsia="Times New Roman" w:cs="Calibri"/>
                <w:noProof/>
              </w:rPr>
            </w:pPr>
            <w:r>
              <w:rPr>
                <w:noProof/>
              </w:rPr>
              <w:t>5.12</w:t>
            </w:r>
          </w:p>
        </w:tc>
        <w:tc>
          <w:tcPr>
            <w:tcW w:w="1165" w:type="dxa"/>
            <w:shd w:val="clear" w:color="auto" w:fill="C4EFCE"/>
            <w:vAlign w:val="center"/>
            <w:hideMark/>
          </w:tcPr>
          <w:p w14:paraId="62CDCC6D" w14:textId="77777777" w:rsidR="00E040FD" w:rsidRDefault="00740D64">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0C284E5D"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0152F452" w14:textId="77777777" w:rsidR="00E040FD" w:rsidRDefault="00740D64">
            <w:pPr>
              <w:pStyle w:val="P68B1DB1-Normal8"/>
              <w:spacing w:after="0" w:line="240" w:lineRule="auto"/>
              <w:jc w:val="center"/>
              <w:rPr>
                <w:rFonts w:eastAsia="Times New Roman" w:cs="Calibri"/>
                <w:noProof/>
              </w:rPr>
            </w:pPr>
            <w:r>
              <w:rPr>
                <w:noProof/>
              </w:rPr>
              <w:t xml:space="preserve">Slutförande av innovations- och forskningsprojekt med inriktning på de gröna aspekterna av innovationsagendan för jordbruket 2030 </w:t>
            </w:r>
          </w:p>
        </w:tc>
        <w:tc>
          <w:tcPr>
            <w:tcW w:w="2029" w:type="dxa"/>
            <w:shd w:val="clear" w:color="auto" w:fill="C4EFCE"/>
            <w:vAlign w:val="center"/>
            <w:hideMark/>
          </w:tcPr>
          <w:p w14:paraId="6673998C"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BD66CB2"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6C14CFFD"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757C0954" w14:textId="77777777" w:rsidR="00E040FD" w:rsidRDefault="00740D64">
            <w:pPr>
              <w:pStyle w:val="P68B1DB1-Normal8"/>
              <w:spacing w:after="0" w:line="240" w:lineRule="auto"/>
              <w:jc w:val="center"/>
              <w:rPr>
                <w:rFonts w:eastAsia="Times New Roman" w:cs="Calibri"/>
                <w:noProof/>
              </w:rPr>
            </w:pPr>
            <w:r>
              <w:rPr>
                <w:noProof/>
              </w:rPr>
              <w:t>100</w:t>
            </w:r>
          </w:p>
        </w:tc>
        <w:tc>
          <w:tcPr>
            <w:tcW w:w="514" w:type="dxa"/>
            <w:shd w:val="clear" w:color="auto" w:fill="C4EFCE"/>
            <w:vAlign w:val="center"/>
            <w:hideMark/>
          </w:tcPr>
          <w:p w14:paraId="327ED56D" w14:textId="77777777" w:rsidR="00E040FD" w:rsidRDefault="00740D64">
            <w:pPr>
              <w:pStyle w:val="P68B1DB1-Normal8"/>
              <w:spacing w:after="0" w:line="240" w:lineRule="auto"/>
              <w:jc w:val="center"/>
              <w:rPr>
                <w:rFonts w:eastAsia="Times New Roman" w:cs="Calibri"/>
                <w:noProof/>
              </w:rPr>
            </w:pPr>
            <w:r>
              <w:rPr>
                <w:noProof/>
              </w:rPr>
              <w:t>KVARTAL 3</w:t>
            </w:r>
          </w:p>
        </w:tc>
        <w:tc>
          <w:tcPr>
            <w:tcW w:w="747" w:type="dxa"/>
            <w:shd w:val="clear" w:color="auto" w:fill="C4EFCE"/>
            <w:vAlign w:val="center"/>
            <w:hideMark/>
          </w:tcPr>
          <w:p w14:paraId="46CE7E74" w14:textId="77777777" w:rsidR="00E040FD" w:rsidRDefault="00740D6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AD60965" w14:textId="77777777" w:rsidR="00E040FD" w:rsidRDefault="00740D64">
            <w:pPr>
              <w:pStyle w:val="P68B1DB1-Normal8"/>
              <w:spacing w:after="0" w:line="240" w:lineRule="auto"/>
              <w:jc w:val="both"/>
              <w:rPr>
                <w:rFonts w:eastAsia="Times New Roman" w:cs="Calibri"/>
                <w:noProof/>
              </w:rPr>
            </w:pPr>
            <w:r>
              <w:rPr>
                <w:noProof/>
              </w:rPr>
              <w:t>Totalt finansierade och avslutade 100 forsknings- och innovationsprojekt. Stöd till forsknings- och innovationsprojekt och forsknings- och innovationsprogram som bidrar till minst ett av de 15 initiativen i innovationsagendan och är inriktade på en koldioxidsnål ekonomi, motståndskraft mot och anpassning till klimatförändringar.</w:t>
            </w:r>
          </w:p>
        </w:tc>
      </w:tr>
      <w:tr w:rsidR="00E040FD" w14:paraId="58EE858D" w14:textId="77777777">
        <w:trPr>
          <w:trHeight w:val="1406"/>
        </w:trPr>
        <w:tc>
          <w:tcPr>
            <w:tcW w:w="1134" w:type="dxa"/>
            <w:shd w:val="clear" w:color="auto" w:fill="C4EFCE"/>
            <w:vAlign w:val="center"/>
            <w:hideMark/>
          </w:tcPr>
          <w:p w14:paraId="4DD25D33" w14:textId="77777777" w:rsidR="00E040FD" w:rsidRDefault="00740D64">
            <w:pPr>
              <w:pStyle w:val="P68B1DB1-Normal7"/>
              <w:spacing w:after="0" w:line="240" w:lineRule="auto"/>
              <w:jc w:val="center"/>
              <w:rPr>
                <w:rFonts w:eastAsia="Times New Roman" w:cs="Calibri"/>
                <w:noProof/>
              </w:rPr>
            </w:pPr>
            <w:r>
              <w:rPr>
                <w:noProof/>
              </w:rPr>
              <w:t>5.13</w:t>
            </w:r>
          </w:p>
        </w:tc>
        <w:tc>
          <w:tcPr>
            <w:tcW w:w="1165" w:type="dxa"/>
            <w:shd w:val="clear" w:color="auto" w:fill="C4EFCE"/>
            <w:vAlign w:val="center"/>
            <w:hideMark/>
          </w:tcPr>
          <w:p w14:paraId="1A4E4173" w14:textId="77777777" w:rsidR="00E040FD" w:rsidRDefault="00740D64">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4731AB6C"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78A357C" w14:textId="147DED00" w:rsidR="00E040FD" w:rsidRDefault="00740D64">
            <w:pPr>
              <w:pStyle w:val="P68B1DB1-Normal8"/>
              <w:spacing w:after="0" w:line="240" w:lineRule="auto"/>
              <w:jc w:val="center"/>
              <w:rPr>
                <w:rFonts w:eastAsia="Times New Roman" w:cs="Calibri"/>
                <w:noProof/>
              </w:rPr>
            </w:pPr>
            <w:r>
              <w:rPr>
                <w:noProof/>
              </w:rPr>
              <w:t>Slutförande av 5 struktureringsprojekt med inriktning på de digitala aspekterna av innovationsagendan för jordbruket 2030</w:t>
            </w:r>
          </w:p>
        </w:tc>
        <w:tc>
          <w:tcPr>
            <w:tcW w:w="2029" w:type="dxa"/>
            <w:shd w:val="clear" w:color="auto" w:fill="C4EFCE"/>
            <w:vAlign w:val="center"/>
            <w:hideMark/>
          </w:tcPr>
          <w:p w14:paraId="6C32BB6C"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14D1538"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3533F044"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4954256" w14:textId="77777777" w:rsidR="00E040FD" w:rsidRDefault="00740D64">
            <w:pPr>
              <w:pStyle w:val="P68B1DB1-Normal8"/>
              <w:spacing w:after="0" w:line="240" w:lineRule="auto"/>
              <w:jc w:val="center"/>
              <w:rPr>
                <w:rFonts w:eastAsia="Times New Roman" w:cs="Calibri"/>
                <w:noProof/>
              </w:rPr>
            </w:pPr>
            <w:r>
              <w:rPr>
                <w:noProof/>
              </w:rPr>
              <w:t>5</w:t>
            </w:r>
          </w:p>
        </w:tc>
        <w:tc>
          <w:tcPr>
            <w:tcW w:w="514" w:type="dxa"/>
            <w:shd w:val="clear" w:color="auto" w:fill="C4EFCE"/>
            <w:vAlign w:val="center"/>
            <w:hideMark/>
          </w:tcPr>
          <w:p w14:paraId="0D1EAAB9" w14:textId="77777777" w:rsidR="00E040FD" w:rsidRDefault="00740D64">
            <w:pPr>
              <w:pStyle w:val="P68B1DB1-Normal8"/>
              <w:spacing w:after="0" w:line="240" w:lineRule="auto"/>
              <w:jc w:val="center"/>
              <w:rPr>
                <w:rFonts w:eastAsia="Times New Roman" w:cs="Calibri"/>
                <w:noProof/>
              </w:rPr>
            </w:pPr>
            <w:r>
              <w:rPr>
                <w:noProof/>
              </w:rPr>
              <w:t>KVARTAL 3</w:t>
            </w:r>
          </w:p>
        </w:tc>
        <w:tc>
          <w:tcPr>
            <w:tcW w:w="747" w:type="dxa"/>
            <w:shd w:val="clear" w:color="auto" w:fill="C4EFCE"/>
            <w:vAlign w:val="center"/>
            <w:hideMark/>
          </w:tcPr>
          <w:p w14:paraId="6C8827A3" w14:textId="77777777" w:rsidR="00E040FD" w:rsidRDefault="00740D6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3E658D67" w14:textId="77777777" w:rsidR="00E040FD" w:rsidRDefault="00740D64">
            <w:pPr>
              <w:pStyle w:val="P68B1DB1-Normal8"/>
              <w:spacing w:after="0" w:line="240" w:lineRule="auto"/>
              <w:jc w:val="both"/>
              <w:rPr>
                <w:rFonts w:eastAsia="Times New Roman" w:cs="Calibri"/>
                <w:noProof/>
              </w:rPr>
            </w:pPr>
            <w:r>
              <w:rPr>
                <w:noProof/>
              </w:rPr>
              <w:t>Sammanlagt 5 innovationsstruktureringsprojekt finansierades och slutfördes. Stöd till innovationsprojekt som bidrar till minst ett av de 15 initiativen i innovationsagendan och fokuserar på digitalisering.</w:t>
            </w:r>
          </w:p>
        </w:tc>
      </w:tr>
      <w:tr w:rsidR="00E040FD" w14:paraId="0325433E" w14:textId="77777777">
        <w:trPr>
          <w:trHeight w:val="420"/>
        </w:trPr>
        <w:tc>
          <w:tcPr>
            <w:tcW w:w="1134" w:type="dxa"/>
            <w:shd w:val="clear" w:color="auto" w:fill="C4EFCE"/>
            <w:vAlign w:val="center"/>
            <w:hideMark/>
          </w:tcPr>
          <w:p w14:paraId="2C9BBFE3" w14:textId="330406B0" w:rsidR="00E040FD" w:rsidRDefault="00740D64">
            <w:pPr>
              <w:pStyle w:val="P68B1DB1-Normal7"/>
              <w:spacing w:after="0" w:line="240" w:lineRule="auto"/>
              <w:jc w:val="center"/>
              <w:rPr>
                <w:rFonts w:eastAsia="Times New Roman" w:cs="Calibri"/>
                <w:noProof/>
              </w:rPr>
            </w:pPr>
            <w:r>
              <w:rPr>
                <w:noProof/>
              </w:rPr>
              <w:t>5.14</w:t>
            </w:r>
          </w:p>
        </w:tc>
        <w:tc>
          <w:tcPr>
            <w:tcW w:w="1165" w:type="dxa"/>
            <w:shd w:val="clear" w:color="auto" w:fill="C4EFCE"/>
            <w:vAlign w:val="center"/>
            <w:hideMark/>
          </w:tcPr>
          <w:p w14:paraId="6E1D1FCF" w14:textId="77777777" w:rsidR="00E040FD" w:rsidRDefault="00740D64">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6E5A38D0"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6428411" w14:textId="77777777" w:rsidR="00E040FD" w:rsidRDefault="00740D64">
            <w:pPr>
              <w:pStyle w:val="P68B1DB1-Normal8"/>
              <w:spacing w:after="0" w:line="240" w:lineRule="auto"/>
              <w:jc w:val="center"/>
              <w:rPr>
                <w:rFonts w:eastAsia="Times New Roman" w:cs="Calibri"/>
                <w:noProof/>
              </w:rPr>
            </w:pPr>
            <w:r>
              <w:rPr>
                <w:noProof/>
              </w:rPr>
              <w:t>Förnyelse/uppgradering av innovationsnav för jordbruket</w:t>
            </w:r>
          </w:p>
        </w:tc>
        <w:tc>
          <w:tcPr>
            <w:tcW w:w="2029" w:type="dxa"/>
            <w:shd w:val="clear" w:color="auto" w:fill="C4EFCE"/>
            <w:vAlign w:val="center"/>
            <w:hideMark/>
          </w:tcPr>
          <w:p w14:paraId="10D14770"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7AE3D33"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026E9922"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7F56B64" w14:textId="77777777" w:rsidR="00E040FD" w:rsidRDefault="00740D64">
            <w:pPr>
              <w:pStyle w:val="P68B1DB1-Normal8"/>
              <w:spacing w:after="0" w:line="240" w:lineRule="auto"/>
              <w:jc w:val="center"/>
              <w:rPr>
                <w:rFonts w:eastAsia="Times New Roman" w:cs="Calibri"/>
                <w:noProof/>
              </w:rPr>
            </w:pPr>
            <w:r>
              <w:rPr>
                <w:noProof/>
              </w:rPr>
              <w:t>24</w:t>
            </w:r>
          </w:p>
        </w:tc>
        <w:tc>
          <w:tcPr>
            <w:tcW w:w="514" w:type="dxa"/>
            <w:shd w:val="clear" w:color="auto" w:fill="C4EFCE"/>
            <w:vAlign w:val="center"/>
            <w:hideMark/>
          </w:tcPr>
          <w:p w14:paraId="4D25C474"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3CEE80EA" w14:textId="77777777" w:rsidR="00E040FD" w:rsidRDefault="00740D6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03E8138F" w14:textId="77777777" w:rsidR="00E040FD" w:rsidRDefault="00740D64">
            <w:pPr>
              <w:pStyle w:val="P68B1DB1-Normal8"/>
              <w:spacing w:after="0" w:line="240" w:lineRule="auto"/>
              <w:jc w:val="both"/>
              <w:rPr>
                <w:rFonts w:eastAsia="Times New Roman" w:cs="Calibri"/>
                <w:noProof/>
              </w:rPr>
            </w:pPr>
            <w:r>
              <w:rPr>
                <w:noProof/>
              </w:rPr>
              <w:t xml:space="preserve">Inrättande av ett nationellt innovationsnätverk för jordbruk, livsmedel och landsbygdsutveckling genom uppgradering av 24 innovationsknutpunkter. </w:t>
            </w:r>
          </w:p>
          <w:p w14:paraId="24D464A1" w14:textId="2ABBDBB2" w:rsidR="00E040FD" w:rsidRDefault="00740D64">
            <w:pPr>
              <w:pStyle w:val="P68B1DB1-Normal8"/>
              <w:spacing w:after="0" w:line="240" w:lineRule="auto"/>
              <w:jc w:val="both"/>
              <w:rPr>
                <w:rFonts w:eastAsia="Times New Roman" w:cs="Calibri"/>
                <w:noProof/>
              </w:rPr>
            </w:pPr>
            <w:r>
              <w:rPr>
                <w:noProof/>
              </w:rPr>
              <w:t>Denna investering ska huvudsakligen omfatta renovering av infrastruktur och inköp av vetenskaplig laboratorieutrustning.</w:t>
            </w:r>
          </w:p>
        </w:tc>
      </w:tr>
      <w:tr w:rsidR="00E040FD" w14:paraId="60F470C2" w14:textId="77777777">
        <w:trPr>
          <w:trHeight w:val="1050"/>
        </w:trPr>
        <w:tc>
          <w:tcPr>
            <w:tcW w:w="1134" w:type="dxa"/>
            <w:shd w:val="clear" w:color="auto" w:fill="C4EFCE"/>
            <w:vAlign w:val="center"/>
            <w:hideMark/>
          </w:tcPr>
          <w:p w14:paraId="5E8992DB" w14:textId="470E960C" w:rsidR="00E040FD" w:rsidRDefault="00740D64">
            <w:pPr>
              <w:pStyle w:val="P68B1DB1-Normal7"/>
              <w:spacing w:after="0" w:line="240" w:lineRule="auto"/>
              <w:jc w:val="center"/>
              <w:rPr>
                <w:rFonts w:eastAsia="Times New Roman" w:cs="Calibri"/>
                <w:noProof/>
              </w:rPr>
            </w:pPr>
            <w:r>
              <w:rPr>
                <w:noProof/>
              </w:rPr>
              <w:t>5.15</w:t>
            </w:r>
          </w:p>
        </w:tc>
        <w:tc>
          <w:tcPr>
            <w:tcW w:w="1165" w:type="dxa"/>
            <w:shd w:val="clear" w:color="auto" w:fill="C4EFCE"/>
            <w:vAlign w:val="center"/>
            <w:hideMark/>
          </w:tcPr>
          <w:p w14:paraId="5ED3CA87" w14:textId="77777777" w:rsidR="00E040FD" w:rsidRDefault="00740D64">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7E0D7741" w14:textId="77777777" w:rsidR="00E040FD" w:rsidRDefault="00740D6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5A4ED20" w14:textId="77777777" w:rsidR="00E040FD" w:rsidRDefault="00740D64">
            <w:pPr>
              <w:pStyle w:val="P68B1DB1-Normal8"/>
              <w:spacing w:after="0" w:line="240" w:lineRule="auto"/>
              <w:jc w:val="center"/>
              <w:rPr>
                <w:rFonts w:eastAsia="Times New Roman" w:cs="Calibri"/>
                <w:noProof/>
              </w:rPr>
            </w:pPr>
            <w:r>
              <w:rPr>
                <w:noProof/>
              </w:rPr>
              <w:t>Antagande av en förordning om rekapitaliseringsinstrumentet för företag på Azorerna</w:t>
            </w:r>
          </w:p>
        </w:tc>
        <w:tc>
          <w:tcPr>
            <w:tcW w:w="2029" w:type="dxa"/>
            <w:shd w:val="clear" w:color="auto" w:fill="C4EFCE"/>
            <w:vAlign w:val="center"/>
            <w:hideMark/>
          </w:tcPr>
          <w:p w14:paraId="0329CFDA" w14:textId="77777777" w:rsidR="00E040FD" w:rsidRDefault="00740D64">
            <w:pPr>
              <w:pStyle w:val="P68B1DB1-Normal8"/>
              <w:spacing w:after="0" w:line="240" w:lineRule="auto"/>
              <w:jc w:val="center"/>
              <w:rPr>
                <w:rFonts w:eastAsia="Times New Roman" w:cs="Calibri"/>
                <w:noProof/>
              </w:rPr>
            </w:pPr>
            <w:r>
              <w:rPr>
                <w:noProof/>
              </w:rPr>
              <w:t xml:space="preserve">Antagande av Azorernas regionala regering av en förordning om fastställande av en kapitaliseringsåtgärd och om bemyndigande för </w:t>
            </w:r>
            <w:r>
              <w:rPr>
                <w:i/>
                <w:noProof/>
              </w:rPr>
              <w:t>Banco Portugues de Fomento</w:t>
            </w:r>
            <w:r>
              <w:rPr>
                <w:noProof/>
              </w:rPr>
              <w:t xml:space="preserve"> att anta en investeringspolitik</w:t>
            </w:r>
          </w:p>
        </w:tc>
        <w:tc>
          <w:tcPr>
            <w:tcW w:w="982" w:type="dxa"/>
            <w:shd w:val="clear" w:color="auto" w:fill="C4EFCE"/>
            <w:vAlign w:val="center"/>
            <w:hideMark/>
          </w:tcPr>
          <w:p w14:paraId="76178EE5"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0D1E9F3" w14:textId="77777777" w:rsidR="00E040FD" w:rsidRDefault="00740D6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1008B1F9" w14:textId="77777777" w:rsidR="00E040FD" w:rsidRDefault="00740D6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38A054C2" w14:textId="77777777" w:rsidR="00E040FD" w:rsidRDefault="00740D64">
            <w:pPr>
              <w:pStyle w:val="P68B1DB1-Normal8"/>
              <w:spacing w:after="0" w:line="240" w:lineRule="auto"/>
              <w:jc w:val="center"/>
              <w:rPr>
                <w:rFonts w:eastAsia="Times New Roman" w:cs="Calibri"/>
                <w:noProof/>
              </w:rPr>
            </w:pPr>
            <w:r>
              <w:rPr>
                <w:noProof/>
              </w:rPr>
              <w:t>KVARTAL 3</w:t>
            </w:r>
          </w:p>
        </w:tc>
        <w:tc>
          <w:tcPr>
            <w:tcW w:w="747" w:type="dxa"/>
            <w:shd w:val="clear" w:color="auto" w:fill="C4EFCE"/>
            <w:vAlign w:val="center"/>
            <w:hideMark/>
          </w:tcPr>
          <w:p w14:paraId="79E05766" w14:textId="77777777" w:rsidR="00E040FD" w:rsidRDefault="00740D6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2D2AB17A" w14:textId="77777777" w:rsidR="00E040FD" w:rsidRDefault="00740D64">
            <w:pPr>
              <w:pStyle w:val="P68B1DB1-Normal8"/>
              <w:spacing w:after="0" w:line="240" w:lineRule="auto"/>
              <w:jc w:val="both"/>
              <w:rPr>
                <w:rFonts w:eastAsia="Times New Roman" w:cs="Calibri"/>
                <w:noProof/>
              </w:rPr>
            </w:pPr>
            <w:r>
              <w:rPr>
                <w:noProof/>
              </w:rPr>
              <w:t xml:space="preserve">Den regionala regeringen i Azorerna har antagit en förordning som fastställer kapitaliseringsåtgärden och ger </w:t>
            </w:r>
            <w:r>
              <w:rPr>
                <w:i/>
                <w:noProof/>
              </w:rPr>
              <w:t>Banco Portugues de Fomento</w:t>
            </w:r>
            <w:r>
              <w:rPr>
                <w:noProof/>
              </w:rPr>
              <w:t xml:space="preserve"> mandat att anta en investeringspolicy som bland annat fastställer kriterierna för stödberättigande och urval av stödmottagande företag för varje typ av finansieringsinstrument. Förordningen ska kräva att investeringspolicyn innehåller urvals- och behörighetskriterier för efterlevnad av den tekniska vägledningen om att inte orsaka betydande skada (2021/C58/01) för företag som får stöd, med krav på följande: </w:t>
            </w:r>
          </w:p>
          <w:p w14:paraId="34F2D080" w14:textId="77777777" w:rsidR="00E040FD" w:rsidRDefault="00740D64">
            <w:pPr>
              <w:pStyle w:val="P68B1DB1-Normal8"/>
              <w:spacing w:after="0" w:line="240" w:lineRule="auto"/>
              <w:jc w:val="both"/>
              <w:rPr>
                <w:rFonts w:eastAsia="Times New Roman" w:cs="Calibri"/>
                <w:noProof/>
              </w:rPr>
            </w:pPr>
            <w:r>
              <w:rPr>
                <w:noProof/>
              </w:rPr>
              <w:t xml:space="preserve">— användning av hållbarhetssäkring, </w:t>
            </w:r>
          </w:p>
          <w:p w14:paraId="65116438" w14:textId="77777777" w:rsidR="00E040FD" w:rsidRDefault="00740D64">
            <w:pPr>
              <w:pStyle w:val="P68B1DB1-Normal8"/>
              <w:spacing w:after="0" w:line="240" w:lineRule="auto"/>
              <w:jc w:val="both"/>
              <w:rPr>
                <w:rFonts w:eastAsia="Times New Roman" w:cs="Calibri"/>
                <w:noProof/>
              </w:rPr>
            </w:pPr>
            <w:r>
              <w:rPr>
                <w:noProof/>
              </w:rPr>
              <w:t xml:space="preserve">— en förteckning över uteslutningar som omfattar följande delar: </w:t>
            </w:r>
          </w:p>
          <w:p w14:paraId="436922B2" w14:textId="77777777" w:rsidR="00E040FD" w:rsidRDefault="00740D6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Investeringar som rör fossila bränslen (inklusive användning i senare led), med undantag för naturgasbaserad värme/el som uppfyller villkoren i bilaga III till vägledningen om att inte orsaka betydande skada.</w:t>
            </w:r>
          </w:p>
          <w:p w14:paraId="14409371" w14:textId="77777777" w:rsidR="00E040FD" w:rsidRDefault="00740D6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Verksamheter inom ramen för utsläppshandelssystemet med beräknade utsläpp av CO2-ekvivalenter som inte är lägre än de relevanta riktmärken som fastställts för gratis tilldelning. </w:t>
            </w:r>
          </w:p>
          <w:p w14:paraId="55434946" w14:textId="77777777" w:rsidR="00E040FD" w:rsidRDefault="00740D6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Investeringar i anläggningar för bortskaffande av avfall i deponier, i anläggningar för mekanisk biologisk behandling (MBT) och förbränningsanläggningar för behandling av avfall. Förteckningen över undantag gäller inte anläggningar som uteslutande är avsedda för behandling av farligt avfall som inte kan materialåtervinnas. befintliga anläggningar, om investeringen syftar till att öka energieffektiviteten, fånga upp avgaser för lagring eller användning eller återvinna material från förbränningsaska, förutsatt att sådana investeringar inte leder till en ökning av anläggningens avfallshanteringskapacitet eller till en förlängning av anläggningens livslängd. </w:t>
            </w:r>
          </w:p>
          <w:p w14:paraId="344B3A1B" w14:textId="77777777" w:rsidR="00E040FD" w:rsidRDefault="00740D64">
            <w:pPr>
              <w:spacing w:after="0" w:line="240" w:lineRule="auto"/>
              <w:jc w:val="both"/>
              <w:rPr>
                <w:rFonts w:ascii="Calibri" w:eastAsia="Times New Roman" w:hAnsi="Calibri" w:cs="Calibri"/>
                <w:noProof/>
                <w:sz w:val="16"/>
              </w:rPr>
            </w:pPr>
            <w:r>
              <w:rPr>
                <w:rFonts w:ascii="Calibri" w:hAnsi="Calibri"/>
                <w:noProof/>
                <w:sz w:val="16"/>
              </w:rPr>
              <w:t xml:space="preserve">Verksamhet där långsiktigt bortskaffande av avfall kan orsaka skador på miljön på lång sikt (t.ex. kärnavfall). </w:t>
            </w:r>
          </w:p>
          <w:p w14:paraId="1A84525D" w14:textId="77777777" w:rsidR="00E040FD" w:rsidRDefault="00740D6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FoU I som ägnades åt ovannämnda tillgångar och verksamheter. </w:t>
            </w:r>
          </w:p>
          <w:p w14:paraId="54498B89" w14:textId="77777777" w:rsidR="00E040FD" w:rsidRDefault="00740D64">
            <w:pPr>
              <w:pStyle w:val="P68B1DB1-Normal8"/>
              <w:spacing w:after="0" w:line="240" w:lineRule="auto"/>
              <w:jc w:val="both"/>
              <w:rPr>
                <w:rFonts w:eastAsia="Times New Roman" w:cs="Calibri"/>
                <w:noProof/>
              </w:rPr>
            </w:pPr>
            <w:r>
              <w:rPr>
                <w:noProof/>
              </w:rPr>
              <w:t>obligatoriska kontroller av regelefterlevnad genom BPF och/eller dess utvalda finansiella intermediärer för transaktioner som är undantagna från hållbarhetssäkring</w:t>
            </w:r>
          </w:p>
          <w:p w14:paraId="2E85E023" w14:textId="05CE3EBD" w:rsidR="00E040FD" w:rsidRDefault="00740D64">
            <w:pPr>
              <w:pStyle w:val="P68B1DB1-Normal8"/>
              <w:spacing w:after="0" w:line="240" w:lineRule="auto"/>
              <w:jc w:val="both"/>
              <w:rPr>
                <w:rFonts w:eastAsia="Times New Roman" w:cs="Calibri"/>
                <w:noProof/>
              </w:rPr>
            </w:pPr>
            <w:r>
              <w:rPr>
                <w:noProof/>
              </w:rPr>
              <w:t>mottagare av stöd till eget kapital som får minst 50 % av sina intäkter från verksamheter som förtecknas i uteslutningsförteckningen för att anta och offentliggöra planer för grön omställning.</w:t>
            </w:r>
          </w:p>
        </w:tc>
      </w:tr>
      <w:tr w:rsidR="00E040FD" w14:paraId="140CEE72" w14:textId="77777777">
        <w:trPr>
          <w:trHeight w:val="1933"/>
        </w:trPr>
        <w:tc>
          <w:tcPr>
            <w:tcW w:w="1134" w:type="dxa"/>
            <w:shd w:val="clear" w:color="auto" w:fill="C4EFCE"/>
            <w:vAlign w:val="center"/>
            <w:hideMark/>
          </w:tcPr>
          <w:p w14:paraId="5D768A55" w14:textId="58B8B80D" w:rsidR="00E040FD" w:rsidRDefault="00740D64">
            <w:pPr>
              <w:pStyle w:val="P68B1DB1-Normal7"/>
              <w:spacing w:after="0" w:line="240" w:lineRule="auto"/>
              <w:jc w:val="center"/>
              <w:rPr>
                <w:rFonts w:eastAsia="Times New Roman" w:cs="Calibri"/>
                <w:noProof/>
              </w:rPr>
            </w:pPr>
            <w:r>
              <w:rPr>
                <w:noProof/>
              </w:rPr>
              <w:t>5.16</w:t>
            </w:r>
          </w:p>
        </w:tc>
        <w:tc>
          <w:tcPr>
            <w:tcW w:w="1165" w:type="dxa"/>
            <w:shd w:val="clear" w:color="auto" w:fill="C4EFCE"/>
            <w:vAlign w:val="center"/>
            <w:hideMark/>
          </w:tcPr>
          <w:p w14:paraId="27A5C23C" w14:textId="77777777" w:rsidR="00E040FD" w:rsidRDefault="00740D64">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1D194C18" w14:textId="77777777" w:rsidR="00E040FD" w:rsidRDefault="00740D6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E88F574" w14:textId="77777777" w:rsidR="00E040FD" w:rsidRDefault="00740D64">
            <w:pPr>
              <w:pStyle w:val="P68B1DB1-Normal8"/>
              <w:spacing w:after="0" w:line="240" w:lineRule="auto"/>
              <w:jc w:val="center"/>
              <w:rPr>
                <w:rFonts w:eastAsia="Times New Roman" w:cs="Calibri"/>
                <w:noProof/>
              </w:rPr>
            </w:pPr>
            <w:r>
              <w:rPr>
                <w:noProof/>
              </w:rPr>
              <w:t>Antagande av investeringspolicyn för rekapitaliseringsinstrumentet för företag på Azorerna</w:t>
            </w:r>
          </w:p>
        </w:tc>
        <w:tc>
          <w:tcPr>
            <w:tcW w:w="2029" w:type="dxa"/>
            <w:shd w:val="clear" w:color="auto" w:fill="C4EFCE"/>
            <w:vAlign w:val="center"/>
            <w:hideMark/>
          </w:tcPr>
          <w:p w14:paraId="173D60F3" w14:textId="77777777" w:rsidR="00E040FD" w:rsidRDefault="00740D64">
            <w:pPr>
              <w:pStyle w:val="P68B1DB1-Normal8"/>
              <w:spacing w:after="0" w:line="240" w:lineRule="auto"/>
              <w:jc w:val="center"/>
              <w:rPr>
                <w:rFonts w:eastAsia="Times New Roman" w:cs="Calibri"/>
                <w:noProof/>
              </w:rPr>
            </w:pPr>
            <w:r>
              <w:rPr>
                <w:noProof/>
              </w:rPr>
              <w:t>BPF:s antagande av en investeringspolicy som omfattar alla finansiella instrument som avses i åtgärden.</w:t>
            </w:r>
          </w:p>
        </w:tc>
        <w:tc>
          <w:tcPr>
            <w:tcW w:w="982" w:type="dxa"/>
            <w:shd w:val="clear" w:color="auto" w:fill="C4EFCE"/>
            <w:vAlign w:val="center"/>
            <w:hideMark/>
          </w:tcPr>
          <w:p w14:paraId="28BCFCDB"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53D2856" w14:textId="77777777" w:rsidR="00E040FD" w:rsidRDefault="00740D6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46414FB9" w14:textId="77777777" w:rsidR="00E040FD" w:rsidRDefault="00740D6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529C3603" w14:textId="77777777" w:rsidR="00E040FD" w:rsidRDefault="00740D64">
            <w:pPr>
              <w:pStyle w:val="P68B1DB1-Normal8"/>
              <w:spacing w:after="0" w:line="240" w:lineRule="auto"/>
              <w:jc w:val="center"/>
              <w:rPr>
                <w:rFonts w:eastAsia="Times New Roman" w:cs="Calibri"/>
                <w:noProof/>
              </w:rPr>
            </w:pPr>
            <w:r>
              <w:rPr>
                <w:noProof/>
              </w:rPr>
              <w:t>KVARTAL 3</w:t>
            </w:r>
          </w:p>
        </w:tc>
        <w:tc>
          <w:tcPr>
            <w:tcW w:w="747" w:type="dxa"/>
            <w:shd w:val="clear" w:color="auto" w:fill="C4EFCE"/>
            <w:vAlign w:val="center"/>
            <w:hideMark/>
          </w:tcPr>
          <w:p w14:paraId="4DD0E7B5" w14:textId="77777777" w:rsidR="00E040FD" w:rsidRDefault="00740D6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6255E3B1" w14:textId="77777777" w:rsidR="00E040FD" w:rsidRDefault="00740D64">
            <w:pPr>
              <w:pStyle w:val="P68B1DB1-Normal8"/>
              <w:spacing w:after="0" w:line="240" w:lineRule="auto"/>
              <w:jc w:val="both"/>
              <w:rPr>
                <w:rFonts w:eastAsia="Times New Roman" w:cs="Calibri"/>
                <w:noProof/>
              </w:rPr>
            </w:pPr>
            <w:r>
              <w:rPr>
                <w:noProof/>
              </w:rPr>
              <w:t>BPF:s antagande av en investeringspolicy som omfattar alla finansiella instrument som avses i åtgärden. Investeringsstrategin ska utarbetas och antas av BPF i egenskap av förvaltningsorgan för det företag som innehar de innehav som följer av de finansieringsinstrument som genomförts för att stödja de företag som valts ut som stödmottagare. Investeringspolicyn ska återspegla de urvalskriterier/kriterier för stödberättigande och tillämpliga åtaganden/mål som fastställs i förordningen om rekapitaliseringsinstrumentet för företag i Azorerna.</w:t>
            </w:r>
          </w:p>
        </w:tc>
      </w:tr>
      <w:tr w:rsidR="00E040FD" w14:paraId="787BD1C2" w14:textId="77777777">
        <w:trPr>
          <w:trHeight w:val="684"/>
        </w:trPr>
        <w:tc>
          <w:tcPr>
            <w:tcW w:w="1134" w:type="dxa"/>
            <w:shd w:val="clear" w:color="auto" w:fill="C4EFCE"/>
            <w:vAlign w:val="center"/>
            <w:hideMark/>
          </w:tcPr>
          <w:p w14:paraId="4F244987" w14:textId="77777777" w:rsidR="00E040FD" w:rsidRDefault="00740D64">
            <w:pPr>
              <w:pStyle w:val="P68B1DB1-Normal7"/>
              <w:spacing w:after="0" w:line="240" w:lineRule="auto"/>
              <w:jc w:val="center"/>
              <w:rPr>
                <w:rFonts w:eastAsia="Times New Roman" w:cs="Calibri"/>
                <w:noProof/>
              </w:rPr>
            </w:pPr>
            <w:r>
              <w:rPr>
                <w:noProof/>
              </w:rPr>
              <w:t>5.17</w:t>
            </w:r>
          </w:p>
        </w:tc>
        <w:tc>
          <w:tcPr>
            <w:tcW w:w="1165" w:type="dxa"/>
            <w:shd w:val="clear" w:color="auto" w:fill="C4EFCE"/>
            <w:vAlign w:val="center"/>
            <w:hideMark/>
          </w:tcPr>
          <w:p w14:paraId="3E25B023" w14:textId="77777777" w:rsidR="00E040FD" w:rsidRDefault="00740D64">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46E2FE5D"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0D4512D9" w14:textId="77777777" w:rsidR="00E040FD" w:rsidRDefault="00740D64">
            <w:pPr>
              <w:pStyle w:val="P68B1DB1-Normal8"/>
              <w:spacing w:after="0" w:line="240" w:lineRule="auto"/>
              <w:jc w:val="center"/>
              <w:rPr>
                <w:rFonts w:eastAsia="Times New Roman" w:cs="Calibri"/>
                <w:noProof/>
              </w:rPr>
            </w:pPr>
            <w:r>
              <w:rPr>
                <w:noProof/>
              </w:rPr>
              <w:t xml:space="preserve">Tillhandahållande av totalt 125 000 000 EUR till regionens icke-finansiella företag i form av stöd till eget kapital och därmed likställt kapital, i linje med instrumentets investeringspolicy. Preliminärt uppskattas det att minst 300 företag ska få stöd genom att planen slutförs. </w:t>
            </w:r>
          </w:p>
        </w:tc>
        <w:tc>
          <w:tcPr>
            <w:tcW w:w="2029" w:type="dxa"/>
            <w:shd w:val="clear" w:color="auto" w:fill="C4EFCE"/>
            <w:vAlign w:val="center"/>
            <w:hideMark/>
          </w:tcPr>
          <w:p w14:paraId="2DF0D93D"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BCABACD" w14:textId="77777777" w:rsidR="00E040FD" w:rsidRDefault="00740D64">
            <w:pPr>
              <w:pStyle w:val="P68B1DB1-Normal8"/>
              <w:spacing w:after="0" w:line="240" w:lineRule="auto"/>
              <w:jc w:val="center"/>
              <w:rPr>
                <w:rFonts w:eastAsia="Times New Roman" w:cs="Calibri"/>
                <w:noProof/>
              </w:rPr>
            </w:pPr>
            <w:r>
              <w:rPr>
                <w:noProof/>
              </w:rPr>
              <w:t>EURO</w:t>
            </w:r>
          </w:p>
        </w:tc>
        <w:tc>
          <w:tcPr>
            <w:tcW w:w="982" w:type="dxa"/>
            <w:shd w:val="clear" w:color="auto" w:fill="C4EFCE"/>
            <w:vAlign w:val="center"/>
            <w:hideMark/>
          </w:tcPr>
          <w:p w14:paraId="7B6D0271"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0039D31" w14:textId="77777777" w:rsidR="00E040FD" w:rsidRDefault="00740D64">
            <w:pPr>
              <w:pStyle w:val="P68B1DB1-Normal8"/>
              <w:spacing w:after="0" w:line="240" w:lineRule="auto"/>
              <w:jc w:val="center"/>
              <w:rPr>
                <w:rFonts w:eastAsia="Times New Roman" w:cs="Calibri"/>
                <w:noProof/>
              </w:rPr>
            </w:pPr>
            <w:r>
              <w:rPr>
                <w:noProof/>
              </w:rPr>
              <w:t xml:space="preserve">125 000 000 </w:t>
            </w:r>
          </w:p>
        </w:tc>
        <w:tc>
          <w:tcPr>
            <w:tcW w:w="514" w:type="dxa"/>
            <w:shd w:val="clear" w:color="auto" w:fill="C4EFCE"/>
            <w:vAlign w:val="center"/>
            <w:hideMark/>
          </w:tcPr>
          <w:p w14:paraId="45B22942"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5EE59541" w14:textId="77777777" w:rsidR="00E040FD" w:rsidRDefault="00740D6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289BB502" w14:textId="31A7E732" w:rsidR="00E040FD" w:rsidRDefault="00740D64">
            <w:pPr>
              <w:pStyle w:val="P68B1DB1-Normal8"/>
              <w:spacing w:after="0" w:line="240" w:lineRule="auto"/>
              <w:jc w:val="both"/>
              <w:rPr>
                <w:rFonts w:eastAsia="Times New Roman" w:cs="Calibri"/>
                <w:noProof/>
              </w:rPr>
            </w:pPr>
            <w:r>
              <w:rPr>
                <w:noProof/>
              </w:rPr>
              <w:t xml:space="preserve">Tillhandahållande av totalt 125 000 000 EUR till regionens icke-finansiella företag i form av stöd till eget kapital och därmed likställt kapital, i linje med den investeringspolitik som antagits för rekapitaliseringsinstrumentet för företag på Azorerna. </w:t>
            </w:r>
            <w:r>
              <w:rPr>
                <w:i/>
                <w:noProof/>
              </w:rPr>
              <w:t>Banco Portugues de Fomento</w:t>
            </w:r>
            <w:r>
              <w:rPr>
                <w:noProof/>
              </w:rPr>
              <w:t xml:space="preserve"> ska ansvara för rapporteringen om de transaktioner som utförs. I denna rapport ska, utöver de finansiella rörelserna, en förteckning över de stödmottagande företagen, deras skatteregistreringsnummer och CAE, datum för kontraktet, den finansiering som beviljats, vilken typ av finansiellt instrument som använts och, i förekommande fall, den berörda finansiella enheten offentliggöras.</w:t>
            </w:r>
          </w:p>
        </w:tc>
      </w:tr>
      <w:tr w:rsidR="00E040FD" w14:paraId="22040B4A" w14:textId="77777777">
        <w:trPr>
          <w:trHeight w:val="1480"/>
        </w:trPr>
        <w:tc>
          <w:tcPr>
            <w:tcW w:w="1134" w:type="dxa"/>
            <w:shd w:val="clear" w:color="auto" w:fill="C4EFCE"/>
            <w:vAlign w:val="center"/>
            <w:hideMark/>
          </w:tcPr>
          <w:p w14:paraId="412AFCFB" w14:textId="77777777" w:rsidR="00E040FD" w:rsidRDefault="00740D64">
            <w:pPr>
              <w:pStyle w:val="P68B1DB1-Normal7"/>
              <w:spacing w:after="0" w:line="240" w:lineRule="auto"/>
              <w:jc w:val="center"/>
              <w:rPr>
                <w:rFonts w:eastAsia="Times New Roman" w:cs="Calibri"/>
                <w:noProof/>
              </w:rPr>
            </w:pPr>
            <w:r>
              <w:rPr>
                <w:noProof/>
              </w:rPr>
              <w:t>5.18</w:t>
            </w:r>
          </w:p>
        </w:tc>
        <w:tc>
          <w:tcPr>
            <w:tcW w:w="1165" w:type="dxa"/>
            <w:shd w:val="clear" w:color="auto" w:fill="C4EFCE"/>
            <w:vAlign w:val="center"/>
            <w:hideMark/>
          </w:tcPr>
          <w:p w14:paraId="29380C9D" w14:textId="77777777" w:rsidR="00E040FD" w:rsidRDefault="00740D64">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6648BE4C" w14:textId="77777777" w:rsidR="00E040FD" w:rsidRDefault="00740D6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0FB94C98" w14:textId="77777777" w:rsidR="00E040FD" w:rsidRDefault="00740D64">
            <w:pPr>
              <w:pStyle w:val="P68B1DB1-Normal8"/>
              <w:spacing w:after="0" w:line="240" w:lineRule="auto"/>
              <w:jc w:val="center"/>
              <w:rPr>
                <w:rFonts w:eastAsia="Times New Roman" w:cs="Calibri"/>
                <w:noProof/>
              </w:rPr>
            </w:pPr>
            <w:r>
              <w:rPr>
                <w:noProof/>
              </w:rPr>
              <w:t>Offentliggörande av programmet för innovation och digitalisering av jordbruket i Azorerna</w:t>
            </w:r>
          </w:p>
        </w:tc>
        <w:tc>
          <w:tcPr>
            <w:tcW w:w="2029" w:type="dxa"/>
            <w:shd w:val="clear" w:color="auto" w:fill="C4EFCE"/>
            <w:vAlign w:val="center"/>
            <w:hideMark/>
          </w:tcPr>
          <w:p w14:paraId="52BC14AC" w14:textId="77777777" w:rsidR="00E040FD" w:rsidRDefault="00740D64">
            <w:pPr>
              <w:pStyle w:val="P68B1DB1-Normal8"/>
              <w:spacing w:after="0" w:line="240" w:lineRule="auto"/>
              <w:jc w:val="center"/>
              <w:rPr>
                <w:rFonts w:eastAsia="Times New Roman" w:cs="Calibri"/>
                <w:noProof/>
              </w:rPr>
            </w:pPr>
            <w:r>
              <w:rPr>
                <w:noProof/>
              </w:rPr>
              <w:t>Offentliggörande av programmet för innovation och digitalisering av jordbruket i Azorerna</w:t>
            </w:r>
          </w:p>
        </w:tc>
        <w:tc>
          <w:tcPr>
            <w:tcW w:w="982" w:type="dxa"/>
            <w:shd w:val="clear" w:color="auto" w:fill="C4EFCE"/>
            <w:vAlign w:val="center"/>
            <w:hideMark/>
          </w:tcPr>
          <w:p w14:paraId="1471DFD5"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FA49D95" w14:textId="77777777" w:rsidR="00E040FD" w:rsidRDefault="00740D6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193E479B" w14:textId="77777777" w:rsidR="00E040FD" w:rsidRDefault="00740D6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054DBD22" w14:textId="77777777" w:rsidR="00E040FD" w:rsidRDefault="00740D64">
            <w:pPr>
              <w:pStyle w:val="P68B1DB1-Normal8"/>
              <w:spacing w:after="0" w:line="240" w:lineRule="auto"/>
              <w:jc w:val="center"/>
              <w:rPr>
                <w:rFonts w:eastAsia="Times New Roman" w:cs="Calibri"/>
                <w:noProof/>
              </w:rPr>
            </w:pPr>
            <w:r>
              <w:rPr>
                <w:noProof/>
              </w:rPr>
              <w:t>KVARTAL 2</w:t>
            </w:r>
          </w:p>
        </w:tc>
        <w:tc>
          <w:tcPr>
            <w:tcW w:w="747" w:type="dxa"/>
            <w:shd w:val="clear" w:color="auto" w:fill="C4EFCE"/>
            <w:vAlign w:val="center"/>
            <w:hideMark/>
          </w:tcPr>
          <w:p w14:paraId="125D8132" w14:textId="77777777" w:rsidR="00E040FD" w:rsidRDefault="00740D64">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2832055A" w14:textId="77777777" w:rsidR="00E040FD" w:rsidRDefault="00740D64">
            <w:pPr>
              <w:pStyle w:val="P68B1DB1-Normal8"/>
              <w:spacing w:after="0" w:line="240" w:lineRule="auto"/>
              <w:jc w:val="both"/>
              <w:rPr>
                <w:rFonts w:eastAsia="Times New Roman" w:cs="Calibri"/>
                <w:noProof/>
              </w:rPr>
            </w:pPr>
            <w:r>
              <w:rPr>
                <w:noProof/>
              </w:rPr>
              <w:t>Offentliggörande av ett program för innovation och digitalisering av jordbruket på Azorerna, inbegripet en plan för utveckling av ett övervakningsnätverk och jordbruksmeddelanden på önivå samt en plan för övergången till digital verklighet och precisionsjordbruk.</w:t>
            </w:r>
          </w:p>
        </w:tc>
      </w:tr>
      <w:tr w:rsidR="00E040FD" w14:paraId="66C0B1D9" w14:textId="77777777">
        <w:trPr>
          <w:trHeight w:val="1446"/>
        </w:trPr>
        <w:tc>
          <w:tcPr>
            <w:tcW w:w="1134" w:type="dxa"/>
            <w:shd w:val="clear" w:color="auto" w:fill="C4EFCE"/>
            <w:vAlign w:val="center"/>
            <w:hideMark/>
          </w:tcPr>
          <w:p w14:paraId="1031D533" w14:textId="77777777" w:rsidR="00E040FD" w:rsidRDefault="00740D64">
            <w:pPr>
              <w:pStyle w:val="P68B1DB1-Normal7"/>
              <w:spacing w:after="0" w:line="240" w:lineRule="auto"/>
              <w:jc w:val="center"/>
              <w:rPr>
                <w:rFonts w:eastAsia="Times New Roman" w:cs="Calibri"/>
                <w:noProof/>
              </w:rPr>
            </w:pPr>
            <w:r>
              <w:rPr>
                <w:noProof/>
              </w:rPr>
              <w:t>5.19</w:t>
            </w:r>
          </w:p>
        </w:tc>
        <w:tc>
          <w:tcPr>
            <w:tcW w:w="1165" w:type="dxa"/>
            <w:shd w:val="clear" w:color="auto" w:fill="C4EFCE"/>
            <w:vAlign w:val="center"/>
            <w:hideMark/>
          </w:tcPr>
          <w:p w14:paraId="62CCCBA9" w14:textId="77777777" w:rsidR="00E040FD" w:rsidRDefault="00740D64">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65ADECD5"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C638A6F" w14:textId="77777777" w:rsidR="00E040FD" w:rsidRDefault="00740D64">
            <w:pPr>
              <w:pStyle w:val="P68B1DB1-Normal8"/>
              <w:spacing w:after="0" w:line="240" w:lineRule="auto"/>
              <w:jc w:val="center"/>
              <w:rPr>
                <w:rFonts w:eastAsia="Times New Roman" w:cs="Calibri"/>
                <w:noProof/>
              </w:rPr>
            </w:pPr>
            <w:r>
              <w:rPr>
                <w:noProof/>
              </w:rPr>
              <w:t>Nya (för att ersätta föråldrade strukturer) eller omkvalificerade strukturer som ansvarar för slakt av djur samt certifiering av mjölkkvalitet och livsmedelssäkerhet</w:t>
            </w:r>
          </w:p>
        </w:tc>
        <w:tc>
          <w:tcPr>
            <w:tcW w:w="2029" w:type="dxa"/>
            <w:shd w:val="clear" w:color="auto" w:fill="C4EFCE"/>
            <w:vAlign w:val="center"/>
            <w:hideMark/>
          </w:tcPr>
          <w:p w14:paraId="71C2A31B"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2F83A65"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17E50AA3"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48D5CFCE" w14:textId="77777777" w:rsidR="00E040FD" w:rsidRDefault="00740D64">
            <w:pPr>
              <w:pStyle w:val="P68B1DB1-Normal8"/>
              <w:spacing w:after="0" w:line="240" w:lineRule="auto"/>
              <w:jc w:val="center"/>
              <w:rPr>
                <w:rFonts w:eastAsia="Times New Roman" w:cs="Calibri"/>
                <w:noProof/>
              </w:rPr>
            </w:pPr>
            <w:r>
              <w:rPr>
                <w:noProof/>
              </w:rPr>
              <w:t>3</w:t>
            </w:r>
          </w:p>
        </w:tc>
        <w:tc>
          <w:tcPr>
            <w:tcW w:w="514" w:type="dxa"/>
            <w:shd w:val="clear" w:color="auto" w:fill="C4EFCE"/>
            <w:vAlign w:val="center"/>
            <w:hideMark/>
          </w:tcPr>
          <w:p w14:paraId="4D91DB57" w14:textId="115D2735"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6F9879B6" w14:textId="3DB5DF04" w:rsidR="00E040FD" w:rsidRDefault="00740D6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4782248B" w14:textId="77777777" w:rsidR="00E040FD" w:rsidRDefault="00740D64">
            <w:pPr>
              <w:pStyle w:val="P68B1DB1-Normal8"/>
              <w:spacing w:after="0" w:line="240" w:lineRule="auto"/>
              <w:jc w:val="both"/>
              <w:rPr>
                <w:rFonts w:eastAsia="Times New Roman" w:cs="Calibri"/>
                <w:noProof/>
              </w:rPr>
            </w:pPr>
            <w:r>
              <w:rPr>
                <w:noProof/>
              </w:rPr>
              <w:t>Slutförande av arbete med nya (för att ersätta föråldrade strukturer) eller omkvalificerade strukturer som ansvarar för djurslakt, certifiering av mjölkkvalitet och livsmedelssäkerhet, för att svara på utvecklingen och den ökande efterfrågan på marknaderna, inklusive investeringar i innovation av produktions- och organisationsprocesser, i den gröna omställningen, den digitala omställningen och djurens välbefinnande.</w:t>
            </w:r>
          </w:p>
        </w:tc>
      </w:tr>
      <w:tr w:rsidR="00E040FD" w14:paraId="0FE8C46B" w14:textId="77777777">
        <w:trPr>
          <w:trHeight w:val="1550"/>
        </w:trPr>
        <w:tc>
          <w:tcPr>
            <w:tcW w:w="1134" w:type="dxa"/>
            <w:shd w:val="clear" w:color="auto" w:fill="C4EFCE"/>
            <w:vAlign w:val="center"/>
            <w:hideMark/>
          </w:tcPr>
          <w:p w14:paraId="0973CB5F" w14:textId="77777777" w:rsidR="00E040FD" w:rsidRDefault="00740D64">
            <w:pPr>
              <w:pStyle w:val="P68B1DB1-Normal7"/>
              <w:spacing w:after="0" w:line="240" w:lineRule="auto"/>
              <w:jc w:val="center"/>
              <w:rPr>
                <w:rFonts w:eastAsia="Times New Roman" w:cs="Calibri"/>
                <w:noProof/>
              </w:rPr>
            </w:pPr>
            <w:r>
              <w:rPr>
                <w:noProof/>
              </w:rPr>
              <w:t>5.20</w:t>
            </w:r>
          </w:p>
        </w:tc>
        <w:tc>
          <w:tcPr>
            <w:tcW w:w="1165" w:type="dxa"/>
            <w:shd w:val="clear" w:color="auto" w:fill="C4EFCE"/>
            <w:vAlign w:val="center"/>
            <w:hideMark/>
          </w:tcPr>
          <w:p w14:paraId="3A4DA074" w14:textId="77777777" w:rsidR="00E040FD" w:rsidRDefault="00740D64">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4F114AAC"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656A7BBA" w14:textId="77777777" w:rsidR="00E040FD" w:rsidRDefault="00740D64">
            <w:pPr>
              <w:pStyle w:val="P68B1DB1-Normal8"/>
              <w:spacing w:after="0" w:line="240" w:lineRule="auto"/>
              <w:jc w:val="center"/>
              <w:rPr>
                <w:rFonts w:eastAsia="Times New Roman" w:cs="Calibri"/>
                <w:noProof/>
              </w:rPr>
            </w:pPr>
            <w:r>
              <w:rPr>
                <w:noProof/>
              </w:rPr>
              <w:t>Projekt som får stöd inom ramen för stödordningar för omstrukturering av företag inom bearbetnings- och saluföringssektorn</w:t>
            </w:r>
          </w:p>
        </w:tc>
        <w:tc>
          <w:tcPr>
            <w:tcW w:w="2029" w:type="dxa"/>
            <w:shd w:val="clear" w:color="auto" w:fill="C4EFCE"/>
            <w:vAlign w:val="center"/>
            <w:hideMark/>
          </w:tcPr>
          <w:p w14:paraId="41198735"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B64C0AB"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33400D61"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3B4E10FD" w14:textId="77777777" w:rsidR="00E040FD" w:rsidRDefault="00740D64">
            <w:pPr>
              <w:pStyle w:val="P68B1DB1-Normal8"/>
              <w:spacing w:after="0" w:line="240" w:lineRule="auto"/>
              <w:jc w:val="center"/>
              <w:rPr>
                <w:rFonts w:eastAsia="Times New Roman" w:cs="Calibri"/>
                <w:noProof/>
              </w:rPr>
            </w:pPr>
            <w:r>
              <w:rPr>
                <w:noProof/>
              </w:rPr>
              <w:t>9</w:t>
            </w:r>
          </w:p>
        </w:tc>
        <w:tc>
          <w:tcPr>
            <w:tcW w:w="514" w:type="dxa"/>
            <w:shd w:val="clear" w:color="auto" w:fill="C4EFCE"/>
            <w:vAlign w:val="center"/>
            <w:hideMark/>
          </w:tcPr>
          <w:p w14:paraId="3CEE9014"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271A24C3" w14:textId="77777777" w:rsidR="00E040FD" w:rsidRDefault="00740D6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310109FC" w14:textId="77777777" w:rsidR="00E040FD" w:rsidRDefault="00740D64">
            <w:pPr>
              <w:pStyle w:val="P68B1DB1-Normal8"/>
              <w:spacing w:after="0" w:line="240" w:lineRule="auto"/>
              <w:jc w:val="both"/>
              <w:rPr>
                <w:rFonts w:eastAsia="Times New Roman" w:cs="Calibri"/>
                <w:noProof/>
              </w:rPr>
            </w:pPr>
            <w:r>
              <w:rPr>
                <w:noProof/>
              </w:rPr>
              <w:t>Projekt som godkänts och kontrakterats inom ramen för stödordningar för innovation i produkter och processer för produktion och organisation, grön omställning och digital omställning, som syftar till att omstrukturera företag inom sektorn för bearbetning och saluföring av jordbruksprodukter.</w:t>
            </w:r>
          </w:p>
        </w:tc>
      </w:tr>
      <w:tr w:rsidR="00E040FD" w14:paraId="0924F5C3" w14:textId="77777777">
        <w:trPr>
          <w:trHeight w:val="971"/>
        </w:trPr>
        <w:tc>
          <w:tcPr>
            <w:tcW w:w="1134" w:type="dxa"/>
            <w:shd w:val="clear" w:color="auto" w:fill="C4EFCE"/>
            <w:vAlign w:val="center"/>
            <w:hideMark/>
          </w:tcPr>
          <w:p w14:paraId="6FC3F55D" w14:textId="77777777" w:rsidR="00E040FD" w:rsidRDefault="00740D64">
            <w:pPr>
              <w:pStyle w:val="P68B1DB1-Normal7"/>
              <w:spacing w:after="0" w:line="240" w:lineRule="auto"/>
              <w:jc w:val="center"/>
              <w:rPr>
                <w:rFonts w:eastAsia="Times New Roman" w:cs="Calibri"/>
                <w:noProof/>
              </w:rPr>
            </w:pPr>
            <w:r>
              <w:rPr>
                <w:noProof/>
              </w:rPr>
              <w:t>5.21</w:t>
            </w:r>
          </w:p>
        </w:tc>
        <w:tc>
          <w:tcPr>
            <w:tcW w:w="1165" w:type="dxa"/>
            <w:shd w:val="clear" w:color="auto" w:fill="C4EFCE"/>
            <w:vAlign w:val="center"/>
            <w:hideMark/>
          </w:tcPr>
          <w:p w14:paraId="4BA8EF57" w14:textId="77777777" w:rsidR="00E040FD" w:rsidRDefault="00740D64">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2AF2AE81"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B1D52CC" w14:textId="77777777" w:rsidR="00E040FD" w:rsidRDefault="00740D64">
            <w:pPr>
              <w:pStyle w:val="P68B1DB1-Normal8"/>
              <w:spacing w:after="0" w:line="240" w:lineRule="auto"/>
              <w:jc w:val="center"/>
              <w:rPr>
                <w:rFonts w:eastAsia="Times New Roman" w:cs="Calibri"/>
                <w:noProof/>
              </w:rPr>
            </w:pPr>
            <w:r>
              <w:rPr>
                <w:noProof/>
              </w:rPr>
              <w:t>Projekt som får stöd inom ramen för stödsystem för omstrukturering av jordbruksföretag</w:t>
            </w:r>
          </w:p>
        </w:tc>
        <w:tc>
          <w:tcPr>
            <w:tcW w:w="2029" w:type="dxa"/>
            <w:shd w:val="clear" w:color="auto" w:fill="C4EFCE"/>
            <w:vAlign w:val="center"/>
            <w:hideMark/>
          </w:tcPr>
          <w:p w14:paraId="6EFE1DF8"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25D0A656"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5089F2CE"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5734A034" w14:textId="30F54B9E" w:rsidR="00E040FD" w:rsidRDefault="00740D64">
            <w:pPr>
              <w:pStyle w:val="P68B1DB1-Normal8"/>
              <w:spacing w:after="0" w:line="240" w:lineRule="auto"/>
              <w:jc w:val="center"/>
              <w:rPr>
                <w:rFonts w:eastAsia="Times New Roman" w:cs="Calibri"/>
                <w:noProof/>
              </w:rPr>
            </w:pPr>
            <w:r>
              <w:rPr>
                <w:noProof/>
              </w:rPr>
              <w:t>178</w:t>
            </w:r>
          </w:p>
        </w:tc>
        <w:tc>
          <w:tcPr>
            <w:tcW w:w="514" w:type="dxa"/>
            <w:shd w:val="clear" w:color="auto" w:fill="C4EFCE"/>
            <w:vAlign w:val="center"/>
            <w:hideMark/>
          </w:tcPr>
          <w:p w14:paraId="18F2BCCA"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33415951" w14:textId="77777777" w:rsidR="00E040FD" w:rsidRDefault="00740D6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6D0C3A49" w14:textId="77777777" w:rsidR="00E040FD" w:rsidRDefault="00740D64">
            <w:pPr>
              <w:pStyle w:val="P68B1DB1-Normal8"/>
              <w:spacing w:after="0" w:line="240" w:lineRule="auto"/>
              <w:jc w:val="both"/>
              <w:rPr>
                <w:rFonts w:eastAsia="Times New Roman" w:cs="Calibri"/>
                <w:noProof/>
              </w:rPr>
            </w:pPr>
            <w:r>
              <w:rPr>
                <w:noProof/>
              </w:rPr>
              <w:t>Projekt som godkänts och kontrakterats inom ramen för stödsystem för innovation i produkter och processer för produktion och organisation, grön omställning och digital omställning, som syftar till att omstrukturera jordbruksföretag.</w:t>
            </w:r>
          </w:p>
        </w:tc>
      </w:tr>
      <w:tr w:rsidR="00E040FD" w14:paraId="7B64C750" w14:textId="77777777">
        <w:trPr>
          <w:trHeight w:val="67"/>
        </w:trPr>
        <w:tc>
          <w:tcPr>
            <w:tcW w:w="1134" w:type="dxa"/>
            <w:shd w:val="clear" w:color="auto" w:fill="C4EFCE"/>
            <w:vAlign w:val="center"/>
            <w:hideMark/>
          </w:tcPr>
          <w:p w14:paraId="69F4FB66" w14:textId="77777777" w:rsidR="00E040FD" w:rsidRDefault="00740D64">
            <w:pPr>
              <w:pStyle w:val="P68B1DB1-Normal7"/>
              <w:spacing w:after="0" w:line="240" w:lineRule="auto"/>
              <w:jc w:val="center"/>
              <w:rPr>
                <w:rFonts w:eastAsia="Times New Roman" w:cs="Calibri"/>
                <w:noProof/>
              </w:rPr>
            </w:pPr>
            <w:r>
              <w:rPr>
                <w:noProof/>
              </w:rPr>
              <w:t>5.22</w:t>
            </w:r>
          </w:p>
        </w:tc>
        <w:tc>
          <w:tcPr>
            <w:tcW w:w="1165" w:type="dxa"/>
            <w:shd w:val="clear" w:color="auto" w:fill="C4EFCE"/>
            <w:vAlign w:val="center"/>
            <w:hideMark/>
          </w:tcPr>
          <w:p w14:paraId="765D75C8" w14:textId="77777777" w:rsidR="00E040FD" w:rsidRDefault="00740D64">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7A7C71EA" w14:textId="77777777" w:rsidR="00E040FD" w:rsidRDefault="00740D6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32B0C61" w14:textId="77777777" w:rsidR="00E040FD" w:rsidRDefault="00740D64">
            <w:pPr>
              <w:pStyle w:val="P68B1DB1-Normal8"/>
              <w:spacing w:after="0" w:line="240" w:lineRule="auto"/>
              <w:jc w:val="center"/>
              <w:rPr>
                <w:rFonts w:eastAsia="Times New Roman" w:cs="Calibri"/>
                <w:noProof/>
              </w:rPr>
            </w:pPr>
            <w:r>
              <w:rPr>
                <w:noProof/>
              </w:rPr>
              <w:t>Jordbruksföretag som får specialiserat tekniskt stöd inom ramen för programmet för jordbrukares egenmakt</w:t>
            </w:r>
          </w:p>
        </w:tc>
        <w:tc>
          <w:tcPr>
            <w:tcW w:w="2029" w:type="dxa"/>
            <w:shd w:val="clear" w:color="auto" w:fill="C4EFCE"/>
            <w:vAlign w:val="center"/>
            <w:hideMark/>
          </w:tcPr>
          <w:p w14:paraId="7586AE24" w14:textId="77777777" w:rsidR="00E040FD" w:rsidRDefault="00740D6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AD3912A" w14:textId="77777777" w:rsidR="00E040FD" w:rsidRDefault="00740D64">
            <w:pPr>
              <w:pStyle w:val="P68B1DB1-Normal8"/>
              <w:spacing w:after="0" w:line="240" w:lineRule="auto"/>
              <w:jc w:val="center"/>
              <w:rPr>
                <w:rFonts w:eastAsia="Times New Roman" w:cs="Calibri"/>
                <w:noProof/>
              </w:rPr>
            </w:pPr>
            <w:r>
              <w:rPr>
                <w:noProof/>
              </w:rPr>
              <w:t>Antal</w:t>
            </w:r>
          </w:p>
        </w:tc>
        <w:tc>
          <w:tcPr>
            <w:tcW w:w="982" w:type="dxa"/>
            <w:shd w:val="clear" w:color="auto" w:fill="C4EFCE"/>
            <w:vAlign w:val="center"/>
            <w:hideMark/>
          </w:tcPr>
          <w:p w14:paraId="3174DC4A" w14:textId="77777777" w:rsidR="00E040FD" w:rsidRDefault="00740D6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B33C92A" w14:textId="77777777" w:rsidR="00E040FD" w:rsidRDefault="00740D64">
            <w:pPr>
              <w:pStyle w:val="P68B1DB1-Normal8"/>
              <w:spacing w:after="0" w:line="240" w:lineRule="auto"/>
              <w:jc w:val="center"/>
              <w:rPr>
                <w:rFonts w:eastAsia="Times New Roman" w:cs="Calibri"/>
                <w:noProof/>
              </w:rPr>
            </w:pPr>
            <w:r>
              <w:rPr>
                <w:noProof/>
              </w:rPr>
              <w:t>2 000</w:t>
            </w:r>
          </w:p>
        </w:tc>
        <w:tc>
          <w:tcPr>
            <w:tcW w:w="514" w:type="dxa"/>
            <w:shd w:val="clear" w:color="auto" w:fill="C4EFCE"/>
            <w:vAlign w:val="center"/>
            <w:hideMark/>
          </w:tcPr>
          <w:p w14:paraId="3CB938A2" w14:textId="77777777" w:rsidR="00E040FD" w:rsidRDefault="00740D64">
            <w:pPr>
              <w:pStyle w:val="P68B1DB1-Normal8"/>
              <w:spacing w:after="0" w:line="240" w:lineRule="auto"/>
              <w:jc w:val="center"/>
              <w:rPr>
                <w:rFonts w:eastAsia="Times New Roman" w:cs="Calibri"/>
                <w:noProof/>
              </w:rPr>
            </w:pPr>
            <w:r>
              <w:rPr>
                <w:noProof/>
              </w:rPr>
              <w:t>KVARTAL 4</w:t>
            </w:r>
          </w:p>
        </w:tc>
        <w:tc>
          <w:tcPr>
            <w:tcW w:w="747" w:type="dxa"/>
            <w:shd w:val="clear" w:color="auto" w:fill="C4EFCE"/>
            <w:vAlign w:val="center"/>
            <w:hideMark/>
          </w:tcPr>
          <w:p w14:paraId="28BE79BE" w14:textId="77777777" w:rsidR="00E040FD" w:rsidRDefault="00740D6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2E512E2A" w14:textId="77777777" w:rsidR="00E040FD" w:rsidRDefault="00740D64">
            <w:pPr>
              <w:pStyle w:val="P68B1DB1-Normal8"/>
              <w:spacing w:after="0" w:line="240" w:lineRule="auto"/>
              <w:jc w:val="both"/>
              <w:rPr>
                <w:rFonts w:eastAsia="Times New Roman" w:cs="Calibri"/>
                <w:noProof/>
              </w:rPr>
            </w:pPr>
            <w:r>
              <w:rPr>
                <w:noProof/>
              </w:rPr>
              <w:t>Jordbruksföretag som får specialiserat tekniskt stöd som en del av de åtgärder som ska genomföras inom ramen för programmet för ökat medinflytande för jordbrukare.</w:t>
            </w:r>
          </w:p>
        </w:tc>
      </w:tr>
      <w:tr w:rsidR="00E040FD" w14:paraId="6B3FA3FC" w14:textId="77777777">
        <w:trPr>
          <w:trHeight w:val="2709"/>
        </w:trPr>
        <w:tc>
          <w:tcPr>
            <w:tcW w:w="1134" w:type="dxa"/>
            <w:shd w:val="clear" w:color="auto" w:fill="C4EFCE"/>
            <w:vAlign w:val="center"/>
          </w:tcPr>
          <w:p w14:paraId="54E7BC25" w14:textId="62E6C5C0" w:rsidR="00E040FD" w:rsidRDefault="00740D64">
            <w:pPr>
              <w:pStyle w:val="P68B1DB1-Normal11"/>
              <w:spacing w:after="0" w:line="240" w:lineRule="auto"/>
              <w:jc w:val="center"/>
              <w:rPr>
                <w:rFonts w:eastAsia="Times New Roman" w:cstheme="minorHAnsi"/>
                <w:noProof/>
              </w:rPr>
            </w:pPr>
            <w:r>
              <w:rPr>
                <w:noProof/>
              </w:rPr>
              <w:t>5.33</w:t>
            </w:r>
          </w:p>
        </w:tc>
        <w:tc>
          <w:tcPr>
            <w:tcW w:w="1165" w:type="dxa"/>
            <w:shd w:val="clear" w:color="auto" w:fill="C4EFCE"/>
            <w:vAlign w:val="center"/>
          </w:tcPr>
          <w:p w14:paraId="5929BA6C" w14:textId="428A8C0E" w:rsidR="00E040FD" w:rsidRDefault="00740D64">
            <w:pPr>
              <w:pStyle w:val="P68B1DB1-Normal12"/>
              <w:spacing w:after="0" w:line="240" w:lineRule="auto"/>
              <w:jc w:val="center"/>
              <w:rPr>
                <w:rFonts w:eastAsia="Times New Roman" w:cstheme="minorHAnsi"/>
                <w:noProof/>
              </w:rPr>
            </w:pPr>
            <w:r>
              <w:rPr>
                <w:noProof/>
              </w:rPr>
              <w:t>RE-C05-i07-RAM</w:t>
            </w:r>
          </w:p>
        </w:tc>
        <w:tc>
          <w:tcPr>
            <w:tcW w:w="976" w:type="dxa"/>
            <w:shd w:val="clear" w:color="auto" w:fill="C4EFCE"/>
            <w:vAlign w:val="center"/>
          </w:tcPr>
          <w:p w14:paraId="30E1990D" w14:textId="582BDEE3" w:rsidR="00E040FD" w:rsidRDefault="00740D64">
            <w:pPr>
              <w:pStyle w:val="P68B1DB1-Normal12"/>
              <w:spacing w:after="0" w:line="240" w:lineRule="auto"/>
              <w:jc w:val="center"/>
              <w:rPr>
                <w:rFonts w:eastAsia="Times New Roman" w:cstheme="minorHAnsi"/>
                <w:noProof/>
              </w:rPr>
            </w:pPr>
            <w:r>
              <w:rPr>
                <w:noProof/>
              </w:rPr>
              <w:t>M</w:t>
            </w:r>
          </w:p>
        </w:tc>
        <w:tc>
          <w:tcPr>
            <w:tcW w:w="1668" w:type="dxa"/>
            <w:shd w:val="clear" w:color="auto" w:fill="C4EFCE"/>
            <w:vAlign w:val="center"/>
          </w:tcPr>
          <w:p w14:paraId="59B95D11" w14:textId="5995F441" w:rsidR="00E040FD" w:rsidRDefault="00740D64">
            <w:pPr>
              <w:pStyle w:val="P68B1DB1-Bodytext1013"/>
              <w:jc w:val="center"/>
              <w:rPr>
                <w:rFonts w:cstheme="minorHAnsi"/>
                <w:noProof/>
              </w:rPr>
            </w:pPr>
            <w:r>
              <w:rPr>
                <w:noProof/>
              </w:rPr>
              <w:t>Undertecknande av genomförandeavtalet (protokollet) mellan Banco Português de Fomento, Instituto de Desenvolvimento Empresarial och utvalda finansiella intermediärer</w:t>
            </w:r>
          </w:p>
        </w:tc>
        <w:tc>
          <w:tcPr>
            <w:tcW w:w="2029" w:type="dxa"/>
            <w:shd w:val="clear" w:color="auto" w:fill="C4EFCE"/>
            <w:vAlign w:val="center"/>
          </w:tcPr>
          <w:p w14:paraId="37342ABF" w14:textId="1772DDF4" w:rsidR="00E040FD" w:rsidRDefault="00740D64">
            <w:pPr>
              <w:pStyle w:val="P68B1DB1-Normal12"/>
              <w:spacing w:after="0" w:line="240" w:lineRule="auto"/>
              <w:jc w:val="center"/>
              <w:rPr>
                <w:rFonts w:eastAsia="Times New Roman" w:cstheme="minorHAnsi"/>
                <w:noProof/>
              </w:rPr>
            </w:pPr>
            <w:r>
              <w:rPr>
                <w:noProof/>
              </w:rPr>
              <w:t>Undertecknande av genomförandeavtalet (protokollet) mellan Banco Português de Fomento, Instituto de Desenvolvimento Empresarial och utvalda finansiella intermediärer, som omfattar alla finansieringsinstrument som planeras i åtgärden</w:t>
            </w:r>
          </w:p>
        </w:tc>
        <w:tc>
          <w:tcPr>
            <w:tcW w:w="982" w:type="dxa"/>
            <w:shd w:val="clear" w:color="auto" w:fill="C4EFCE"/>
            <w:vAlign w:val="center"/>
          </w:tcPr>
          <w:p w14:paraId="6758A57F" w14:textId="77777777" w:rsidR="00E040FD" w:rsidRDefault="00E040FD">
            <w:pPr>
              <w:spacing w:after="0" w:line="240" w:lineRule="auto"/>
              <w:jc w:val="center"/>
              <w:rPr>
                <w:rFonts w:eastAsia="Times New Roman" w:cstheme="minorHAnsi"/>
                <w:noProof/>
                <w:sz w:val="16"/>
              </w:rPr>
            </w:pPr>
          </w:p>
        </w:tc>
        <w:tc>
          <w:tcPr>
            <w:tcW w:w="982" w:type="dxa"/>
            <w:shd w:val="clear" w:color="auto" w:fill="C4EFCE"/>
            <w:vAlign w:val="center"/>
          </w:tcPr>
          <w:p w14:paraId="4ED1D73F" w14:textId="77777777" w:rsidR="00E040FD" w:rsidRDefault="00E040FD">
            <w:pPr>
              <w:spacing w:after="0" w:line="240" w:lineRule="auto"/>
              <w:jc w:val="center"/>
              <w:rPr>
                <w:rFonts w:eastAsia="Times New Roman" w:cstheme="minorHAnsi"/>
                <w:noProof/>
                <w:sz w:val="16"/>
              </w:rPr>
            </w:pPr>
          </w:p>
        </w:tc>
        <w:tc>
          <w:tcPr>
            <w:tcW w:w="626" w:type="dxa"/>
            <w:shd w:val="clear" w:color="auto" w:fill="C4EFCE"/>
            <w:vAlign w:val="center"/>
          </w:tcPr>
          <w:p w14:paraId="633B6B1E" w14:textId="77777777" w:rsidR="00E040FD" w:rsidRDefault="00E040FD">
            <w:pPr>
              <w:spacing w:after="0" w:line="240" w:lineRule="auto"/>
              <w:jc w:val="center"/>
              <w:rPr>
                <w:rFonts w:eastAsia="Times New Roman" w:cstheme="minorHAnsi"/>
                <w:noProof/>
                <w:sz w:val="16"/>
              </w:rPr>
            </w:pPr>
          </w:p>
        </w:tc>
        <w:tc>
          <w:tcPr>
            <w:tcW w:w="514" w:type="dxa"/>
            <w:shd w:val="clear" w:color="auto" w:fill="C4EFCE"/>
            <w:vAlign w:val="center"/>
          </w:tcPr>
          <w:p w14:paraId="798958ED" w14:textId="3E2F7C91" w:rsidR="00E040FD" w:rsidRDefault="00740D64">
            <w:pPr>
              <w:pStyle w:val="P68B1DB1-Normal12"/>
              <w:spacing w:after="0" w:line="240" w:lineRule="auto"/>
              <w:jc w:val="center"/>
              <w:rPr>
                <w:rFonts w:eastAsia="Times New Roman" w:cstheme="minorHAnsi"/>
                <w:noProof/>
              </w:rPr>
            </w:pPr>
            <w:r>
              <w:rPr>
                <w:noProof/>
              </w:rPr>
              <w:t>KVARTAL 2</w:t>
            </w:r>
          </w:p>
        </w:tc>
        <w:tc>
          <w:tcPr>
            <w:tcW w:w="747" w:type="dxa"/>
            <w:shd w:val="clear" w:color="auto" w:fill="C4EFCE"/>
            <w:vAlign w:val="center"/>
          </w:tcPr>
          <w:p w14:paraId="2525860B" w14:textId="3ECA8FE2" w:rsidR="00E040FD" w:rsidRDefault="00740D64">
            <w:pPr>
              <w:pStyle w:val="P68B1DB1-Normal12"/>
              <w:spacing w:after="0" w:line="240" w:lineRule="auto"/>
              <w:jc w:val="center"/>
              <w:rPr>
                <w:rFonts w:eastAsia="Times New Roman" w:cstheme="minorHAnsi"/>
                <w:noProof/>
              </w:rPr>
            </w:pPr>
            <w:r>
              <w:rPr>
                <w:noProof/>
              </w:rPr>
              <w:t>2024</w:t>
            </w:r>
          </w:p>
        </w:tc>
        <w:tc>
          <w:tcPr>
            <w:tcW w:w="3919" w:type="dxa"/>
            <w:shd w:val="clear" w:color="auto" w:fill="C4EFCE"/>
          </w:tcPr>
          <w:p w14:paraId="7BFE9655" w14:textId="291FD11F" w:rsidR="00E040FD" w:rsidRDefault="00740D64">
            <w:pPr>
              <w:pStyle w:val="P68B1DB1-Bodytext1013"/>
              <w:rPr>
                <w:rFonts w:cstheme="minorHAnsi"/>
                <w:noProof/>
              </w:rPr>
            </w:pPr>
            <w:r>
              <w:rPr>
                <w:noProof/>
              </w:rPr>
              <w:t xml:space="preserve">Undertecknande av genomförandeavtalet (protokollet) mellan Banco Português de Fomento, Instituto de Desenvolvimento Empresarial och utvalda finansiella intermediärer som omfattar alla finansieringsinstrument som planeras i åtgärden. </w:t>
            </w:r>
          </w:p>
          <w:p w14:paraId="2B9416E9" w14:textId="1999C5AE" w:rsidR="00E040FD" w:rsidRDefault="00740D64">
            <w:pPr>
              <w:pStyle w:val="P68B1DB1-Normal12"/>
              <w:spacing w:after="0" w:line="240" w:lineRule="auto"/>
              <w:jc w:val="both"/>
              <w:rPr>
                <w:rFonts w:eastAsia="Times New Roman" w:cstheme="minorHAnsi"/>
                <w:noProof/>
              </w:rPr>
            </w:pPr>
            <w:r>
              <w:rPr>
                <w:noProof/>
              </w:rPr>
              <w:t xml:space="preserve">Genomförandeavtalet och efterföljande rättsliga dokument för finansieringsinstrumentet ska kräva tillämpning av uteslutningsförteckningen (enligt beskrivningen av åtgärden) och en kontroll av efterlevnaden av EU:s miljölagstiftning och nationell miljölagstiftning. </w:t>
            </w:r>
          </w:p>
        </w:tc>
      </w:tr>
      <w:tr w:rsidR="00E040FD" w14:paraId="4CBE3D8A" w14:textId="77777777">
        <w:trPr>
          <w:trHeight w:val="67"/>
        </w:trPr>
        <w:tc>
          <w:tcPr>
            <w:tcW w:w="1134" w:type="dxa"/>
            <w:shd w:val="clear" w:color="auto" w:fill="C4EFCE"/>
            <w:vAlign w:val="center"/>
          </w:tcPr>
          <w:p w14:paraId="7BB0CA82" w14:textId="09AAED9B" w:rsidR="00E040FD" w:rsidRDefault="00740D64">
            <w:pPr>
              <w:pStyle w:val="P68B1DB1-Normal11"/>
              <w:spacing w:after="0" w:line="240" w:lineRule="auto"/>
              <w:jc w:val="center"/>
              <w:rPr>
                <w:rFonts w:eastAsia="Times New Roman" w:cstheme="minorHAnsi"/>
                <w:noProof/>
              </w:rPr>
            </w:pPr>
            <w:r>
              <w:rPr>
                <w:noProof/>
              </w:rPr>
              <w:t>5.34</w:t>
            </w:r>
          </w:p>
        </w:tc>
        <w:tc>
          <w:tcPr>
            <w:tcW w:w="1165" w:type="dxa"/>
            <w:shd w:val="clear" w:color="auto" w:fill="C4EFCE"/>
            <w:vAlign w:val="center"/>
          </w:tcPr>
          <w:p w14:paraId="4855C77A" w14:textId="5D5E927E" w:rsidR="00E040FD" w:rsidRDefault="00740D64">
            <w:pPr>
              <w:pStyle w:val="P68B1DB1-Normal12"/>
              <w:spacing w:after="0" w:line="240" w:lineRule="auto"/>
              <w:jc w:val="center"/>
              <w:rPr>
                <w:rFonts w:eastAsia="Times New Roman" w:cstheme="minorHAnsi"/>
                <w:noProof/>
              </w:rPr>
            </w:pPr>
            <w:r>
              <w:rPr>
                <w:noProof/>
              </w:rPr>
              <w:t>RE-C05-i07-RAM</w:t>
            </w:r>
          </w:p>
        </w:tc>
        <w:tc>
          <w:tcPr>
            <w:tcW w:w="976" w:type="dxa"/>
            <w:shd w:val="clear" w:color="auto" w:fill="C4EFCE"/>
            <w:vAlign w:val="center"/>
          </w:tcPr>
          <w:p w14:paraId="1DD25CAD" w14:textId="1026C3D1" w:rsidR="00E040FD" w:rsidRDefault="00740D64">
            <w:pPr>
              <w:pStyle w:val="P68B1DB1-Normal12"/>
              <w:spacing w:after="0" w:line="240" w:lineRule="auto"/>
              <w:jc w:val="center"/>
              <w:rPr>
                <w:rFonts w:eastAsia="Times New Roman" w:cstheme="minorHAnsi"/>
                <w:noProof/>
              </w:rPr>
            </w:pPr>
            <w:r>
              <w:rPr>
                <w:noProof/>
              </w:rPr>
              <w:t>T</w:t>
            </w:r>
          </w:p>
        </w:tc>
        <w:tc>
          <w:tcPr>
            <w:tcW w:w="1668" w:type="dxa"/>
            <w:shd w:val="clear" w:color="auto" w:fill="C4EFCE"/>
            <w:vAlign w:val="center"/>
          </w:tcPr>
          <w:p w14:paraId="2A3A2C05" w14:textId="671BE97B" w:rsidR="00E040FD" w:rsidRDefault="00740D64">
            <w:pPr>
              <w:pStyle w:val="P68B1DB1-Normal12"/>
              <w:spacing w:after="0" w:line="240" w:lineRule="auto"/>
              <w:jc w:val="center"/>
              <w:rPr>
                <w:rFonts w:eastAsia="Times New Roman" w:cstheme="minorHAnsi"/>
                <w:noProof/>
              </w:rPr>
            </w:pPr>
            <w:r>
              <w:rPr>
                <w:noProof/>
              </w:rPr>
              <w:t>Lånegarantier till stöd för regionala företags projekt.</w:t>
            </w:r>
          </w:p>
        </w:tc>
        <w:tc>
          <w:tcPr>
            <w:tcW w:w="2029" w:type="dxa"/>
            <w:shd w:val="clear" w:color="auto" w:fill="C4EFCE"/>
            <w:vAlign w:val="center"/>
          </w:tcPr>
          <w:p w14:paraId="14B7871F" w14:textId="4EB3B0C4" w:rsidR="00E040FD" w:rsidRDefault="00740D64">
            <w:pPr>
              <w:pStyle w:val="P68B1DB1-Normal12"/>
              <w:spacing w:after="0" w:line="240" w:lineRule="auto"/>
              <w:jc w:val="center"/>
              <w:rPr>
                <w:rFonts w:eastAsia="Times New Roman" w:cstheme="minorHAnsi"/>
                <w:noProof/>
              </w:rPr>
            </w:pPr>
            <w:r>
              <w:rPr>
                <w:noProof/>
              </w:rPr>
              <w:t>—</w:t>
            </w:r>
          </w:p>
        </w:tc>
        <w:tc>
          <w:tcPr>
            <w:tcW w:w="982" w:type="dxa"/>
            <w:shd w:val="clear" w:color="auto" w:fill="C4EFCE"/>
            <w:vAlign w:val="center"/>
          </w:tcPr>
          <w:p w14:paraId="5FC778CA" w14:textId="5E913ACC" w:rsidR="00E040FD" w:rsidRDefault="00740D64">
            <w:pPr>
              <w:pStyle w:val="P68B1DB1-Normal12"/>
              <w:spacing w:after="0" w:line="240" w:lineRule="auto"/>
              <w:jc w:val="center"/>
              <w:rPr>
                <w:rFonts w:eastAsia="Times New Roman" w:cstheme="minorHAnsi"/>
                <w:noProof/>
              </w:rPr>
            </w:pPr>
            <w:r>
              <w:rPr>
                <w:noProof/>
              </w:rPr>
              <w:t>EURO</w:t>
            </w:r>
          </w:p>
        </w:tc>
        <w:tc>
          <w:tcPr>
            <w:tcW w:w="982" w:type="dxa"/>
            <w:shd w:val="clear" w:color="auto" w:fill="C4EFCE"/>
            <w:vAlign w:val="center"/>
          </w:tcPr>
          <w:p w14:paraId="0271D6FF" w14:textId="04899E06" w:rsidR="00E040FD" w:rsidRDefault="00740D64">
            <w:pPr>
              <w:pStyle w:val="P68B1DB1-Normal12"/>
              <w:spacing w:after="0" w:line="240" w:lineRule="auto"/>
              <w:jc w:val="center"/>
              <w:rPr>
                <w:rFonts w:eastAsia="Times New Roman" w:cstheme="minorHAnsi"/>
                <w:noProof/>
              </w:rPr>
            </w:pPr>
            <w:r>
              <w:rPr>
                <w:noProof/>
              </w:rPr>
              <w:t>0</w:t>
            </w:r>
          </w:p>
        </w:tc>
        <w:tc>
          <w:tcPr>
            <w:tcW w:w="626" w:type="dxa"/>
            <w:shd w:val="clear" w:color="auto" w:fill="C4EFCE"/>
            <w:vAlign w:val="center"/>
          </w:tcPr>
          <w:p w14:paraId="6451A08B" w14:textId="2E7FED99" w:rsidR="00E040FD" w:rsidRDefault="00740D64">
            <w:pPr>
              <w:pStyle w:val="P68B1DB1-Normal12"/>
              <w:spacing w:after="0" w:line="240" w:lineRule="auto"/>
              <w:jc w:val="center"/>
              <w:rPr>
                <w:rFonts w:eastAsia="Times New Roman" w:cstheme="minorHAnsi"/>
                <w:noProof/>
              </w:rPr>
            </w:pPr>
            <w:r>
              <w:rPr>
                <w:noProof/>
              </w:rPr>
              <w:t>15 900 000</w:t>
            </w:r>
          </w:p>
        </w:tc>
        <w:tc>
          <w:tcPr>
            <w:tcW w:w="514" w:type="dxa"/>
            <w:shd w:val="clear" w:color="auto" w:fill="C4EFCE"/>
            <w:vAlign w:val="center"/>
          </w:tcPr>
          <w:p w14:paraId="2A88DF46" w14:textId="7CCAE0DE" w:rsidR="00E040FD" w:rsidRDefault="00740D64">
            <w:pPr>
              <w:pStyle w:val="P68B1DB1-Normal12"/>
              <w:spacing w:after="0" w:line="240" w:lineRule="auto"/>
              <w:jc w:val="center"/>
              <w:rPr>
                <w:rFonts w:eastAsia="Times New Roman" w:cstheme="minorHAnsi"/>
                <w:noProof/>
              </w:rPr>
            </w:pPr>
            <w:r>
              <w:rPr>
                <w:noProof/>
              </w:rPr>
              <w:t>KVARTAL 4</w:t>
            </w:r>
          </w:p>
        </w:tc>
        <w:tc>
          <w:tcPr>
            <w:tcW w:w="747" w:type="dxa"/>
            <w:shd w:val="clear" w:color="auto" w:fill="C4EFCE"/>
            <w:vAlign w:val="center"/>
          </w:tcPr>
          <w:p w14:paraId="5FEA44B0" w14:textId="0E21A022" w:rsidR="00E040FD" w:rsidRDefault="00740D64">
            <w:pPr>
              <w:pStyle w:val="P68B1DB1-Normal12"/>
              <w:spacing w:after="0" w:line="240" w:lineRule="auto"/>
              <w:jc w:val="center"/>
              <w:rPr>
                <w:rFonts w:eastAsia="Times New Roman" w:cstheme="minorHAnsi"/>
                <w:noProof/>
              </w:rPr>
            </w:pPr>
            <w:r>
              <w:rPr>
                <w:noProof/>
              </w:rPr>
              <w:t>2025</w:t>
            </w:r>
          </w:p>
        </w:tc>
        <w:tc>
          <w:tcPr>
            <w:tcW w:w="3919" w:type="dxa"/>
            <w:shd w:val="clear" w:color="auto" w:fill="C4EFCE"/>
          </w:tcPr>
          <w:p w14:paraId="3959FFFC" w14:textId="44A649C9" w:rsidR="00E040FD" w:rsidRDefault="00740D64">
            <w:pPr>
              <w:pStyle w:val="P68B1DB1-Normal12"/>
              <w:spacing w:after="0" w:line="240" w:lineRule="auto"/>
              <w:jc w:val="both"/>
              <w:rPr>
                <w:rFonts w:eastAsia="Times New Roman" w:cstheme="minorHAnsi"/>
                <w:noProof/>
              </w:rPr>
            </w:pPr>
            <w:r>
              <w:rPr>
                <w:noProof/>
              </w:rPr>
              <w:t xml:space="preserve">Tillhandahållande av garantier för lån på 15 900 000 EUR, tillsammans med stöd till ränteutgifter för lån inom ramen för det nationella systemet för ömsesidiga garantier, till stöd för minst 10 regionala projekt. </w:t>
            </w:r>
          </w:p>
        </w:tc>
      </w:tr>
      <w:tr w:rsidR="00E040FD" w14:paraId="2C5CFDE1" w14:textId="77777777">
        <w:trPr>
          <w:trHeight w:val="67"/>
        </w:trPr>
        <w:tc>
          <w:tcPr>
            <w:tcW w:w="1134" w:type="dxa"/>
            <w:shd w:val="clear" w:color="auto" w:fill="C4EFCE"/>
            <w:vAlign w:val="center"/>
          </w:tcPr>
          <w:p w14:paraId="0773CFB1" w14:textId="6033DE37" w:rsidR="00E040FD" w:rsidRDefault="00740D64">
            <w:pPr>
              <w:pStyle w:val="P68B1DB1-Normal11"/>
              <w:spacing w:after="0" w:line="240" w:lineRule="auto"/>
              <w:jc w:val="center"/>
              <w:rPr>
                <w:rFonts w:cstheme="minorHAnsi"/>
                <w:noProof/>
              </w:rPr>
            </w:pPr>
            <w:r>
              <w:rPr>
                <w:noProof/>
              </w:rPr>
              <w:t>5.35</w:t>
            </w:r>
          </w:p>
        </w:tc>
        <w:tc>
          <w:tcPr>
            <w:tcW w:w="1165" w:type="dxa"/>
            <w:shd w:val="clear" w:color="auto" w:fill="C4EFCE"/>
            <w:vAlign w:val="center"/>
          </w:tcPr>
          <w:p w14:paraId="00F378C5" w14:textId="26E033C1" w:rsidR="00E040FD" w:rsidRDefault="00740D64">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176CCB47" w14:textId="022E3FC5" w:rsidR="00E040FD" w:rsidRDefault="00740D64">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43BF0EA1" w14:textId="55368CAA" w:rsidR="00E040FD" w:rsidRDefault="00740D64">
            <w:pPr>
              <w:pStyle w:val="P68B1DB1-Normal12"/>
              <w:spacing w:after="0" w:line="240" w:lineRule="auto"/>
              <w:jc w:val="center"/>
              <w:rPr>
                <w:noProof/>
              </w:rPr>
            </w:pPr>
            <w:r>
              <w:rPr>
                <w:noProof/>
              </w:rPr>
              <w:t>Slutförande av ”Science XXI campus” och ”Science Desk” och tillhandahållande av tjänster genom det nationella programmet för öppen vetenskap och öppna forskningsdata (PNCADAI)</w:t>
            </w:r>
          </w:p>
        </w:tc>
        <w:tc>
          <w:tcPr>
            <w:tcW w:w="2029" w:type="dxa"/>
            <w:shd w:val="clear" w:color="auto" w:fill="C4EFCE"/>
            <w:vAlign w:val="center"/>
          </w:tcPr>
          <w:p w14:paraId="13A0FF6F" w14:textId="77777777" w:rsidR="00E040FD" w:rsidRDefault="00E040FD">
            <w:pPr>
              <w:spacing w:after="0" w:line="240" w:lineRule="auto"/>
              <w:jc w:val="center"/>
              <w:rPr>
                <w:rFonts w:cstheme="minorHAnsi"/>
                <w:noProof/>
                <w:sz w:val="16"/>
              </w:rPr>
            </w:pPr>
          </w:p>
        </w:tc>
        <w:tc>
          <w:tcPr>
            <w:tcW w:w="982" w:type="dxa"/>
            <w:shd w:val="clear" w:color="auto" w:fill="C4EFCE"/>
            <w:vAlign w:val="center"/>
          </w:tcPr>
          <w:p w14:paraId="22740551" w14:textId="1CB75FCC" w:rsidR="00E040FD" w:rsidRDefault="00740D64">
            <w:pPr>
              <w:pStyle w:val="P68B1DB1-Normal12"/>
              <w:spacing w:after="0" w:line="240" w:lineRule="auto"/>
              <w:jc w:val="center"/>
              <w:rPr>
                <w:rFonts w:cstheme="minorHAnsi"/>
                <w:noProof/>
              </w:rPr>
            </w:pPr>
            <w:r>
              <w:rPr>
                <w:noProof/>
              </w:rPr>
              <w:t>Antal</w:t>
            </w:r>
          </w:p>
        </w:tc>
        <w:tc>
          <w:tcPr>
            <w:tcW w:w="982" w:type="dxa"/>
            <w:shd w:val="clear" w:color="auto" w:fill="C4EFCE"/>
            <w:vAlign w:val="center"/>
          </w:tcPr>
          <w:p w14:paraId="57FCAC8C" w14:textId="6C811F49" w:rsidR="00E040FD" w:rsidRDefault="00740D64">
            <w:pPr>
              <w:pStyle w:val="P68B1DB1-Normal12"/>
              <w:spacing w:after="0" w:line="240" w:lineRule="auto"/>
              <w:jc w:val="center"/>
              <w:rPr>
                <w:rFonts w:cstheme="minorHAnsi"/>
                <w:noProof/>
              </w:rPr>
            </w:pPr>
            <w:r>
              <w:rPr>
                <w:noProof/>
              </w:rPr>
              <w:t>0</w:t>
            </w:r>
          </w:p>
        </w:tc>
        <w:tc>
          <w:tcPr>
            <w:tcW w:w="626" w:type="dxa"/>
            <w:shd w:val="clear" w:color="auto" w:fill="C4EFCE"/>
            <w:vAlign w:val="center"/>
          </w:tcPr>
          <w:p w14:paraId="13745293" w14:textId="3C59DC12" w:rsidR="00E040FD" w:rsidRDefault="00740D64">
            <w:pPr>
              <w:pStyle w:val="P68B1DB1-Normal12"/>
              <w:spacing w:after="0" w:line="240" w:lineRule="auto"/>
              <w:jc w:val="center"/>
              <w:rPr>
                <w:noProof/>
                <w:highlight w:val="cyan"/>
              </w:rPr>
            </w:pPr>
            <w:r>
              <w:rPr>
                <w:noProof/>
              </w:rPr>
              <w:t>9</w:t>
            </w:r>
          </w:p>
        </w:tc>
        <w:tc>
          <w:tcPr>
            <w:tcW w:w="514" w:type="dxa"/>
            <w:shd w:val="clear" w:color="auto" w:fill="C4EFCE"/>
            <w:vAlign w:val="center"/>
          </w:tcPr>
          <w:p w14:paraId="70909177" w14:textId="2BF5B3A1" w:rsidR="00E040FD" w:rsidRDefault="00740D64">
            <w:pPr>
              <w:pStyle w:val="P68B1DB1-Normal12"/>
              <w:spacing w:after="0" w:line="240" w:lineRule="auto"/>
              <w:jc w:val="center"/>
              <w:rPr>
                <w:rFonts w:cstheme="minorHAnsi"/>
                <w:noProof/>
              </w:rPr>
            </w:pPr>
            <w:r>
              <w:rPr>
                <w:noProof/>
              </w:rPr>
              <w:t>KVARTAL 4</w:t>
            </w:r>
          </w:p>
        </w:tc>
        <w:tc>
          <w:tcPr>
            <w:tcW w:w="747" w:type="dxa"/>
            <w:shd w:val="clear" w:color="auto" w:fill="C4EFCE"/>
            <w:vAlign w:val="center"/>
          </w:tcPr>
          <w:p w14:paraId="752967AE" w14:textId="0BF8F3C5" w:rsidR="00E040FD" w:rsidRDefault="00740D64">
            <w:pPr>
              <w:pStyle w:val="P68B1DB1-Normal12"/>
              <w:spacing w:after="0" w:line="240" w:lineRule="auto"/>
              <w:jc w:val="center"/>
              <w:rPr>
                <w:rFonts w:cstheme="minorHAnsi"/>
                <w:noProof/>
              </w:rPr>
            </w:pPr>
            <w:r>
              <w:rPr>
                <w:noProof/>
              </w:rPr>
              <w:t>2025 </w:t>
            </w:r>
          </w:p>
        </w:tc>
        <w:tc>
          <w:tcPr>
            <w:tcW w:w="3919" w:type="dxa"/>
            <w:shd w:val="clear" w:color="auto" w:fill="C4EFCE"/>
            <w:vAlign w:val="center"/>
          </w:tcPr>
          <w:p w14:paraId="74F80FFD" w14:textId="63AC4EAE" w:rsidR="00E040FD" w:rsidRDefault="00740D64">
            <w:pPr>
              <w:pStyle w:val="P68B1DB1-Normal12"/>
              <w:spacing w:after="0" w:line="240" w:lineRule="auto"/>
              <w:jc w:val="both"/>
              <w:rPr>
                <w:noProof/>
              </w:rPr>
            </w:pPr>
            <w:r>
              <w:rPr>
                <w:noProof/>
              </w:rPr>
              <w:t xml:space="preserve">Slutförande av de två digitala och fysiska vetenskapliga och tekniska tjänsterna: ”Campus Science XXI” och ”Science Desk”. </w:t>
            </w:r>
          </w:p>
          <w:p w14:paraId="00F0CA38" w14:textId="04A5C66F" w:rsidR="00E040FD" w:rsidRDefault="00E040FD">
            <w:pPr>
              <w:spacing w:after="0" w:line="240" w:lineRule="auto"/>
              <w:jc w:val="both"/>
              <w:rPr>
                <w:noProof/>
                <w:sz w:val="16"/>
              </w:rPr>
            </w:pPr>
          </w:p>
          <w:p w14:paraId="507B7C51" w14:textId="320143D7" w:rsidR="00E040FD" w:rsidRDefault="00740D64">
            <w:pPr>
              <w:pStyle w:val="P68B1DB1-Normal12"/>
              <w:spacing w:after="0" w:line="240" w:lineRule="auto"/>
              <w:jc w:val="both"/>
              <w:rPr>
                <w:noProof/>
              </w:rPr>
            </w:pPr>
            <w:r>
              <w:rPr>
                <w:noProof/>
              </w:rPr>
              <w:t>Tillhandahållande av sju elektroniska onlinetjänster inom ramen för det nationella programmet för öppen vetenskap och öppna forskningsdata (PNCADAI). Programmet ska omfatta en datainfrastruktur samt en datahanteringstjänst.</w:t>
            </w:r>
          </w:p>
        </w:tc>
      </w:tr>
      <w:tr w:rsidR="00E040FD" w14:paraId="7FB7AC29" w14:textId="77777777">
        <w:trPr>
          <w:trHeight w:val="67"/>
        </w:trPr>
        <w:tc>
          <w:tcPr>
            <w:tcW w:w="1134" w:type="dxa"/>
            <w:shd w:val="clear" w:color="auto" w:fill="C4EFCE"/>
            <w:vAlign w:val="center"/>
          </w:tcPr>
          <w:p w14:paraId="4B3A8873" w14:textId="179ED554" w:rsidR="00E040FD" w:rsidRDefault="00740D64">
            <w:pPr>
              <w:pStyle w:val="P68B1DB1-Normal11"/>
              <w:spacing w:after="0" w:line="240" w:lineRule="auto"/>
              <w:jc w:val="center"/>
              <w:rPr>
                <w:rFonts w:cstheme="minorHAnsi"/>
                <w:noProof/>
              </w:rPr>
            </w:pPr>
            <w:r>
              <w:rPr>
                <w:noProof/>
              </w:rPr>
              <w:t>5.36</w:t>
            </w:r>
          </w:p>
        </w:tc>
        <w:tc>
          <w:tcPr>
            <w:tcW w:w="1165" w:type="dxa"/>
            <w:shd w:val="clear" w:color="auto" w:fill="C4EFCE"/>
            <w:vAlign w:val="center"/>
          </w:tcPr>
          <w:p w14:paraId="1F9177C6" w14:textId="5AA691B4" w:rsidR="00E040FD" w:rsidRDefault="00740D64">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2AACB229" w14:textId="43308D7E" w:rsidR="00E040FD" w:rsidRDefault="00740D64">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3E3B9075" w14:textId="3A696E59" w:rsidR="00E040FD" w:rsidRDefault="00740D64">
            <w:pPr>
              <w:pStyle w:val="P68B1DB1-Normal12"/>
              <w:spacing w:after="0" w:line="240" w:lineRule="auto"/>
              <w:jc w:val="center"/>
              <w:rPr>
                <w:noProof/>
              </w:rPr>
            </w:pPr>
            <w:r>
              <w:rPr>
                <w:noProof/>
              </w:rPr>
              <w:t>Slutförande av projekt inom FoU-programmet inom offentlig förvaltning och nya kurser på den nationella plattformen för onlinekurser (NAU)</w:t>
            </w:r>
          </w:p>
        </w:tc>
        <w:tc>
          <w:tcPr>
            <w:tcW w:w="2029" w:type="dxa"/>
            <w:shd w:val="clear" w:color="auto" w:fill="C4EFCE"/>
            <w:vAlign w:val="center"/>
          </w:tcPr>
          <w:p w14:paraId="0E21AFE0" w14:textId="774900D8" w:rsidR="00E040FD" w:rsidRDefault="00740D64">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3D64CFE9" w14:textId="46B248A4" w:rsidR="00E040FD" w:rsidRDefault="00740D64">
            <w:pPr>
              <w:pStyle w:val="P68B1DB1-Normal12"/>
              <w:spacing w:after="0" w:line="240" w:lineRule="auto"/>
              <w:jc w:val="center"/>
              <w:rPr>
                <w:rFonts w:cstheme="minorHAnsi"/>
                <w:noProof/>
              </w:rPr>
            </w:pPr>
            <w:r>
              <w:rPr>
                <w:noProof/>
              </w:rPr>
              <w:t>Antal</w:t>
            </w:r>
          </w:p>
        </w:tc>
        <w:tc>
          <w:tcPr>
            <w:tcW w:w="982" w:type="dxa"/>
            <w:shd w:val="clear" w:color="auto" w:fill="C4EFCE"/>
            <w:vAlign w:val="center"/>
          </w:tcPr>
          <w:p w14:paraId="5F88E593" w14:textId="4099A441" w:rsidR="00E040FD" w:rsidRDefault="00740D64">
            <w:pPr>
              <w:pStyle w:val="P68B1DB1-Normal12"/>
              <w:spacing w:after="0" w:line="240" w:lineRule="auto"/>
              <w:jc w:val="center"/>
              <w:rPr>
                <w:rFonts w:cstheme="minorHAnsi"/>
                <w:noProof/>
              </w:rPr>
            </w:pPr>
            <w:r>
              <w:rPr>
                <w:noProof/>
              </w:rPr>
              <w:t>0</w:t>
            </w:r>
          </w:p>
        </w:tc>
        <w:tc>
          <w:tcPr>
            <w:tcW w:w="626" w:type="dxa"/>
            <w:shd w:val="clear" w:color="auto" w:fill="C4EFCE"/>
            <w:vAlign w:val="center"/>
          </w:tcPr>
          <w:p w14:paraId="21DC20A1" w14:textId="13A50267" w:rsidR="00E040FD" w:rsidRDefault="00740D64">
            <w:pPr>
              <w:pStyle w:val="P68B1DB1-Normal12"/>
              <w:spacing w:after="0" w:line="240" w:lineRule="auto"/>
              <w:jc w:val="center"/>
              <w:rPr>
                <w:noProof/>
                <w:highlight w:val="cyan"/>
              </w:rPr>
            </w:pPr>
            <w:r>
              <w:rPr>
                <w:noProof/>
              </w:rPr>
              <w:t>144</w:t>
            </w:r>
          </w:p>
        </w:tc>
        <w:tc>
          <w:tcPr>
            <w:tcW w:w="514" w:type="dxa"/>
            <w:shd w:val="clear" w:color="auto" w:fill="C4EFCE"/>
            <w:vAlign w:val="center"/>
          </w:tcPr>
          <w:p w14:paraId="14DC8D5E" w14:textId="4E1FC6D6" w:rsidR="00E040FD" w:rsidRDefault="00740D64">
            <w:pPr>
              <w:pStyle w:val="P68B1DB1-Normal12"/>
              <w:spacing w:after="0" w:line="240" w:lineRule="auto"/>
              <w:jc w:val="center"/>
              <w:rPr>
                <w:rFonts w:cstheme="minorHAnsi"/>
                <w:noProof/>
              </w:rPr>
            </w:pPr>
            <w:r>
              <w:rPr>
                <w:noProof/>
              </w:rPr>
              <w:t>KVARTAL 1</w:t>
            </w:r>
          </w:p>
        </w:tc>
        <w:tc>
          <w:tcPr>
            <w:tcW w:w="747" w:type="dxa"/>
            <w:shd w:val="clear" w:color="auto" w:fill="C4EFCE"/>
            <w:vAlign w:val="center"/>
          </w:tcPr>
          <w:p w14:paraId="6C28108F" w14:textId="341BEB1E" w:rsidR="00E040FD" w:rsidRDefault="00740D64">
            <w:pPr>
              <w:pStyle w:val="P68B1DB1-Normal12"/>
              <w:spacing w:after="0" w:line="240" w:lineRule="auto"/>
              <w:jc w:val="center"/>
              <w:rPr>
                <w:rFonts w:cstheme="minorHAnsi"/>
                <w:noProof/>
              </w:rPr>
            </w:pPr>
            <w:r>
              <w:rPr>
                <w:noProof/>
              </w:rPr>
              <w:t>2026</w:t>
            </w:r>
          </w:p>
        </w:tc>
        <w:tc>
          <w:tcPr>
            <w:tcW w:w="3919" w:type="dxa"/>
            <w:shd w:val="clear" w:color="auto" w:fill="C4EFCE"/>
            <w:vAlign w:val="center"/>
          </w:tcPr>
          <w:p w14:paraId="3741DF14" w14:textId="79BB2D5C" w:rsidR="00E040FD" w:rsidRDefault="00740D64">
            <w:pPr>
              <w:pStyle w:val="P68B1DB1-Normal12"/>
              <w:spacing w:after="0" w:line="240" w:lineRule="auto"/>
              <w:jc w:val="both"/>
              <w:rPr>
                <w:noProof/>
              </w:rPr>
            </w:pPr>
            <w:r>
              <w:rPr>
                <w:noProof/>
              </w:rPr>
              <w:t xml:space="preserve">Slutförande av 94 projekt som finansieras som en del av FoU-programmet inom offentlig förvaltning (inbegripet på områdena artificiell intelligens (AI), cybersäkerhet och datavetenskap). </w:t>
            </w:r>
          </w:p>
          <w:p w14:paraId="222B1DF4" w14:textId="507AAE05" w:rsidR="00E040FD" w:rsidRDefault="00E040FD">
            <w:pPr>
              <w:spacing w:after="0" w:line="240" w:lineRule="auto"/>
              <w:jc w:val="both"/>
              <w:rPr>
                <w:noProof/>
                <w:sz w:val="16"/>
              </w:rPr>
            </w:pPr>
          </w:p>
          <w:p w14:paraId="58102DBE" w14:textId="173B1D60" w:rsidR="00E040FD" w:rsidRDefault="00740D64">
            <w:pPr>
              <w:pStyle w:val="P68B1DB1-Normal12"/>
              <w:spacing w:after="0" w:line="240" w:lineRule="auto"/>
              <w:jc w:val="both"/>
              <w:rPr>
                <w:noProof/>
              </w:rPr>
            </w:pPr>
            <w:r>
              <w:rPr>
                <w:noProof/>
              </w:rPr>
              <w:t>50 nya kurser erbjuds genom den nationella plattformen för massnätkurser (NAU), som drar nytta av den nyligen utvecklade tekniska infrastrukturen.</w:t>
            </w:r>
          </w:p>
        </w:tc>
      </w:tr>
      <w:tr w:rsidR="00E040FD" w14:paraId="3CFFEAB5" w14:textId="77777777">
        <w:trPr>
          <w:trHeight w:val="67"/>
        </w:trPr>
        <w:tc>
          <w:tcPr>
            <w:tcW w:w="1134" w:type="dxa"/>
            <w:shd w:val="clear" w:color="auto" w:fill="C4EFCE"/>
            <w:vAlign w:val="center"/>
          </w:tcPr>
          <w:p w14:paraId="02998C93" w14:textId="7BC372D7" w:rsidR="00E040FD" w:rsidRDefault="00740D64">
            <w:pPr>
              <w:pStyle w:val="P68B1DB1-Normal11"/>
              <w:spacing w:after="0" w:line="240" w:lineRule="auto"/>
              <w:jc w:val="center"/>
              <w:rPr>
                <w:rFonts w:cstheme="minorHAnsi"/>
                <w:noProof/>
              </w:rPr>
            </w:pPr>
            <w:r>
              <w:rPr>
                <w:noProof/>
              </w:rPr>
              <w:t>5.37</w:t>
            </w:r>
          </w:p>
        </w:tc>
        <w:tc>
          <w:tcPr>
            <w:tcW w:w="1165" w:type="dxa"/>
            <w:shd w:val="clear" w:color="auto" w:fill="C4EFCE"/>
            <w:vAlign w:val="center"/>
          </w:tcPr>
          <w:p w14:paraId="57B2A843" w14:textId="724532F4" w:rsidR="00E040FD" w:rsidRDefault="00740D64">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7BEDE968" w14:textId="63C0C0AF" w:rsidR="00E040FD" w:rsidRDefault="00740D64">
            <w:pPr>
              <w:pStyle w:val="P68B1DB1-Normal12"/>
              <w:spacing w:after="0" w:line="240" w:lineRule="auto"/>
              <w:jc w:val="center"/>
              <w:rPr>
                <w:rFonts w:cstheme="minorHAnsi"/>
                <w:noProof/>
              </w:rPr>
            </w:pPr>
            <w:r>
              <w:rPr>
                <w:noProof/>
              </w:rPr>
              <w:t>M</w:t>
            </w:r>
          </w:p>
        </w:tc>
        <w:tc>
          <w:tcPr>
            <w:tcW w:w="1668" w:type="dxa"/>
            <w:shd w:val="clear" w:color="auto" w:fill="C4EFCE"/>
            <w:vAlign w:val="center"/>
          </w:tcPr>
          <w:p w14:paraId="71202E2B" w14:textId="74ACF820" w:rsidR="00E040FD" w:rsidRDefault="00740D64">
            <w:pPr>
              <w:pStyle w:val="P68B1DB1-Normal12"/>
              <w:spacing w:after="0" w:line="240" w:lineRule="auto"/>
              <w:jc w:val="center"/>
              <w:rPr>
                <w:rFonts w:cstheme="minorHAnsi"/>
                <w:noProof/>
              </w:rPr>
            </w:pPr>
            <w:r>
              <w:rPr>
                <w:noProof/>
              </w:rPr>
              <w:t>Inrättande av det nationella centrumet för avancerad datateknik (CNCA).</w:t>
            </w:r>
          </w:p>
        </w:tc>
        <w:tc>
          <w:tcPr>
            <w:tcW w:w="2029" w:type="dxa"/>
            <w:shd w:val="clear" w:color="auto" w:fill="C4EFCE"/>
            <w:vAlign w:val="center"/>
          </w:tcPr>
          <w:p w14:paraId="7A981D55" w14:textId="2AB7DBD0" w:rsidR="00E040FD" w:rsidRDefault="00740D64">
            <w:pPr>
              <w:pStyle w:val="P68B1DB1-Normal12"/>
              <w:spacing w:after="0" w:line="240" w:lineRule="auto"/>
              <w:jc w:val="center"/>
              <w:rPr>
                <w:rFonts w:cstheme="minorHAnsi"/>
                <w:noProof/>
              </w:rPr>
            </w:pPr>
            <w:r>
              <w:rPr>
                <w:noProof/>
              </w:rPr>
              <w:t>Inrättande av ett nationellt centrum för avancerad datateknik</w:t>
            </w:r>
          </w:p>
        </w:tc>
        <w:tc>
          <w:tcPr>
            <w:tcW w:w="982" w:type="dxa"/>
            <w:shd w:val="clear" w:color="auto" w:fill="C4EFCE"/>
            <w:vAlign w:val="center"/>
          </w:tcPr>
          <w:p w14:paraId="38AA2D81" w14:textId="77777777" w:rsidR="00E040FD" w:rsidRDefault="00E040FD">
            <w:pPr>
              <w:spacing w:after="0" w:line="240" w:lineRule="auto"/>
              <w:jc w:val="center"/>
              <w:rPr>
                <w:rFonts w:cstheme="minorHAnsi"/>
                <w:noProof/>
                <w:sz w:val="16"/>
              </w:rPr>
            </w:pPr>
          </w:p>
        </w:tc>
        <w:tc>
          <w:tcPr>
            <w:tcW w:w="982" w:type="dxa"/>
            <w:shd w:val="clear" w:color="auto" w:fill="C4EFCE"/>
            <w:vAlign w:val="center"/>
          </w:tcPr>
          <w:p w14:paraId="73A08FCB" w14:textId="77777777" w:rsidR="00E040FD" w:rsidRDefault="00E040FD">
            <w:pPr>
              <w:spacing w:after="0" w:line="240" w:lineRule="auto"/>
              <w:jc w:val="center"/>
              <w:rPr>
                <w:rFonts w:cstheme="minorHAnsi"/>
                <w:noProof/>
                <w:sz w:val="16"/>
              </w:rPr>
            </w:pPr>
          </w:p>
        </w:tc>
        <w:tc>
          <w:tcPr>
            <w:tcW w:w="626" w:type="dxa"/>
            <w:shd w:val="clear" w:color="auto" w:fill="C4EFCE"/>
            <w:vAlign w:val="center"/>
          </w:tcPr>
          <w:p w14:paraId="71B94818" w14:textId="77777777" w:rsidR="00E040FD" w:rsidRDefault="00E040FD">
            <w:pPr>
              <w:spacing w:after="0" w:line="240" w:lineRule="auto"/>
              <w:jc w:val="center"/>
              <w:rPr>
                <w:rFonts w:cstheme="minorHAnsi"/>
                <w:noProof/>
                <w:sz w:val="16"/>
                <w:highlight w:val="cyan"/>
              </w:rPr>
            </w:pPr>
          </w:p>
        </w:tc>
        <w:tc>
          <w:tcPr>
            <w:tcW w:w="514" w:type="dxa"/>
            <w:shd w:val="clear" w:color="auto" w:fill="C4EFCE"/>
            <w:vAlign w:val="center"/>
          </w:tcPr>
          <w:p w14:paraId="6C0FA98B" w14:textId="6A787B86" w:rsidR="00E040FD" w:rsidRDefault="00740D64">
            <w:pPr>
              <w:pStyle w:val="P68B1DB1-Normal12"/>
              <w:spacing w:after="0" w:line="240" w:lineRule="auto"/>
              <w:jc w:val="center"/>
              <w:rPr>
                <w:rFonts w:cstheme="minorHAnsi"/>
                <w:noProof/>
              </w:rPr>
            </w:pPr>
            <w:r>
              <w:rPr>
                <w:noProof/>
              </w:rPr>
              <w:t>KVARTAL 4</w:t>
            </w:r>
          </w:p>
        </w:tc>
        <w:tc>
          <w:tcPr>
            <w:tcW w:w="747" w:type="dxa"/>
            <w:shd w:val="clear" w:color="auto" w:fill="C4EFCE"/>
            <w:vAlign w:val="center"/>
          </w:tcPr>
          <w:p w14:paraId="2FE817D5" w14:textId="2B27B007" w:rsidR="00E040FD" w:rsidRDefault="00740D64">
            <w:pPr>
              <w:pStyle w:val="P68B1DB1-Normal12"/>
              <w:spacing w:after="0" w:line="240" w:lineRule="auto"/>
              <w:jc w:val="center"/>
              <w:rPr>
                <w:rFonts w:cstheme="minorHAnsi"/>
                <w:noProof/>
              </w:rPr>
            </w:pPr>
            <w:r>
              <w:rPr>
                <w:noProof/>
              </w:rPr>
              <w:t>2024 </w:t>
            </w:r>
          </w:p>
        </w:tc>
        <w:tc>
          <w:tcPr>
            <w:tcW w:w="3919" w:type="dxa"/>
            <w:shd w:val="clear" w:color="auto" w:fill="C4EFCE"/>
            <w:vAlign w:val="center"/>
          </w:tcPr>
          <w:p w14:paraId="75E7143A" w14:textId="7709FF39" w:rsidR="00E040FD" w:rsidRDefault="00740D64">
            <w:pPr>
              <w:pStyle w:val="P68B1DB1-Normal12"/>
              <w:spacing w:after="0" w:line="240" w:lineRule="auto"/>
              <w:jc w:val="both"/>
              <w:rPr>
                <w:rFonts w:cstheme="minorHAnsi"/>
                <w:noProof/>
              </w:rPr>
            </w:pPr>
            <w:r>
              <w:rPr>
                <w:noProof/>
              </w:rPr>
              <w:t>Inrättande av det nationella centrumet för avancerad datateknik som ska omorganisera de befintliga portugisiska datanätverken och datacentralerna i en enda enhet. stöd till driften av två superdatorer (Deucalion och Mare Nostrum 5).</w:t>
            </w:r>
          </w:p>
        </w:tc>
      </w:tr>
      <w:tr w:rsidR="00E040FD" w14:paraId="1168D75D" w14:textId="77777777">
        <w:trPr>
          <w:trHeight w:val="67"/>
        </w:trPr>
        <w:tc>
          <w:tcPr>
            <w:tcW w:w="1134" w:type="dxa"/>
            <w:shd w:val="clear" w:color="auto" w:fill="C4EFCE"/>
            <w:vAlign w:val="center"/>
          </w:tcPr>
          <w:p w14:paraId="6355B752" w14:textId="337B4A60" w:rsidR="00E040FD" w:rsidRDefault="00740D64">
            <w:pPr>
              <w:pStyle w:val="P68B1DB1-Normal11"/>
              <w:spacing w:after="0" w:line="240" w:lineRule="auto"/>
              <w:jc w:val="center"/>
              <w:rPr>
                <w:rFonts w:cstheme="minorHAnsi"/>
                <w:noProof/>
              </w:rPr>
            </w:pPr>
            <w:r>
              <w:rPr>
                <w:noProof/>
              </w:rPr>
              <w:t>5.38</w:t>
            </w:r>
          </w:p>
        </w:tc>
        <w:tc>
          <w:tcPr>
            <w:tcW w:w="1165" w:type="dxa"/>
            <w:shd w:val="clear" w:color="auto" w:fill="C4EFCE"/>
            <w:vAlign w:val="center"/>
          </w:tcPr>
          <w:p w14:paraId="6A66A585" w14:textId="1CB84C87" w:rsidR="00E040FD" w:rsidRDefault="00740D64">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7EE8CC42" w14:textId="655C9C80" w:rsidR="00E040FD" w:rsidRDefault="00740D64">
            <w:pPr>
              <w:pStyle w:val="P68B1DB1-Normal12"/>
              <w:spacing w:after="0" w:line="240" w:lineRule="auto"/>
              <w:jc w:val="center"/>
              <w:rPr>
                <w:rFonts w:cstheme="minorHAnsi"/>
                <w:noProof/>
              </w:rPr>
            </w:pPr>
            <w:r>
              <w:rPr>
                <w:noProof/>
              </w:rPr>
              <w:t>M</w:t>
            </w:r>
          </w:p>
        </w:tc>
        <w:tc>
          <w:tcPr>
            <w:tcW w:w="1668" w:type="dxa"/>
            <w:shd w:val="clear" w:color="auto" w:fill="C4EFCE"/>
            <w:vAlign w:val="center"/>
          </w:tcPr>
          <w:p w14:paraId="43F1043A" w14:textId="587CA9BE" w:rsidR="00E040FD" w:rsidRDefault="00740D64">
            <w:pPr>
              <w:pStyle w:val="P68B1DB1-Normal12"/>
              <w:spacing w:after="0" w:line="240" w:lineRule="auto"/>
              <w:jc w:val="center"/>
              <w:rPr>
                <w:rFonts w:cstheme="minorHAnsi"/>
                <w:noProof/>
              </w:rPr>
            </w:pPr>
            <w:r>
              <w:rPr>
                <w:noProof/>
              </w:rPr>
              <w:t>Slutförande av stödinfrastruktur och datacentrum för det nationella avancerade datacentrumet</w:t>
            </w:r>
          </w:p>
        </w:tc>
        <w:tc>
          <w:tcPr>
            <w:tcW w:w="2029" w:type="dxa"/>
            <w:shd w:val="clear" w:color="auto" w:fill="C4EFCE"/>
            <w:vAlign w:val="center"/>
          </w:tcPr>
          <w:p w14:paraId="103BEF7A" w14:textId="505B7CAB" w:rsidR="00E040FD" w:rsidRDefault="00740D64">
            <w:pPr>
              <w:pStyle w:val="P68B1DB1-Normal12"/>
              <w:spacing w:after="0" w:line="240" w:lineRule="auto"/>
              <w:jc w:val="center"/>
              <w:rPr>
                <w:rFonts w:cstheme="minorHAnsi"/>
                <w:noProof/>
              </w:rPr>
            </w:pPr>
            <w:r>
              <w:rPr>
                <w:noProof/>
              </w:rPr>
              <w:t xml:space="preserve"> Slutförande av stödinfrastruktur och datacentrum för det nationella avancerade datacentrumet</w:t>
            </w:r>
          </w:p>
        </w:tc>
        <w:tc>
          <w:tcPr>
            <w:tcW w:w="982" w:type="dxa"/>
            <w:shd w:val="clear" w:color="auto" w:fill="C4EFCE"/>
            <w:vAlign w:val="center"/>
          </w:tcPr>
          <w:p w14:paraId="665EDCF5" w14:textId="77777777" w:rsidR="00E040FD" w:rsidRDefault="00E040FD">
            <w:pPr>
              <w:spacing w:after="0" w:line="240" w:lineRule="auto"/>
              <w:jc w:val="center"/>
              <w:rPr>
                <w:rFonts w:cstheme="minorHAnsi"/>
                <w:noProof/>
                <w:sz w:val="16"/>
              </w:rPr>
            </w:pPr>
          </w:p>
        </w:tc>
        <w:tc>
          <w:tcPr>
            <w:tcW w:w="982" w:type="dxa"/>
            <w:shd w:val="clear" w:color="auto" w:fill="C4EFCE"/>
            <w:vAlign w:val="center"/>
          </w:tcPr>
          <w:p w14:paraId="604F8156" w14:textId="77777777" w:rsidR="00E040FD" w:rsidRDefault="00E040FD">
            <w:pPr>
              <w:spacing w:after="0" w:line="240" w:lineRule="auto"/>
              <w:jc w:val="center"/>
              <w:rPr>
                <w:rFonts w:cstheme="minorHAnsi"/>
                <w:noProof/>
                <w:sz w:val="16"/>
              </w:rPr>
            </w:pPr>
          </w:p>
        </w:tc>
        <w:tc>
          <w:tcPr>
            <w:tcW w:w="626" w:type="dxa"/>
            <w:shd w:val="clear" w:color="auto" w:fill="C4EFCE"/>
            <w:vAlign w:val="center"/>
          </w:tcPr>
          <w:p w14:paraId="6521B461" w14:textId="77777777" w:rsidR="00E040FD" w:rsidRDefault="00E040FD">
            <w:pPr>
              <w:spacing w:after="0" w:line="240" w:lineRule="auto"/>
              <w:jc w:val="center"/>
              <w:rPr>
                <w:rFonts w:cstheme="minorHAnsi"/>
                <w:noProof/>
                <w:sz w:val="16"/>
                <w:highlight w:val="cyan"/>
              </w:rPr>
            </w:pPr>
          </w:p>
        </w:tc>
        <w:tc>
          <w:tcPr>
            <w:tcW w:w="514" w:type="dxa"/>
            <w:shd w:val="clear" w:color="auto" w:fill="C4EFCE"/>
            <w:vAlign w:val="center"/>
          </w:tcPr>
          <w:p w14:paraId="5911DBE8" w14:textId="2778B2F0" w:rsidR="00E040FD" w:rsidRDefault="00740D64">
            <w:pPr>
              <w:pStyle w:val="P68B1DB1-Normal12"/>
              <w:spacing w:after="0" w:line="240" w:lineRule="auto"/>
              <w:jc w:val="center"/>
              <w:rPr>
                <w:rFonts w:cstheme="minorHAnsi"/>
                <w:noProof/>
              </w:rPr>
            </w:pPr>
            <w:r>
              <w:rPr>
                <w:noProof/>
              </w:rPr>
              <w:t>KVARTAL 1</w:t>
            </w:r>
          </w:p>
        </w:tc>
        <w:tc>
          <w:tcPr>
            <w:tcW w:w="747" w:type="dxa"/>
            <w:shd w:val="clear" w:color="auto" w:fill="C4EFCE"/>
            <w:vAlign w:val="center"/>
          </w:tcPr>
          <w:p w14:paraId="1D2E37FD" w14:textId="5C75696B" w:rsidR="00E040FD" w:rsidRDefault="00740D64">
            <w:pPr>
              <w:pStyle w:val="P68B1DB1-Normal12"/>
              <w:spacing w:after="0" w:line="240" w:lineRule="auto"/>
              <w:jc w:val="center"/>
              <w:rPr>
                <w:rFonts w:cstheme="minorHAnsi"/>
                <w:noProof/>
              </w:rPr>
            </w:pPr>
            <w:r>
              <w:rPr>
                <w:noProof/>
              </w:rPr>
              <w:t>2026</w:t>
            </w:r>
          </w:p>
        </w:tc>
        <w:tc>
          <w:tcPr>
            <w:tcW w:w="3919" w:type="dxa"/>
            <w:shd w:val="clear" w:color="auto" w:fill="C4EFCE"/>
            <w:vAlign w:val="center"/>
          </w:tcPr>
          <w:p w14:paraId="11269D2F" w14:textId="53F8063F" w:rsidR="00E040FD" w:rsidRDefault="00740D64">
            <w:pPr>
              <w:pStyle w:val="P68B1DB1-Bodytext1013"/>
              <w:spacing w:line="256" w:lineRule="auto"/>
              <w:rPr>
                <w:rFonts w:cstheme="minorHAnsi"/>
                <w:noProof/>
              </w:rPr>
            </w:pPr>
            <w:r>
              <w:rPr>
                <w:noProof/>
              </w:rPr>
              <w:t>Slutförande av stödinfrastruktur och datacentrum för det nationella avancerade datacentrumet </w:t>
            </w:r>
          </w:p>
        </w:tc>
      </w:tr>
      <w:tr w:rsidR="00E040FD" w14:paraId="3AE6E34A" w14:textId="77777777">
        <w:trPr>
          <w:trHeight w:val="67"/>
        </w:trPr>
        <w:tc>
          <w:tcPr>
            <w:tcW w:w="1134" w:type="dxa"/>
            <w:shd w:val="clear" w:color="auto" w:fill="C4EFCE"/>
            <w:vAlign w:val="center"/>
          </w:tcPr>
          <w:p w14:paraId="55867E7C" w14:textId="373DE81E" w:rsidR="00E040FD" w:rsidRDefault="00740D64">
            <w:pPr>
              <w:pStyle w:val="P68B1DB1-Normal11"/>
              <w:spacing w:after="0" w:line="240" w:lineRule="auto"/>
              <w:jc w:val="center"/>
              <w:rPr>
                <w:rFonts w:cstheme="minorHAnsi"/>
                <w:noProof/>
              </w:rPr>
            </w:pPr>
            <w:r>
              <w:rPr>
                <w:noProof/>
              </w:rPr>
              <w:t>5.39</w:t>
            </w:r>
          </w:p>
        </w:tc>
        <w:tc>
          <w:tcPr>
            <w:tcW w:w="1165" w:type="dxa"/>
            <w:shd w:val="clear" w:color="auto" w:fill="C4EFCE"/>
            <w:vAlign w:val="center"/>
          </w:tcPr>
          <w:p w14:paraId="23AF3018" w14:textId="0A8EDF3B" w:rsidR="00E040FD" w:rsidRDefault="00740D64">
            <w:pPr>
              <w:pStyle w:val="P68B1DB1-Normal12"/>
              <w:spacing w:after="0" w:line="240" w:lineRule="auto"/>
              <w:jc w:val="center"/>
              <w:rPr>
                <w:rFonts w:cstheme="minorHAnsi"/>
                <w:noProof/>
              </w:rPr>
            </w:pPr>
            <w:r>
              <w:rPr>
                <w:noProof/>
              </w:rPr>
              <w:t>RE-C05-i09</w:t>
            </w:r>
          </w:p>
        </w:tc>
        <w:tc>
          <w:tcPr>
            <w:tcW w:w="976" w:type="dxa"/>
            <w:shd w:val="clear" w:color="auto" w:fill="C4EFCE"/>
            <w:vAlign w:val="center"/>
          </w:tcPr>
          <w:p w14:paraId="12D4C26B" w14:textId="71E2271E" w:rsidR="00E040FD" w:rsidRDefault="00740D64">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0733311B" w14:textId="4DAD6F17" w:rsidR="00E040FD" w:rsidRDefault="00740D64">
            <w:pPr>
              <w:pStyle w:val="P68B1DB1-Bodytext1013"/>
              <w:spacing w:line="256" w:lineRule="auto"/>
              <w:jc w:val="center"/>
              <w:rPr>
                <w:rFonts w:cstheme="minorHAnsi"/>
                <w:noProof/>
              </w:rPr>
            </w:pPr>
            <w:r>
              <w:rPr>
                <w:noProof/>
              </w:rPr>
              <w:t>Ingående av avtal för att utveckla nya produkter, processer eller tjänster inom relevanta strategiska områden (innovationsagendor).</w:t>
            </w:r>
          </w:p>
        </w:tc>
        <w:tc>
          <w:tcPr>
            <w:tcW w:w="2029" w:type="dxa"/>
            <w:shd w:val="clear" w:color="auto" w:fill="C4EFCE"/>
            <w:vAlign w:val="center"/>
          </w:tcPr>
          <w:p w14:paraId="51EF8F0E" w14:textId="406D3CE7" w:rsidR="00E040FD" w:rsidRDefault="00E040FD">
            <w:pPr>
              <w:spacing w:after="0" w:line="240" w:lineRule="auto"/>
              <w:jc w:val="center"/>
              <w:rPr>
                <w:rFonts w:cstheme="minorHAnsi"/>
                <w:noProof/>
                <w:sz w:val="16"/>
              </w:rPr>
            </w:pPr>
          </w:p>
        </w:tc>
        <w:tc>
          <w:tcPr>
            <w:tcW w:w="982" w:type="dxa"/>
            <w:shd w:val="clear" w:color="auto" w:fill="C4EFCE"/>
            <w:vAlign w:val="center"/>
          </w:tcPr>
          <w:p w14:paraId="6E4FF967" w14:textId="04C05558" w:rsidR="00E040FD" w:rsidRDefault="00740D64">
            <w:pPr>
              <w:pStyle w:val="P68B1DB1-Normal12"/>
              <w:spacing w:after="0" w:line="240" w:lineRule="auto"/>
              <w:jc w:val="center"/>
              <w:rPr>
                <w:rFonts w:cstheme="minorHAnsi"/>
                <w:noProof/>
              </w:rPr>
            </w:pPr>
            <w:r>
              <w:rPr>
                <w:noProof/>
              </w:rPr>
              <w:t>Antal</w:t>
            </w:r>
          </w:p>
        </w:tc>
        <w:tc>
          <w:tcPr>
            <w:tcW w:w="982" w:type="dxa"/>
            <w:shd w:val="clear" w:color="auto" w:fill="C4EFCE"/>
            <w:vAlign w:val="center"/>
          </w:tcPr>
          <w:p w14:paraId="0D1FE526" w14:textId="0994B876" w:rsidR="00E040FD" w:rsidRDefault="00740D64">
            <w:pPr>
              <w:pStyle w:val="P68B1DB1-Normal12"/>
              <w:spacing w:after="0" w:line="240" w:lineRule="auto"/>
              <w:jc w:val="center"/>
              <w:rPr>
                <w:rFonts w:cstheme="minorHAnsi"/>
                <w:noProof/>
              </w:rPr>
            </w:pPr>
            <w:r>
              <w:rPr>
                <w:noProof/>
              </w:rPr>
              <w:t>6</w:t>
            </w:r>
          </w:p>
        </w:tc>
        <w:tc>
          <w:tcPr>
            <w:tcW w:w="626" w:type="dxa"/>
            <w:shd w:val="clear" w:color="auto" w:fill="C4EFCE"/>
            <w:vAlign w:val="center"/>
          </w:tcPr>
          <w:p w14:paraId="1BA698AE" w14:textId="4F2BA1A9" w:rsidR="00E040FD" w:rsidRDefault="00740D64">
            <w:pPr>
              <w:pStyle w:val="P68B1DB1-Normal12"/>
              <w:spacing w:after="0" w:line="240" w:lineRule="auto"/>
              <w:jc w:val="center"/>
              <w:rPr>
                <w:rFonts w:cstheme="minorHAnsi"/>
                <w:noProof/>
              </w:rPr>
            </w:pPr>
            <w:r>
              <w:rPr>
                <w:noProof/>
              </w:rPr>
              <w:t>12</w:t>
            </w:r>
          </w:p>
        </w:tc>
        <w:tc>
          <w:tcPr>
            <w:tcW w:w="514" w:type="dxa"/>
            <w:shd w:val="clear" w:color="auto" w:fill="C4EFCE"/>
            <w:vAlign w:val="center"/>
          </w:tcPr>
          <w:p w14:paraId="613C15B0" w14:textId="65072EBB" w:rsidR="00E040FD" w:rsidRDefault="00740D64">
            <w:pPr>
              <w:pStyle w:val="P68B1DB1-Normal12"/>
              <w:spacing w:after="0" w:line="240" w:lineRule="auto"/>
              <w:jc w:val="center"/>
              <w:rPr>
                <w:noProof/>
              </w:rPr>
            </w:pPr>
            <w:r>
              <w:rPr>
                <w:noProof/>
              </w:rPr>
              <w:t>KVARTAL 2</w:t>
            </w:r>
          </w:p>
        </w:tc>
        <w:tc>
          <w:tcPr>
            <w:tcW w:w="747" w:type="dxa"/>
            <w:shd w:val="clear" w:color="auto" w:fill="C4EFCE"/>
            <w:vAlign w:val="center"/>
          </w:tcPr>
          <w:p w14:paraId="5918EFE8" w14:textId="585FC784" w:rsidR="00E040FD" w:rsidRDefault="00740D64">
            <w:pPr>
              <w:pStyle w:val="P68B1DB1-Normal12"/>
              <w:spacing w:after="0" w:line="240" w:lineRule="auto"/>
              <w:jc w:val="center"/>
              <w:rPr>
                <w:rFonts w:cstheme="minorHAnsi"/>
                <w:noProof/>
              </w:rPr>
            </w:pPr>
            <w:r>
              <w:rPr>
                <w:noProof/>
              </w:rPr>
              <w:t>2023</w:t>
            </w:r>
          </w:p>
        </w:tc>
        <w:tc>
          <w:tcPr>
            <w:tcW w:w="3919" w:type="dxa"/>
            <w:shd w:val="clear" w:color="auto" w:fill="C4EFCE"/>
            <w:vAlign w:val="center"/>
          </w:tcPr>
          <w:p w14:paraId="6D75FE2C" w14:textId="033B317C" w:rsidR="00E040FD" w:rsidRDefault="00740D64">
            <w:pPr>
              <w:pStyle w:val="P68B1DB1-Bodytext1013"/>
              <w:spacing w:after="0" w:line="256" w:lineRule="auto"/>
              <w:rPr>
                <w:rFonts w:cstheme="minorHAnsi"/>
                <w:noProof/>
              </w:rPr>
            </w:pPr>
            <w:r>
              <w:rPr>
                <w:noProof/>
              </w:rPr>
              <w:t>Ingående av ytterligare sex kontrakt (innovationspakter eller mobilisering av projekt) med konsortier, som ska omfatta följande:</w:t>
            </w:r>
          </w:p>
          <w:p w14:paraId="62A4DB6A" w14:textId="77777777" w:rsidR="00E040FD" w:rsidRDefault="00740D64">
            <w:pPr>
              <w:pStyle w:val="P68B1DB1-Bodytext1013"/>
              <w:spacing w:after="0" w:line="256" w:lineRule="auto"/>
              <w:rPr>
                <w:rFonts w:cstheme="minorHAnsi"/>
                <w:noProof/>
              </w:rPr>
            </w:pPr>
            <w:r>
              <w:rPr>
                <w:noProof/>
              </w:rPr>
              <w:t>• Identifiering av de enheter som ingår i konsortiet.</w:t>
            </w:r>
          </w:p>
          <w:p w14:paraId="69824E0B" w14:textId="77777777" w:rsidR="00E040FD" w:rsidRDefault="00740D64">
            <w:pPr>
              <w:pStyle w:val="P68B1DB1-Bodytext1013"/>
              <w:spacing w:after="0" w:line="256" w:lineRule="auto"/>
              <w:rPr>
                <w:rFonts w:cstheme="minorHAnsi"/>
                <w:noProof/>
              </w:rPr>
            </w:pPr>
            <w:r>
              <w:rPr>
                <w:noProof/>
              </w:rPr>
              <w:t>• Affärsplanen/investeringen.</w:t>
            </w:r>
          </w:p>
          <w:p w14:paraId="46F8E259" w14:textId="77777777" w:rsidR="00E040FD" w:rsidRDefault="00740D64">
            <w:pPr>
              <w:pStyle w:val="P68B1DB1-Bodytext1013"/>
              <w:spacing w:after="0" w:line="256" w:lineRule="auto"/>
              <w:rPr>
                <w:rFonts w:cstheme="minorHAnsi"/>
                <w:noProof/>
              </w:rPr>
            </w:pPr>
            <w:r>
              <w:rPr>
                <w:noProof/>
              </w:rPr>
              <w:t>• Finansieringsbeloppet.</w:t>
            </w:r>
          </w:p>
          <w:p w14:paraId="55104ED1" w14:textId="77777777" w:rsidR="00E040FD" w:rsidRDefault="00740D64">
            <w:pPr>
              <w:pStyle w:val="P68B1DB1-Bodytext1013"/>
              <w:spacing w:after="0" w:line="256" w:lineRule="auto"/>
              <w:rPr>
                <w:rFonts w:cstheme="minorHAnsi"/>
                <w:noProof/>
              </w:rPr>
            </w:pPr>
            <w:r>
              <w:rPr>
                <w:noProof/>
              </w:rPr>
              <w:t>• De mål som stödmottagaren är bunden av.</w:t>
            </w:r>
          </w:p>
          <w:p w14:paraId="6DAC83A3" w14:textId="77777777" w:rsidR="00E040FD" w:rsidRDefault="00740D64">
            <w:pPr>
              <w:pStyle w:val="P68B1DB1-Bodytext1013"/>
              <w:spacing w:after="0" w:line="256" w:lineRule="auto"/>
              <w:rPr>
                <w:rFonts w:cstheme="minorHAnsi"/>
                <w:noProof/>
              </w:rPr>
            </w:pPr>
            <w:r>
              <w:rPr>
                <w:noProof/>
              </w:rPr>
              <w:t xml:space="preserve">• Övervakningsformen. </w:t>
            </w:r>
          </w:p>
          <w:p w14:paraId="5CFD5ACF" w14:textId="7A86A58C" w:rsidR="00E040FD" w:rsidRDefault="00E040FD">
            <w:pPr>
              <w:pStyle w:val="Bodytext10"/>
              <w:spacing w:after="0" w:line="256" w:lineRule="auto"/>
              <w:rPr>
                <w:rFonts w:asciiTheme="minorHAnsi" w:hAnsiTheme="minorHAnsi" w:cstheme="minorHAnsi"/>
                <w:noProof/>
                <w:sz w:val="16"/>
              </w:rPr>
            </w:pPr>
          </w:p>
          <w:p w14:paraId="0E42EAA5" w14:textId="7A444261" w:rsidR="00E040FD" w:rsidRDefault="00740D64">
            <w:pPr>
              <w:pStyle w:val="P68B1DB1-Bodytext1013"/>
              <w:spacing w:after="0" w:line="256" w:lineRule="auto"/>
              <w:rPr>
                <w:rFonts w:cstheme="minorHAnsi"/>
                <w:noProof/>
              </w:rPr>
            </w:pPr>
            <w:r>
              <w:rPr>
                <w:noProof/>
              </w:rPr>
              <w:t>Avtalen ska omfatta sammanlagt minst 168 produkter, processer eller tjänster. Kravspecifikationerna ska omfatta kriterier för stödberättigande som säkerställer att de utvalda projekten uppfyller den tekniska vägledningen om att inte orsaka betydande skada (2021/C58/01), genom användning av en uteslutningslista och kravet på överensstämmelse med relevant EU-lagstiftning och nationell miljölagstiftning.</w:t>
            </w:r>
          </w:p>
          <w:p w14:paraId="2CB8717F" w14:textId="38307B1B" w:rsidR="00E040FD" w:rsidRDefault="00740D64">
            <w:pPr>
              <w:pStyle w:val="P68B1DB1-Normal12"/>
              <w:spacing w:after="0" w:line="240" w:lineRule="auto"/>
              <w:jc w:val="both"/>
              <w:rPr>
                <w:rFonts w:cstheme="minorHAnsi"/>
                <w:noProof/>
              </w:rPr>
            </w:pPr>
            <w:r>
              <w:rPr>
                <w:noProof/>
              </w:rPr>
              <w:t>Avtalen ska komplettera de kontrakt som genomförs i RE-C05-i01.01.</w:t>
            </w:r>
          </w:p>
        </w:tc>
      </w:tr>
      <w:tr w:rsidR="00E040FD" w14:paraId="79996882" w14:textId="77777777">
        <w:trPr>
          <w:trHeight w:val="67"/>
        </w:trPr>
        <w:tc>
          <w:tcPr>
            <w:tcW w:w="1134" w:type="dxa"/>
            <w:shd w:val="clear" w:color="auto" w:fill="C4EFCE"/>
            <w:vAlign w:val="center"/>
          </w:tcPr>
          <w:p w14:paraId="1F809E62" w14:textId="68C8C255" w:rsidR="00E040FD" w:rsidRDefault="00740D64">
            <w:pPr>
              <w:pStyle w:val="P68B1DB1-Normal11"/>
              <w:spacing w:after="0" w:line="240" w:lineRule="auto"/>
              <w:jc w:val="center"/>
              <w:rPr>
                <w:rFonts w:cstheme="minorHAnsi"/>
                <w:noProof/>
              </w:rPr>
            </w:pPr>
            <w:r>
              <w:rPr>
                <w:noProof/>
              </w:rPr>
              <w:t>5.40</w:t>
            </w:r>
          </w:p>
        </w:tc>
        <w:tc>
          <w:tcPr>
            <w:tcW w:w="1165" w:type="dxa"/>
            <w:shd w:val="clear" w:color="auto" w:fill="C4EFCE"/>
            <w:vAlign w:val="center"/>
          </w:tcPr>
          <w:p w14:paraId="2448D13F" w14:textId="7FECC704" w:rsidR="00E040FD" w:rsidRDefault="00740D64">
            <w:pPr>
              <w:pStyle w:val="P68B1DB1-Normal12"/>
              <w:spacing w:after="0" w:line="240" w:lineRule="auto"/>
              <w:jc w:val="center"/>
              <w:rPr>
                <w:rFonts w:cstheme="minorHAnsi"/>
                <w:noProof/>
              </w:rPr>
            </w:pPr>
            <w:r>
              <w:rPr>
                <w:noProof/>
              </w:rPr>
              <w:t>RE-C05-i09</w:t>
            </w:r>
          </w:p>
        </w:tc>
        <w:tc>
          <w:tcPr>
            <w:tcW w:w="976" w:type="dxa"/>
            <w:shd w:val="clear" w:color="auto" w:fill="C4EFCE"/>
            <w:vAlign w:val="center"/>
          </w:tcPr>
          <w:p w14:paraId="189027D8" w14:textId="2A50F1CB" w:rsidR="00E040FD" w:rsidRDefault="00740D64">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6D5547A8" w14:textId="2F88C75C" w:rsidR="00E040FD" w:rsidRDefault="00740D64">
            <w:pPr>
              <w:pStyle w:val="P68B1DB1-Normal12"/>
              <w:spacing w:after="0" w:line="240" w:lineRule="auto"/>
              <w:jc w:val="center"/>
              <w:rPr>
                <w:rFonts w:cstheme="minorHAnsi"/>
                <w:noProof/>
              </w:rPr>
            </w:pPr>
            <w:r>
              <w:rPr>
                <w:noProof/>
              </w:rPr>
              <w:t xml:space="preserve">Slutförande av 168 produkter, processer eller tjänster.  </w:t>
            </w:r>
          </w:p>
        </w:tc>
        <w:tc>
          <w:tcPr>
            <w:tcW w:w="2029" w:type="dxa"/>
            <w:shd w:val="clear" w:color="auto" w:fill="C4EFCE"/>
            <w:vAlign w:val="center"/>
          </w:tcPr>
          <w:p w14:paraId="7BAAEF17" w14:textId="54FC47FA" w:rsidR="00E040FD" w:rsidRDefault="00740D64">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67A33752" w14:textId="6D621BE2" w:rsidR="00E040FD" w:rsidRDefault="00740D64">
            <w:pPr>
              <w:pStyle w:val="P68B1DB1-Normal12"/>
              <w:spacing w:after="0" w:line="240" w:lineRule="auto"/>
              <w:jc w:val="center"/>
              <w:rPr>
                <w:rFonts w:cstheme="minorHAnsi"/>
                <w:noProof/>
              </w:rPr>
            </w:pPr>
            <w:r>
              <w:rPr>
                <w:noProof/>
              </w:rPr>
              <w:t>Antal</w:t>
            </w:r>
          </w:p>
        </w:tc>
        <w:tc>
          <w:tcPr>
            <w:tcW w:w="982" w:type="dxa"/>
            <w:shd w:val="clear" w:color="auto" w:fill="C4EFCE"/>
            <w:vAlign w:val="center"/>
          </w:tcPr>
          <w:p w14:paraId="7B8E2944" w14:textId="7F3E3842" w:rsidR="00E040FD" w:rsidRDefault="00740D64">
            <w:pPr>
              <w:pStyle w:val="P68B1DB1-Normal12"/>
              <w:spacing w:after="0" w:line="240" w:lineRule="auto"/>
              <w:jc w:val="center"/>
              <w:rPr>
                <w:rFonts w:cstheme="minorHAnsi"/>
                <w:noProof/>
              </w:rPr>
            </w:pPr>
            <w:r>
              <w:rPr>
                <w:noProof/>
              </w:rPr>
              <w:t>60</w:t>
            </w:r>
          </w:p>
        </w:tc>
        <w:tc>
          <w:tcPr>
            <w:tcW w:w="626" w:type="dxa"/>
            <w:shd w:val="clear" w:color="auto" w:fill="C4EFCE"/>
            <w:vAlign w:val="center"/>
          </w:tcPr>
          <w:p w14:paraId="17D205CC" w14:textId="6F573DC8" w:rsidR="00E040FD" w:rsidRDefault="00740D64">
            <w:pPr>
              <w:pStyle w:val="P68B1DB1-Normal12"/>
              <w:spacing w:after="0" w:line="240" w:lineRule="auto"/>
              <w:jc w:val="center"/>
              <w:rPr>
                <w:rFonts w:cstheme="minorHAnsi"/>
                <w:noProof/>
              </w:rPr>
            </w:pPr>
            <w:r>
              <w:rPr>
                <w:noProof/>
              </w:rPr>
              <w:t xml:space="preserve"> 228</w:t>
            </w:r>
          </w:p>
        </w:tc>
        <w:tc>
          <w:tcPr>
            <w:tcW w:w="514" w:type="dxa"/>
            <w:shd w:val="clear" w:color="auto" w:fill="C4EFCE"/>
            <w:vAlign w:val="center"/>
          </w:tcPr>
          <w:p w14:paraId="6F3532C1" w14:textId="289AE2F2" w:rsidR="00E040FD" w:rsidRDefault="00740D64">
            <w:pPr>
              <w:pStyle w:val="P68B1DB1-Normal12"/>
              <w:spacing w:after="0" w:line="240" w:lineRule="auto"/>
              <w:jc w:val="center"/>
              <w:rPr>
                <w:rFonts w:cstheme="minorHAnsi"/>
                <w:noProof/>
              </w:rPr>
            </w:pPr>
            <w:r>
              <w:rPr>
                <w:noProof/>
              </w:rPr>
              <w:t>KVARTAL 4</w:t>
            </w:r>
          </w:p>
        </w:tc>
        <w:tc>
          <w:tcPr>
            <w:tcW w:w="747" w:type="dxa"/>
            <w:shd w:val="clear" w:color="auto" w:fill="C4EFCE"/>
            <w:vAlign w:val="center"/>
          </w:tcPr>
          <w:p w14:paraId="66E91989" w14:textId="59013342" w:rsidR="00E040FD" w:rsidRDefault="00740D64">
            <w:pPr>
              <w:pStyle w:val="P68B1DB1-Normal12"/>
              <w:spacing w:after="0" w:line="240" w:lineRule="auto"/>
              <w:jc w:val="center"/>
              <w:rPr>
                <w:rFonts w:cstheme="minorHAnsi"/>
                <w:noProof/>
              </w:rPr>
            </w:pPr>
            <w:r>
              <w:rPr>
                <w:noProof/>
              </w:rPr>
              <w:t>2025</w:t>
            </w:r>
          </w:p>
        </w:tc>
        <w:tc>
          <w:tcPr>
            <w:tcW w:w="3919" w:type="dxa"/>
            <w:shd w:val="clear" w:color="auto" w:fill="C4EFCE"/>
            <w:vAlign w:val="center"/>
          </w:tcPr>
          <w:p w14:paraId="5634C65C" w14:textId="1CC82B3E" w:rsidR="00E040FD" w:rsidRDefault="00740D64">
            <w:pPr>
              <w:pStyle w:val="P68B1DB1-Normal12"/>
              <w:spacing w:after="0" w:line="240" w:lineRule="auto"/>
              <w:jc w:val="both"/>
              <w:rPr>
                <w:rFonts w:cstheme="minorHAnsi"/>
                <w:noProof/>
              </w:rPr>
            </w:pPr>
            <w:r>
              <w:rPr>
                <w:noProof/>
              </w:rPr>
              <w:t xml:space="preserve">Slutförande av 168 produkter, processer eller tjänster inom relevanta strategiska områden till följd av genomförandet av de kontrakt (innovationspakter eller mobilisering av projekt) som ingåtts med konsortier. </w:t>
            </w:r>
          </w:p>
          <w:p w14:paraId="17858DB0" w14:textId="3D72F028" w:rsidR="00E040FD" w:rsidRDefault="00740D64">
            <w:pPr>
              <w:pStyle w:val="P68B1DB1-Normal12"/>
              <w:spacing w:after="0" w:line="240" w:lineRule="auto"/>
              <w:jc w:val="both"/>
              <w:rPr>
                <w:rFonts w:cstheme="minorHAnsi"/>
                <w:noProof/>
              </w:rPr>
            </w:pPr>
            <w:r>
              <w:rPr>
                <w:noProof/>
              </w:rPr>
              <w:t>PPS ska läggas till den PPS som genomförs i RE-C05-i01.01.</w:t>
            </w:r>
          </w:p>
        </w:tc>
      </w:tr>
      <w:tr w:rsidR="00E040FD" w14:paraId="54F09D51" w14:textId="77777777">
        <w:trPr>
          <w:trHeight w:val="67"/>
        </w:trPr>
        <w:tc>
          <w:tcPr>
            <w:tcW w:w="1134" w:type="dxa"/>
            <w:shd w:val="clear" w:color="auto" w:fill="C4EFCE"/>
            <w:vAlign w:val="center"/>
          </w:tcPr>
          <w:p w14:paraId="4437149E" w14:textId="3BA835D1" w:rsidR="00E040FD" w:rsidRDefault="00740D64">
            <w:pPr>
              <w:pStyle w:val="P68B1DB1-Normal11"/>
              <w:spacing w:after="0" w:line="240" w:lineRule="auto"/>
              <w:jc w:val="center"/>
              <w:rPr>
                <w:rFonts w:cstheme="minorHAnsi"/>
                <w:noProof/>
              </w:rPr>
            </w:pPr>
            <w:r>
              <w:rPr>
                <w:noProof/>
              </w:rPr>
              <w:t>5.41</w:t>
            </w:r>
          </w:p>
        </w:tc>
        <w:tc>
          <w:tcPr>
            <w:tcW w:w="1165" w:type="dxa"/>
            <w:shd w:val="clear" w:color="auto" w:fill="C4EFCE"/>
            <w:vAlign w:val="center"/>
          </w:tcPr>
          <w:p w14:paraId="101EC2D9" w14:textId="6518B9EE" w:rsidR="00E040FD" w:rsidRDefault="00740D64">
            <w:pPr>
              <w:pStyle w:val="P68B1DB1-Normal12"/>
              <w:spacing w:after="0" w:line="240" w:lineRule="auto"/>
              <w:jc w:val="center"/>
              <w:rPr>
                <w:rFonts w:cstheme="minorHAnsi"/>
                <w:noProof/>
              </w:rPr>
            </w:pPr>
            <w:r>
              <w:rPr>
                <w:noProof/>
              </w:rPr>
              <w:t>RE-C05-i10</w:t>
            </w:r>
          </w:p>
        </w:tc>
        <w:tc>
          <w:tcPr>
            <w:tcW w:w="976" w:type="dxa"/>
            <w:shd w:val="clear" w:color="auto" w:fill="C4EFCE"/>
            <w:vAlign w:val="center"/>
          </w:tcPr>
          <w:p w14:paraId="0725C352" w14:textId="063CCE63" w:rsidR="00E040FD" w:rsidRDefault="00740D64">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4EC2D503" w14:textId="59A7F5B4" w:rsidR="00E040FD" w:rsidRDefault="00740D64">
            <w:pPr>
              <w:pStyle w:val="P68B1DB1-Normal12"/>
              <w:spacing w:after="0" w:line="240" w:lineRule="auto"/>
              <w:jc w:val="center"/>
              <w:rPr>
                <w:rFonts w:cstheme="minorHAnsi"/>
                <w:noProof/>
              </w:rPr>
            </w:pPr>
            <w:r>
              <w:rPr>
                <w:noProof/>
              </w:rPr>
              <w:t>Ingående av avtal för att utveckla nya produkter, processer eller tjänster på strategiska områden som är relevanta för en koldioxidsnål ekonomi, motståndskraft mot och anpassning till klimatförändringar.</w:t>
            </w:r>
          </w:p>
        </w:tc>
        <w:tc>
          <w:tcPr>
            <w:tcW w:w="2029" w:type="dxa"/>
            <w:shd w:val="clear" w:color="auto" w:fill="C4EFCE"/>
            <w:vAlign w:val="center"/>
          </w:tcPr>
          <w:p w14:paraId="2372C515" w14:textId="07E910F9" w:rsidR="00E040FD" w:rsidRDefault="00740D64">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04FF8D2D" w14:textId="133CE3BF" w:rsidR="00E040FD" w:rsidRDefault="00740D64">
            <w:pPr>
              <w:pStyle w:val="P68B1DB1-Normal12"/>
              <w:spacing w:after="0" w:line="240" w:lineRule="auto"/>
              <w:jc w:val="center"/>
              <w:rPr>
                <w:rFonts w:cstheme="minorHAnsi"/>
                <w:noProof/>
              </w:rPr>
            </w:pPr>
            <w:r>
              <w:rPr>
                <w:noProof/>
              </w:rPr>
              <w:t>Antal</w:t>
            </w:r>
          </w:p>
        </w:tc>
        <w:tc>
          <w:tcPr>
            <w:tcW w:w="982" w:type="dxa"/>
            <w:shd w:val="clear" w:color="auto" w:fill="C4EFCE"/>
            <w:vAlign w:val="center"/>
          </w:tcPr>
          <w:p w14:paraId="5AD7A2F4" w14:textId="21F9CE36" w:rsidR="00E040FD" w:rsidRDefault="00740D64">
            <w:pPr>
              <w:pStyle w:val="P68B1DB1-Normal12"/>
              <w:spacing w:after="0" w:line="240" w:lineRule="auto"/>
              <w:jc w:val="center"/>
              <w:rPr>
                <w:rFonts w:cstheme="minorHAnsi"/>
                <w:noProof/>
              </w:rPr>
            </w:pPr>
            <w:r>
              <w:rPr>
                <w:noProof/>
              </w:rPr>
              <w:t>4</w:t>
            </w:r>
          </w:p>
        </w:tc>
        <w:tc>
          <w:tcPr>
            <w:tcW w:w="626" w:type="dxa"/>
            <w:shd w:val="clear" w:color="auto" w:fill="C4EFCE"/>
            <w:vAlign w:val="center"/>
          </w:tcPr>
          <w:p w14:paraId="1D935FE8" w14:textId="05F0796F" w:rsidR="00E040FD" w:rsidRDefault="00740D64">
            <w:pPr>
              <w:pStyle w:val="P68B1DB1-Normal12"/>
              <w:spacing w:after="0" w:line="240" w:lineRule="auto"/>
              <w:jc w:val="center"/>
              <w:rPr>
                <w:rFonts w:cstheme="minorHAnsi"/>
                <w:noProof/>
              </w:rPr>
            </w:pPr>
            <w:r>
              <w:rPr>
                <w:noProof/>
              </w:rPr>
              <w:t>10</w:t>
            </w:r>
          </w:p>
        </w:tc>
        <w:tc>
          <w:tcPr>
            <w:tcW w:w="514" w:type="dxa"/>
            <w:shd w:val="clear" w:color="auto" w:fill="C4EFCE"/>
            <w:vAlign w:val="center"/>
          </w:tcPr>
          <w:p w14:paraId="39D30506" w14:textId="0975D809" w:rsidR="00E040FD" w:rsidRDefault="00740D64">
            <w:pPr>
              <w:pStyle w:val="P68B1DB1-Normal12"/>
              <w:spacing w:after="0" w:line="240" w:lineRule="auto"/>
              <w:jc w:val="center"/>
              <w:rPr>
                <w:noProof/>
              </w:rPr>
            </w:pPr>
            <w:r>
              <w:rPr>
                <w:noProof/>
              </w:rPr>
              <w:t>KVARTAL 2</w:t>
            </w:r>
          </w:p>
        </w:tc>
        <w:tc>
          <w:tcPr>
            <w:tcW w:w="747" w:type="dxa"/>
            <w:shd w:val="clear" w:color="auto" w:fill="C4EFCE"/>
            <w:vAlign w:val="center"/>
          </w:tcPr>
          <w:p w14:paraId="6F74846E" w14:textId="4FBFD7C9" w:rsidR="00E040FD" w:rsidRDefault="00740D64">
            <w:pPr>
              <w:pStyle w:val="P68B1DB1-Normal12"/>
              <w:spacing w:after="0" w:line="240" w:lineRule="auto"/>
              <w:jc w:val="center"/>
              <w:rPr>
                <w:rFonts w:cstheme="minorHAnsi"/>
                <w:noProof/>
              </w:rPr>
            </w:pPr>
            <w:r>
              <w:rPr>
                <w:noProof/>
              </w:rPr>
              <w:t>2023</w:t>
            </w:r>
          </w:p>
        </w:tc>
        <w:tc>
          <w:tcPr>
            <w:tcW w:w="3919" w:type="dxa"/>
            <w:shd w:val="clear" w:color="auto" w:fill="C4EFCE"/>
            <w:vAlign w:val="center"/>
          </w:tcPr>
          <w:p w14:paraId="0DC61D27" w14:textId="2F8F2DAB" w:rsidR="00E040FD" w:rsidRDefault="00740D64">
            <w:pPr>
              <w:pStyle w:val="P68B1DB1-Bodytext1013"/>
              <w:spacing w:after="0" w:line="256" w:lineRule="auto"/>
              <w:rPr>
                <w:rFonts w:eastAsiaTheme="minorEastAsia" w:cstheme="minorBidi"/>
                <w:noProof/>
              </w:rPr>
            </w:pPr>
            <w:r>
              <w:rPr>
                <w:noProof/>
              </w:rPr>
              <w:t xml:space="preserve"> Ingående av ytterligare sex kontrakt (innovationspakter eller mobilisering av projekt) med konsortier, som ska omfatta följande:</w:t>
            </w:r>
          </w:p>
          <w:p w14:paraId="04592090" w14:textId="77777777" w:rsidR="00E040FD" w:rsidRDefault="00740D64">
            <w:pPr>
              <w:pStyle w:val="P68B1DB1-Bodytext1013"/>
              <w:spacing w:after="0" w:line="256" w:lineRule="auto"/>
              <w:rPr>
                <w:rFonts w:cstheme="minorHAnsi"/>
                <w:noProof/>
              </w:rPr>
            </w:pPr>
            <w:r>
              <w:rPr>
                <w:noProof/>
              </w:rPr>
              <w:t>• Identifiering av de enheter som ingår i konsortiet.</w:t>
            </w:r>
          </w:p>
          <w:p w14:paraId="6A42DB0C" w14:textId="77777777" w:rsidR="00E040FD" w:rsidRDefault="00740D64">
            <w:pPr>
              <w:pStyle w:val="P68B1DB1-Bodytext1013"/>
              <w:spacing w:after="0" w:line="256" w:lineRule="auto"/>
              <w:rPr>
                <w:rFonts w:cstheme="minorHAnsi"/>
                <w:noProof/>
              </w:rPr>
            </w:pPr>
            <w:r>
              <w:rPr>
                <w:noProof/>
              </w:rPr>
              <w:t>• Affärsplanen/investeringen.</w:t>
            </w:r>
          </w:p>
          <w:p w14:paraId="21DA580B" w14:textId="77777777" w:rsidR="00E040FD" w:rsidRDefault="00740D64">
            <w:pPr>
              <w:pStyle w:val="P68B1DB1-Bodytext1013"/>
              <w:spacing w:after="0" w:line="256" w:lineRule="auto"/>
              <w:rPr>
                <w:rFonts w:cstheme="minorHAnsi"/>
                <w:noProof/>
              </w:rPr>
            </w:pPr>
            <w:r>
              <w:rPr>
                <w:noProof/>
              </w:rPr>
              <w:t>• Finansieringsbeloppet.</w:t>
            </w:r>
          </w:p>
          <w:p w14:paraId="50705B10" w14:textId="77777777" w:rsidR="00E040FD" w:rsidRDefault="00740D64">
            <w:pPr>
              <w:pStyle w:val="P68B1DB1-Bodytext1013"/>
              <w:spacing w:after="0" w:line="256" w:lineRule="auto"/>
              <w:rPr>
                <w:rFonts w:cstheme="minorHAnsi"/>
                <w:noProof/>
              </w:rPr>
            </w:pPr>
            <w:r>
              <w:rPr>
                <w:noProof/>
              </w:rPr>
              <w:t>• De mål som stödmottagaren är bunden av.</w:t>
            </w:r>
          </w:p>
          <w:p w14:paraId="01625014" w14:textId="77777777" w:rsidR="00E040FD" w:rsidRDefault="00740D64">
            <w:pPr>
              <w:pStyle w:val="P68B1DB1-Bodytext1013"/>
              <w:spacing w:after="0" w:line="256" w:lineRule="auto"/>
              <w:rPr>
                <w:rFonts w:cstheme="minorHAnsi"/>
                <w:noProof/>
              </w:rPr>
            </w:pPr>
            <w:r>
              <w:rPr>
                <w:noProof/>
              </w:rPr>
              <w:t xml:space="preserve">• Övervakningsformen. </w:t>
            </w:r>
          </w:p>
          <w:p w14:paraId="4B9F41BD" w14:textId="09DF7CAF" w:rsidR="00E040FD" w:rsidRDefault="00E040FD">
            <w:pPr>
              <w:pStyle w:val="Bodytext10"/>
              <w:spacing w:after="0" w:line="256" w:lineRule="auto"/>
              <w:rPr>
                <w:rFonts w:asciiTheme="minorHAnsi" w:hAnsiTheme="minorHAnsi" w:cstheme="minorBidi"/>
                <w:noProof/>
                <w:sz w:val="16"/>
              </w:rPr>
            </w:pPr>
          </w:p>
          <w:p w14:paraId="20E874EC" w14:textId="6019E06D" w:rsidR="00E040FD" w:rsidRDefault="00740D64">
            <w:pPr>
              <w:pStyle w:val="P68B1DB1-Bodytext1013"/>
              <w:spacing w:after="0" w:line="256" w:lineRule="auto"/>
              <w:rPr>
                <w:rFonts w:cstheme="minorHAnsi"/>
                <w:noProof/>
              </w:rPr>
            </w:pPr>
            <w:r>
              <w:rPr>
                <w:noProof/>
              </w:rPr>
              <w:t>Kontrakten ska stödja totalt minst 98 produkter, processer eller tjänster och ska anpassas till insatsområde 022 (Forsknings- och innovationsprocesser, tekniköverföring och samarbete mellan företag med fokus på en koldioxidsnål ekonomi och motståndskraft mot och anpassning till klimatförändringar). Kravspecifikationen ska omfatta kriterier för stödberättigande som säkerställer att de utvalda projekten överensstämmer med den tekniska vägledningen om principen om att inte orsaka betydande skada (2021/C58/01) genom att använda en förteckning över uteslutningar och kravet på överensstämmelse med relevant EU-lagstiftning och nationell miljölagstiftning.</w:t>
            </w:r>
          </w:p>
          <w:p w14:paraId="64095437" w14:textId="10DA3C38" w:rsidR="00E040FD" w:rsidRDefault="00740D64">
            <w:pPr>
              <w:pStyle w:val="P68B1DB1-Normal12"/>
              <w:spacing w:after="0" w:line="240" w:lineRule="auto"/>
              <w:jc w:val="both"/>
              <w:rPr>
                <w:rFonts w:cstheme="minorHAnsi"/>
                <w:noProof/>
              </w:rPr>
            </w:pPr>
            <w:r>
              <w:rPr>
                <w:noProof/>
              </w:rPr>
              <w:t>Avtalen ska komplettera de kontrakt som genomförs i RE-C05-i01.02.</w:t>
            </w:r>
          </w:p>
        </w:tc>
      </w:tr>
      <w:tr w:rsidR="00E040FD" w14:paraId="2CFB1DE4" w14:textId="77777777">
        <w:trPr>
          <w:trHeight w:val="67"/>
        </w:trPr>
        <w:tc>
          <w:tcPr>
            <w:tcW w:w="1134" w:type="dxa"/>
            <w:shd w:val="clear" w:color="auto" w:fill="C4EFCE"/>
            <w:vAlign w:val="center"/>
          </w:tcPr>
          <w:p w14:paraId="0F626A07" w14:textId="1AAA4C66" w:rsidR="00E040FD" w:rsidRDefault="00740D64">
            <w:pPr>
              <w:pStyle w:val="P68B1DB1-Normal11"/>
              <w:spacing w:after="0" w:line="240" w:lineRule="auto"/>
              <w:jc w:val="center"/>
              <w:rPr>
                <w:rFonts w:cstheme="minorHAnsi"/>
                <w:noProof/>
              </w:rPr>
            </w:pPr>
            <w:r>
              <w:rPr>
                <w:noProof/>
              </w:rPr>
              <w:t>5.42</w:t>
            </w:r>
          </w:p>
        </w:tc>
        <w:tc>
          <w:tcPr>
            <w:tcW w:w="1165" w:type="dxa"/>
            <w:shd w:val="clear" w:color="auto" w:fill="C4EFCE"/>
            <w:vAlign w:val="center"/>
          </w:tcPr>
          <w:p w14:paraId="4D8A4205" w14:textId="197B1A16" w:rsidR="00E040FD" w:rsidRDefault="00740D64">
            <w:pPr>
              <w:pStyle w:val="P68B1DB1-Normal12"/>
              <w:spacing w:after="0" w:line="240" w:lineRule="auto"/>
              <w:jc w:val="center"/>
              <w:rPr>
                <w:rFonts w:cstheme="minorHAnsi"/>
                <w:noProof/>
              </w:rPr>
            </w:pPr>
            <w:r>
              <w:rPr>
                <w:noProof/>
              </w:rPr>
              <w:t>RE-C05-i10</w:t>
            </w:r>
          </w:p>
        </w:tc>
        <w:tc>
          <w:tcPr>
            <w:tcW w:w="976" w:type="dxa"/>
            <w:shd w:val="clear" w:color="auto" w:fill="C4EFCE"/>
            <w:vAlign w:val="center"/>
          </w:tcPr>
          <w:p w14:paraId="4C138B7D" w14:textId="446CCEF5" w:rsidR="00E040FD" w:rsidRDefault="00740D64">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24DB13CD" w14:textId="5E486B06" w:rsidR="00E040FD" w:rsidRDefault="00740D64">
            <w:pPr>
              <w:pStyle w:val="P68B1DB1-Normal12"/>
              <w:spacing w:after="0" w:line="240" w:lineRule="auto"/>
              <w:jc w:val="center"/>
              <w:rPr>
                <w:rFonts w:cstheme="minorHAnsi"/>
                <w:noProof/>
              </w:rPr>
            </w:pPr>
            <w:r>
              <w:rPr>
                <w:noProof/>
              </w:rPr>
              <w:t>Slutförande av produkter, processer eller tjänster (PPS) som är relevanta för en koldioxidsnål ekonomi, motståndskraft mot och anpassning till klimatförändringar.</w:t>
            </w:r>
          </w:p>
        </w:tc>
        <w:tc>
          <w:tcPr>
            <w:tcW w:w="2029" w:type="dxa"/>
            <w:shd w:val="clear" w:color="auto" w:fill="C4EFCE"/>
            <w:vAlign w:val="center"/>
          </w:tcPr>
          <w:p w14:paraId="03936DB4" w14:textId="5D309DC9" w:rsidR="00E040FD" w:rsidRDefault="00740D64">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49E437C8" w14:textId="2D221C76" w:rsidR="00E040FD" w:rsidRDefault="00740D64">
            <w:pPr>
              <w:pStyle w:val="P68B1DB1-Normal12"/>
              <w:spacing w:after="0" w:line="240" w:lineRule="auto"/>
              <w:jc w:val="center"/>
              <w:rPr>
                <w:rFonts w:cstheme="minorHAnsi"/>
                <w:noProof/>
              </w:rPr>
            </w:pPr>
            <w:r>
              <w:rPr>
                <w:noProof/>
              </w:rPr>
              <w:t>Antal</w:t>
            </w:r>
          </w:p>
        </w:tc>
        <w:tc>
          <w:tcPr>
            <w:tcW w:w="982" w:type="dxa"/>
            <w:shd w:val="clear" w:color="auto" w:fill="C4EFCE"/>
            <w:vAlign w:val="center"/>
          </w:tcPr>
          <w:p w14:paraId="533CBFA2" w14:textId="10AA98B0" w:rsidR="00E040FD" w:rsidRDefault="00740D64">
            <w:pPr>
              <w:pStyle w:val="P68B1DB1-Normal12"/>
              <w:spacing w:after="0" w:line="240" w:lineRule="auto"/>
              <w:jc w:val="center"/>
              <w:rPr>
                <w:rFonts w:cstheme="minorHAnsi"/>
                <w:noProof/>
              </w:rPr>
            </w:pPr>
            <w:r>
              <w:rPr>
                <w:noProof/>
              </w:rPr>
              <w:t>40</w:t>
            </w:r>
          </w:p>
        </w:tc>
        <w:tc>
          <w:tcPr>
            <w:tcW w:w="626" w:type="dxa"/>
            <w:shd w:val="clear" w:color="auto" w:fill="C4EFCE"/>
            <w:vAlign w:val="center"/>
          </w:tcPr>
          <w:p w14:paraId="5C908ABC" w14:textId="0CD01BA3" w:rsidR="00E040FD" w:rsidRDefault="00740D64">
            <w:pPr>
              <w:pStyle w:val="P68B1DB1-Normal12"/>
              <w:spacing w:after="0" w:line="240" w:lineRule="auto"/>
              <w:jc w:val="center"/>
              <w:rPr>
                <w:rFonts w:cstheme="minorHAnsi"/>
                <w:noProof/>
              </w:rPr>
            </w:pPr>
            <w:r>
              <w:rPr>
                <w:noProof/>
              </w:rPr>
              <w:t>138</w:t>
            </w:r>
          </w:p>
        </w:tc>
        <w:tc>
          <w:tcPr>
            <w:tcW w:w="514" w:type="dxa"/>
            <w:shd w:val="clear" w:color="auto" w:fill="C4EFCE"/>
            <w:vAlign w:val="center"/>
          </w:tcPr>
          <w:p w14:paraId="302722D1" w14:textId="34725CE1" w:rsidR="00E040FD" w:rsidRDefault="00740D64">
            <w:pPr>
              <w:pStyle w:val="P68B1DB1-Normal12"/>
              <w:spacing w:after="0" w:line="240" w:lineRule="auto"/>
              <w:jc w:val="center"/>
              <w:rPr>
                <w:rFonts w:cstheme="minorHAnsi"/>
                <w:noProof/>
              </w:rPr>
            </w:pPr>
            <w:r>
              <w:rPr>
                <w:noProof/>
              </w:rPr>
              <w:t>KVARTAL 4</w:t>
            </w:r>
          </w:p>
        </w:tc>
        <w:tc>
          <w:tcPr>
            <w:tcW w:w="747" w:type="dxa"/>
            <w:shd w:val="clear" w:color="auto" w:fill="C4EFCE"/>
            <w:vAlign w:val="center"/>
          </w:tcPr>
          <w:p w14:paraId="686F8191" w14:textId="1900D775" w:rsidR="00E040FD" w:rsidRDefault="00740D64">
            <w:pPr>
              <w:pStyle w:val="P68B1DB1-Normal12"/>
              <w:spacing w:after="0" w:line="240" w:lineRule="auto"/>
              <w:jc w:val="center"/>
              <w:rPr>
                <w:rFonts w:cstheme="minorHAnsi"/>
                <w:noProof/>
              </w:rPr>
            </w:pPr>
            <w:r>
              <w:rPr>
                <w:noProof/>
              </w:rPr>
              <w:t>2025</w:t>
            </w:r>
          </w:p>
        </w:tc>
        <w:tc>
          <w:tcPr>
            <w:tcW w:w="3919" w:type="dxa"/>
            <w:shd w:val="clear" w:color="auto" w:fill="C4EFCE"/>
            <w:vAlign w:val="center"/>
          </w:tcPr>
          <w:p w14:paraId="3637E13E" w14:textId="77777777" w:rsidR="00E040FD" w:rsidRDefault="00740D64">
            <w:pPr>
              <w:pStyle w:val="P68B1DB1-Normal12"/>
              <w:spacing w:after="0" w:line="240" w:lineRule="auto"/>
              <w:jc w:val="both"/>
              <w:rPr>
                <w:rFonts w:cstheme="minorHAnsi"/>
                <w:noProof/>
              </w:rPr>
            </w:pPr>
            <w:r>
              <w:rPr>
                <w:noProof/>
              </w:rPr>
              <w:t>Slutförande av 98 produkter, processer eller tjänster (PPS) till följd av genomförandet av de kontrakt (innovationspakter eller mobilisering av projekt) som ingåtts med konsortier och som ska anpassas till insatsområde 022 (forsknings- och innovationsprocesser, tekniköverföring och samarbete mellan företag med fokus på en koldioxidsnål ekonomi och motståndskraft mot och anpassning till klimatförändringar).</w:t>
            </w:r>
          </w:p>
          <w:p w14:paraId="18CA891F" w14:textId="60AEF0E8" w:rsidR="00E040FD" w:rsidRDefault="00740D64">
            <w:pPr>
              <w:pStyle w:val="P68B1DB1-Normal12"/>
              <w:spacing w:after="0" w:line="240" w:lineRule="auto"/>
              <w:jc w:val="both"/>
              <w:rPr>
                <w:rFonts w:cstheme="minorHAnsi"/>
                <w:noProof/>
              </w:rPr>
            </w:pPr>
            <w:r>
              <w:rPr>
                <w:noProof/>
              </w:rPr>
              <w:t>PPS ska vara ett tillägg till den PPS som genomförs i RE-C05-i01.02.</w:t>
            </w:r>
          </w:p>
        </w:tc>
      </w:tr>
    </w:tbl>
    <w:p w14:paraId="1934ED30" w14:textId="77777777" w:rsidR="00E040FD" w:rsidRDefault="00E040FD">
      <w:pPr>
        <w:spacing w:before="40" w:after="0" w:line="259" w:lineRule="auto"/>
        <w:ind w:left="130" w:firstLine="720"/>
        <w:jc w:val="both"/>
        <w:outlineLvl w:val="2"/>
        <w:rPr>
          <w:rFonts w:ascii="Times New Roman" w:eastAsiaTheme="minorEastAsia" w:hAnsi="Times New Roman" w:cs="Times New Roman"/>
          <w:b/>
          <w:noProof/>
          <w:sz w:val="24"/>
          <w:u w:val="single"/>
        </w:rPr>
        <w:sectPr w:rsidR="00E040FD" w:rsidSect="00E00EDD">
          <w:headerReference w:type="even" r:id="rId102"/>
          <w:headerReference w:type="default" r:id="rId103"/>
          <w:footerReference w:type="even" r:id="rId104"/>
          <w:footerReference w:type="default" r:id="rId105"/>
          <w:headerReference w:type="first" r:id="rId106"/>
          <w:footerReference w:type="first" r:id="rId107"/>
          <w:pgSz w:w="16839" w:h="11907" w:orient="landscape"/>
          <w:pgMar w:top="1134" w:right="1134" w:bottom="1134" w:left="1134" w:header="567" w:footer="567" w:gutter="0"/>
          <w:cols w:space="720"/>
          <w:docGrid w:linePitch="360"/>
        </w:sectPr>
      </w:pPr>
    </w:p>
    <w:p w14:paraId="1E7C10B9" w14:textId="20E4EE7B" w:rsidR="00E040FD" w:rsidRDefault="00740D64">
      <w:pPr>
        <w:pStyle w:val="P68B1DB1-Normal3"/>
        <w:spacing w:before="40" w:after="0" w:line="259" w:lineRule="auto"/>
        <w:ind w:left="130" w:firstLine="720"/>
        <w:jc w:val="both"/>
        <w:outlineLvl w:val="2"/>
        <w:rPr>
          <w:rFonts w:eastAsiaTheme="minorEastAsia" w:cs="Times New Roman"/>
          <w:noProof/>
        </w:rPr>
      </w:pPr>
      <w:r>
        <w:rPr>
          <w:noProof/>
        </w:rPr>
        <w:t xml:space="preserve">E.3. Beskrivning av reformerna och investeringarna för lånet </w:t>
      </w:r>
    </w:p>
    <w:p w14:paraId="189A4B39" w14:textId="77777777" w:rsidR="00E040FD" w:rsidRDefault="00740D64">
      <w:pPr>
        <w:pStyle w:val="P68B1DB1-Normal5"/>
        <w:spacing w:before="240" w:after="0" w:line="259" w:lineRule="auto"/>
        <w:ind w:left="851"/>
        <w:jc w:val="both"/>
        <w:outlineLvl w:val="3"/>
        <w:rPr>
          <w:rFonts w:eastAsiaTheme="minorEastAsia" w:cs="Times New Roman"/>
          <w:noProof/>
        </w:rPr>
      </w:pPr>
      <w:r>
        <w:rPr>
          <w:noProof/>
        </w:rPr>
        <w:t>Reform RE-r10: Inrättande och utveckling av Banco Português de Fomento.</w:t>
      </w:r>
    </w:p>
    <w:p w14:paraId="72447E27" w14:textId="77777777" w:rsidR="00E040FD" w:rsidRDefault="00740D64">
      <w:pPr>
        <w:pStyle w:val="P68B1DB1-Normal4"/>
        <w:spacing w:before="40" w:after="0" w:line="259" w:lineRule="auto"/>
        <w:jc w:val="both"/>
        <w:rPr>
          <w:rFonts w:eastAsiaTheme="minorEastAsia" w:cs="Times New Roman"/>
          <w:noProof/>
        </w:rPr>
      </w:pPr>
      <w:r>
        <w:rPr>
          <w:noProof/>
        </w:rPr>
        <w:t xml:space="preserve">Syftet med åtgärden är att underlätta tillgången till finansiering för portugisiska företag genom att minska komplexiteten hos offentligt stödda företagsfinansieringsprodukter och genom att möjliggöra projekt av nationellt strategiskt intresse. För detta ändamål inrättades </w:t>
      </w:r>
      <w:r>
        <w:rPr>
          <w:i/>
          <w:noProof/>
        </w:rPr>
        <w:t>Banco Português de Fomento</w:t>
      </w:r>
      <w:r>
        <w:rPr>
          <w:noProof/>
        </w:rPr>
        <w:t xml:space="preserve"> den 7 september 2020 och inledde sin verksamhet i november 2020 som den statsägda nationella utvecklingsbanken. Utöver sitt centrala och varaktiga uppdrag är banken en viktig enhet i processen för att återuppta den ekonomiska verksamheten efter covid-19-pandemin, särskilt genom att göra det möjligt för portugisiska företag att dra nytta av de nationella och europeiska strategiska åtgärderna för återhämtning. </w:t>
      </w:r>
    </w:p>
    <w:p w14:paraId="48A8A411" w14:textId="77777777" w:rsidR="00E040FD" w:rsidRDefault="00740D64">
      <w:pPr>
        <w:pStyle w:val="P68B1DB1-Normal4"/>
        <w:spacing w:before="40" w:after="0" w:line="259" w:lineRule="auto"/>
        <w:jc w:val="both"/>
        <w:rPr>
          <w:rFonts w:eastAsiaTheme="minorEastAsia" w:cs="Times New Roman"/>
          <w:noProof/>
        </w:rPr>
      </w:pPr>
      <w:r>
        <w:rPr>
          <w:noProof/>
        </w:rPr>
        <w:t xml:space="preserve">Reformen ska bestå av </w:t>
      </w:r>
      <w:r>
        <w:rPr>
          <w:i/>
          <w:noProof/>
        </w:rPr>
        <w:t>Banco Português de Fomentos rättsliga etablering</w:t>
      </w:r>
      <w:r>
        <w:rPr>
          <w:noProof/>
        </w:rPr>
        <w:t xml:space="preserve">. </w:t>
      </w:r>
    </w:p>
    <w:p w14:paraId="08AAEA6F" w14:textId="77777777" w:rsidR="00E040FD" w:rsidRDefault="00740D64">
      <w:pPr>
        <w:pStyle w:val="P68B1DB1-Normal4"/>
        <w:spacing w:before="40" w:after="0" w:line="259" w:lineRule="auto"/>
        <w:jc w:val="both"/>
        <w:rPr>
          <w:rFonts w:eastAsiaTheme="minorEastAsia" w:cs="Times New Roman"/>
          <w:noProof/>
        </w:rPr>
      </w:pPr>
      <w:r>
        <w:rPr>
          <w:noProof/>
        </w:rPr>
        <w:t>Genomförandet av reformen slutfördes den 31 december 2020.</w:t>
      </w:r>
    </w:p>
    <w:p w14:paraId="1FF05807" w14:textId="77777777" w:rsidR="00E040FD" w:rsidRDefault="00740D64">
      <w:pPr>
        <w:pStyle w:val="P68B1DB1-Normal5"/>
        <w:spacing w:before="240" w:after="0" w:line="259" w:lineRule="auto"/>
        <w:ind w:left="851"/>
        <w:jc w:val="both"/>
        <w:outlineLvl w:val="3"/>
        <w:rPr>
          <w:rFonts w:eastAsiaTheme="minorEastAsia" w:cs="Times New Roman"/>
          <w:noProof/>
        </w:rPr>
      </w:pPr>
      <w:r>
        <w:rPr>
          <w:noProof/>
        </w:rPr>
        <w:t xml:space="preserve">Reform RE-r13: Utveckling av kapitalmarknaden och främjande av kapitalisering av icke-finansiella företag </w:t>
      </w:r>
    </w:p>
    <w:p w14:paraId="626DC4C1" w14:textId="77777777" w:rsidR="00E040FD" w:rsidRDefault="00740D64">
      <w:pPr>
        <w:pStyle w:val="P68B1DB1-Normal4"/>
        <w:spacing w:before="40" w:after="0" w:line="259" w:lineRule="auto"/>
        <w:jc w:val="both"/>
        <w:rPr>
          <w:rFonts w:eastAsiaTheme="minorEastAsia" w:cs="Times New Roman"/>
          <w:noProof/>
        </w:rPr>
      </w:pPr>
      <w:r>
        <w:rPr>
          <w:noProof/>
        </w:rPr>
        <w:t xml:space="preserve">Syftet med åtgärden är att stimulera den portugisiska kapitalmarknaden och att främja kapitaliseringen av företag, med särskild tonvikt på investmentbolag för utveckling av ekonomin (SIMFE), företag för kollektiva investeringar och översynen av värdepapperslagen. </w:t>
      </w:r>
    </w:p>
    <w:p w14:paraId="28221381" w14:textId="77777777" w:rsidR="00E040FD" w:rsidRDefault="00740D64">
      <w:pPr>
        <w:pStyle w:val="P68B1DB1-Normal4"/>
        <w:spacing w:before="40" w:after="0" w:line="259" w:lineRule="auto"/>
        <w:jc w:val="both"/>
        <w:rPr>
          <w:rFonts w:eastAsiaTheme="minorEastAsia" w:cs="Times New Roman"/>
          <w:noProof/>
        </w:rPr>
      </w:pPr>
      <w:r>
        <w:rPr>
          <w:noProof/>
        </w:rPr>
        <w:t xml:space="preserve">Denna reform ska bestå av en översyn av den befintliga rättsliga ramen och antagande av nya lagar som ska ingå i regeringens värdskapsstrategi för att skapa ett gynnsammare företagsklimat och ge verkliga incitament för investeringar, företagskapital och konsolidering av sektorer. Genomförandet av denna reform ska bestå av följande åtgärder: </w:t>
      </w:r>
    </w:p>
    <w:p w14:paraId="3E530B36" w14:textId="77777777" w:rsidR="00E040FD" w:rsidRDefault="00740D64">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utveckling av kapitalmarknaderna. </w:t>
      </w:r>
    </w:p>
    <w:p w14:paraId="12E1FE2C" w14:textId="77777777" w:rsidR="00E040FD" w:rsidRDefault="00740D64">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främjande av investmentbolag för utveckling av ekonomin (SIMFE). </w:t>
      </w:r>
    </w:p>
    <w:p w14:paraId="02E09283" w14:textId="77777777" w:rsidR="00E040FD" w:rsidRDefault="00740D64">
      <w:pPr>
        <w:pStyle w:val="P68B1DB1-Normal4"/>
        <w:keepNext/>
        <w:numPr>
          <w:ilvl w:val="0"/>
          <w:numId w:val="41"/>
        </w:numPr>
        <w:spacing w:before="40" w:after="160" w:line="259" w:lineRule="auto"/>
        <w:contextualSpacing/>
        <w:jc w:val="both"/>
        <w:rPr>
          <w:rFonts w:eastAsiaTheme="minorEastAsia" w:cs="Times New Roman"/>
          <w:noProof/>
        </w:rPr>
      </w:pPr>
      <w:r>
        <w:rPr>
          <w:noProof/>
        </w:rPr>
        <w:t>förenkling av lagstiftning och administration.</w:t>
      </w:r>
    </w:p>
    <w:p w14:paraId="7C616BBA" w14:textId="77777777" w:rsidR="00E040FD" w:rsidRDefault="00740D64">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översyn av den rättsliga ramen för företag för kollektiva investeringar. och </w:t>
      </w:r>
    </w:p>
    <w:p w14:paraId="406EAAFF" w14:textId="77777777" w:rsidR="00E040FD" w:rsidRDefault="00740D64">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kapitaliseringsincitament (avdrag för innehållna och återinvesterade vinstmedel). </w:t>
      </w:r>
    </w:p>
    <w:p w14:paraId="70A2BCBE" w14:textId="77777777" w:rsidR="00E040FD" w:rsidRDefault="00740D64">
      <w:pPr>
        <w:pStyle w:val="P68B1DB1-Normal4"/>
        <w:spacing w:before="40" w:after="0" w:line="259" w:lineRule="auto"/>
        <w:jc w:val="both"/>
        <w:rPr>
          <w:rFonts w:eastAsiaTheme="minorEastAsia"/>
          <w:noProof/>
        </w:rPr>
      </w:pPr>
      <w:r>
        <w:rPr>
          <w:noProof/>
        </w:rPr>
        <w:t xml:space="preserve">Genomförandet av reformen ska vara slutfört senast den 31 december 2023. </w:t>
      </w:r>
    </w:p>
    <w:p w14:paraId="2E2FC980" w14:textId="77777777" w:rsidR="00E040FD" w:rsidRDefault="00740D64">
      <w:pPr>
        <w:pStyle w:val="P68B1DB1-Normal5"/>
        <w:spacing w:before="240" w:after="0" w:line="259" w:lineRule="auto"/>
        <w:ind w:left="851"/>
        <w:jc w:val="both"/>
        <w:outlineLvl w:val="3"/>
        <w:rPr>
          <w:rFonts w:eastAsiaTheme="minorEastAsia" w:cs="Times New Roman"/>
          <w:noProof/>
        </w:rPr>
      </w:pPr>
      <w:r>
        <w:rPr>
          <w:noProof/>
        </w:rPr>
        <w:t xml:space="preserve">Investering RE-C05-i06: Kapitalisering av företag och finansiell motståndskraft/Banco Português de Fomento </w:t>
      </w:r>
    </w:p>
    <w:p w14:paraId="7A51EC5E" w14:textId="23C16BB1" w:rsidR="00E040FD" w:rsidRDefault="00740D64">
      <w:pPr>
        <w:pStyle w:val="P68B1DB1-Normal4"/>
        <w:spacing w:before="40" w:after="0" w:line="259" w:lineRule="auto"/>
        <w:jc w:val="both"/>
        <w:rPr>
          <w:rFonts w:eastAsiaTheme="minorEastAsia" w:cs="Times New Roman"/>
          <w:noProof/>
        </w:rPr>
      </w:pPr>
      <w:r>
        <w:rPr>
          <w:noProof/>
        </w:rPr>
        <w:t xml:space="preserve">Syftet med åtgärden är att åtgärda det strukturella problemet med företagens underkapitalisering. Investeringen ska ge </w:t>
      </w:r>
      <w:r>
        <w:rPr>
          <w:i/>
          <w:noProof/>
        </w:rPr>
        <w:t>Banco Português de Fomento</w:t>
      </w:r>
      <w:r>
        <w:rPr>
          <w:noProof/>
        </w:rPr>
        <w:t xml:space="preserve">, som har som mål att bli InvestEU:s genomförandepartner, en kapitalbuffert på 250 000 000 EUR. Dessutom ska ett specialföretag bildas, som därefter ska investera 1 300 000 000 EUR i livskraftiga portugisiska företag i form av eget kapital och därmed likställt kapital. </w:t>
      </w:r>
    </w:p>
    <w:p w14:paraId="33E5CD2F" w14:textId="77777777" w:rsidR="00E040FD" w:rsidRDefault="00740D64">
      <w:pPr>
        <w:pStyle w:val="P68B1DB1-Normal4"/>
        <w:spacing w:before="40" w:after="0" w:line="259" w:lineRule="auto"/>
        <w:jc w:val="both"/>
        <w:rPr>
          <w:rFonts w:eastAsiaTheme="minorEastAsia" w:cs="Times New Roman"/>
          <w:noProof/>
        </w:rPr>
      </w:pPr>
      <w:r>
        <w:rPr>
          <w:noProof/>
        </w:rPr>
        <w:t xml:space="preserve">Portugal har åtagit sig att i det investeringspolicydokument som avser instrumentet EUR 1 300 000 000, som ska antas av </w:t>
      </w:r>
      <w:r>
        <w:rPr>
          <w:i/>
          <w:noProof/>
        </w:rPr>
        <w:t>Banco Português de Fomento i</w:t>
      </w:r>
      <w:r>
        <w:rPr>
          <w:noProof/>
        </w:rPr>
        <w:t xml:space="preserve"> egenskap av ledningsorgan för specialföretaget, närmare ange urvals- och behörighetskriterierna för företag som får stöd, säkerställa att klimat- och miljökraven i faciliteten för återhämtning och resiliens respekteras, inbegripet efterlevnad av den tekniska vägledningen om att inte orsaka betydande skada (2021/C58/01) för tillgångar/verksamheter och/eller företag som får stöd och ange investeringsmål och riktad avkastning. För att företag som får stöd ska följa den tekniska vägledningen om att inte orsaka betydande skada (2021/C58/01) ska investeringspolicyn kräva följande: </w:t>
      </w:r>
    </w:p>
    <w:p w14:paraId="11FD4172" w14:textId="77777777" w:rsidR="00E040FD" w:rsidRDefault="00740D64">
      <w:pPr>
        <w:pStyle w:val="P68B1DB1-Normal4"/>
        <w:keepNext/>
        <w:numPr>
          <w:ilvl w:val="0"/>
          <w:numId w:val="58"/>
        </w:numPr>
        <w:spacing w:before="40" w:after="160" w:line="259" w:lineRule="auto"/>
        <w:contextualSpacing/>
        <w:jc w:val="both"/>
        <w:rPr>
          <w:rFonts w:eastAsiaTheme="minorEastAsia" w:cs="Times New Roman"/>
          <w:noProof/>
        </w:rPr>
      </w:pPr>
      <w:r>
        <w:rPr>
          <w:noProof/>
        </w:rPr>
        <w:t xml:space="preserve">användning av hållbarhetssäkring, </w:t>
      </w:r>
    </w:p>
    <w:p w14:paraId="3BC45CD3" w14:textId="77777777" w:rsidR="00E040FD" w:rsidRDefault="00740D64">
      <w:pPr>
        <w:pStyle w:val="P68B1DB1-Normal4"/>
        <w:keepNext/>
        <w:numPr>
          <w:ilvl w:val="0"/>
          <w:numId w:val="58"/>
        </w:numPr>
        <w:spacing w:before="40" w:after="160" w:line="259" w:lineRule="auto"/>
        <w:contextualSpacing/>
        <w:jc w:val="both"/>
        <w:rPr>
          <w:rFonts w:eastAsiaTheme="minorEastAsia" w:cs="Times New Roman"/>
          <w:noProof/>
        </w:rPr>
      </w:pPr>
      <w:r>
        <w:rPr>
          <w:noProof/>
        </w:rPr>
        <w:t>en förteckning över uteslutningar som omfattar följande delar:</w:t>
      </w:r>
    </w:p>
    <w:p w14:paraId="7729DD25" w14:textId="77777777" w:rsidR="00E040FD" w:rsidRDefault="00740D64">
      <w:pPr>
        <w:pStyle w:val="P68B1DB1-Normal4"/>
        <w:keepNext/>
        <w:numPr>
          <w:ilvl w:val="0"/>
          <w:numId w:val="65"/>
        </w:numPr>
        <w:spacing w:before="40" w:after="160" w:line="259" w:lineRule="auto"/>
        <w:contextualSpacing/>
        <w:jc w:val="both"/>
        <w:rPr>
          <w:rFonts w:eastAsiaTheme="minorEastAsia" w:cs="Times New Roman"/>
          <w:noProof/>
        </w:rPr>
      </w:pPr>
      <w:r>
        <w:rPr>
          <w:noProof/>
        </w:rPr>
        <w:t>Verksamhet med anknytning till fossila bränslen, inbegripet användning i senare led</w:t>
      </w:r>
      <w:r>
        <w:rPr>
          <w:noProof/>
        </w:rPr>
        <w:footnoteReference w:id="35"/>
      </w:r>
      <w:r>
        <w:rPr>
          <w:noProof/>
        </w:rPr>
        <w:t xml:space="preserve">. </w:t>
      </w:r>
    </w:p>
    <w:p w14:paraId="0C777086" w14:textId="77777777" w:rsidR="00E040FD" w:rsidRDefault="00740D64">
      <w:pPr>
        <w:pStyle w:val="P68B1DB1-Normal4"/>
        <w:keepNext/>
        <w:numPr>
          <w:ilvl w:val="0"/>
          <w:numId w:val="65"/>
        </w:numPr>
        <w:spacing w:before="40" w:after="160" w:line="259" w:lineRule="auto"/>
        <w:contextualSpacing/>
        <w:jc w:val="both"/>
        <w:rPr>
          <w:rFonts w:eastAsiaTheme="minorEastAsia" w:cs="Times New Roman"/>
          <w:noProof/>
        </w:rPr>
      </w:pPr>
      <w:r>
        <w:rPr>
          <w:noProof/>
        </w:rPr>
        <w:t>Verksamhet inom ramen för EU:s utsläppshandelssystem som uppnår beräknade växthusgasutsläpp som inte är lägre än de relevanta riktmärkena</w:t>
      </w:r>
      <w:r>
        <w:rPr>
          <w:noProof/>
        </w:rPr>
        <w:footnoteReference w:id="36"/>
      </w:r>
      <w:r>
        <w:rPr>
          <w:noProof/>
        </w:rPr>
        <w:t xml:space="preserve">. </w:t>
      </w:r>
    </w:p>
    <w:p w14:paraId="59A41967" w14:textId="77777777" w:rsidR="00E040FD" w:rsidRDefault="00740D64">
      <w:pPr>
        <w:pStyle w:val="P68B1DB1-Normal4"/>
        <w:keepNext/>
        <w:numPr>
          <w:ilvl w:val="0"/>
          <w:numId w:val="65"/>
        </w:numPr>
        <w:spacing w:before="40" w:after="160" w:line="259" w:lineRule="auto"/>
        <w:contextualSpacing/>
        <w:jc w:val="both"/>
        <w:rPr>
          <w:rFonts w:eastAsiaTheme="minorEastAsia" w:cs="Times New Roman"/>
          <w:noProof/>
        </w:rPr>
      </w:pPr>
      <w:r>
        <w:rPr>
          <w:noProof/>
        </w:rPr>
        <w:t>Verksamhet i samband med avfallsdeponier, förbränningsanläggningar</w:t>
      </w:r>
      <w:r>
        <w:rPr>
          <w:noProof/>
        </w:rPr>
        <w:footnoteReference w:id="37"/>
      </w:r>
      <w:r>
        <w:rPr>
          <w:noProof/>
        </w:rPr>
        <w:t xml:space="preserve"> och anläggningar för mekanisk biologisk behandling</w:t>
      </w:r>
      <w:r>
        <w:rPr>
          <w:noProof/>
        </w:rPr>
        <w:footnoteReference w:id="38"/>
      </w:r>
      <w:r>
        <w:rPr>
          <w:noProof/>
        </w:rPr>
        <w:t xml:space="preserve">. </w:t>
      </w:r>
    </w:p>
    <w:p w14:paraId="3EE29B47" w14:textId="77777777" w:rsidR="00E040FD" w:rsidRDefault="00740D64">
      <w:pPr>
        <w:pStyle w:val="P68B1DB1-Normal4"/>
        <w:keepNext/>
        <w:numPr>
          <w:ilvl w:val="0"/>
          <w:numId w:val="65"/>
        </w:numPr>
        <w:spacing w:before="40" w:after="160" w:line="259" w:lineRule="auto"/>
        <w:contextualSpacing/>
        <w:jc w:val="both"/>
        <w:rPr>
          <w:rFonts w:eastAsiaTheme="minorEastAsia" w:cs="Times New Roman"/>
          <w:noProof/>
        </w:rPr>
      </w:pPr>
      <w:r>
        <w:rPr>
          <w:noProof/>
        </w:rPr>
        <w:t xml:space="preserve">Verksamhet där det långsiktiga bortskaffandet av avfall kan skada miljön på lång sikt, t.ex. kärnavfall. och </w:t>
      </w:r>
    </w:p>
    <w:p w14:paraId="166BCF7B" w14:textId="77777777" w:rsidR="00E040FD" w:rsidRDefault="00740D64">
      <w:pPr>
        <w:pStyle w:val="P68B1DB1-Normal4"/>
        <w:keepNext/>
        <w:numPr>
          <w:ilvl w:val="0"/>
          <w:numId w:val="65"/>
        </w:numPr>
        <w:spacing w:before="40" w:after="160" w:line="259" w:lineRule="auto"/>
        <w:contextualSpacing/>
        <w:jc w:val="both"/>
        <w:rPr>
          <w:rFonts w:eastAsiaTheme="minorEastAsia" w:cs="Times New Roman"/>
          <w:noProof/>
        </w:rPr>
      </w:pPr>
      <w:r>
        <w:rPr>
          <w:noProof/>
        </w:rPr>
        <w:t xml:space="preserve">FoU I ägnade sig åt ovannämnda tillgångar och verksamheter. </w:t>
      </w:r>
    </w:p>
    <w:p w14:paraId="41036F9C" w14:textId="77777777" w:rsidR="00E040FD" w:rsidRDefault="00740D64">
      <w:pPr>
        <w:pStyle w:val="P68B1DB1-Normal4"/>
        <w:keepNext/>
        <w:numPr>
          <w:ilvl w:val="0"/>
          <w:numId w:val="58"/>
        </w:numPr>
        <w:spacing w:before="40" w:after="160" w:line="259" w:lineRule="auto"/>
        <w:contextualSpacing/>
        <w:jc w:val="both"/>
        <w:rPr>
          <w:rFonts w:eastAsiaTheme="minorEastAsia" w:cs="Times New Roman"/>
          <w:noProof/>
        </w:rPr>
      </w:pPr>
      <w:r>
        <w:rPr>
          <w:noProof/>
        </w:rPr>
        <w:t xml:space="preserve">obligatoriska kontroller av regelefterlevnad genom </w:t>
      </w:r>
      <w:r>
        <w:rPr>
          <w:i/>
          <w:noProof/>
        </w:rPr>
        <w:t>Banco Português de Fomento</w:t>
      </w:r>
      <w:r>
        <w:rPr>
          <w:noProof/>
        </w:rPr>
        <w:t xml:space="preserve"> och/eller dess utvalda finansiella intermediärer för transaktioner som är undantagna från hållbarhetssäkring. och </w:t>
      </w:r>
    </w:p>
    <w:p w14:paraId="3BDD89EA" w14:textId="77777777" w:rsidR="00E040FD" w:rsidRDefault="00740D64">
      <w:pPr>
        <w:pStyle w:val="P68B1DB1-Normal4"/>
        <w:keepNext/>
        <w:numPr>
          <w:ilvl w:val="0"/>
          <w:numId w:val="58"/>
        </w:numPr>
        <w:spacing w:before="40" w:after="160" w:line="259" w:lineRule="auto"/>
        <w:contextualSpacing/>
        <w:jc w:val="both"/>
        <w:rPr>
          <w:rFonts w:eastAsiaTheme="minorEastAsia" w:cs="Times New Roman"/>
          <w:noProof/>
        </w:rPr>
      </w:pPr>
      <w:r>
        <w:rPr>
          <w:noProof/>
        </w:rPr>
        <w:t>mottagare av stöd till eget kapital som får minst 50 % av sina intäkter från verksamheter som förtecknas i uteslutningsförteckningen för att anta och offentliggöra planer för grön omställning.</w:t>
      </w:r>
    </w:p>
    <w:p w14:paraId="3D00B278" w14:textId="77777777" w:rsidR="00E040FD" w:rsidRDefault="00740D64">
      <w:pPr>
        <w:pStyle w:val="P68B1DB1-Normal4"/>
        <w:spacing w:before="40" w:after="0" w:line="259" w:lineRule="auto"/>
        <w:jc w:val="both"/>
        <w:rPr>
          <w:rFonts w:eastAsiaTheme="minorEastAsia" w:cs="Times New Roman"/>
          <w:noProof/>
        </w:rPr>
      </w:pPr>
      <w:r>
        <w:rPr>
          <w:noProof/>
        </w:rPr>
        <w:t xml:space="preserve">Investeringen ska vara genomförd senast den 31 december 2025. </w:t>
      </w:r>
    </w:p>
    <w:p w14:paraId="29F83CA1" w14:textId="5D9194AF" w:rsidR="00E040FD" w:rsidRDefault="00740D64">
      <w:pPr>
        <w:pStyle w:val="P68B1DB1-Normal5"/>
        <w:spacing w:before="240" w:after="0" w:line="259" w:lineRule="auto"/>
        <w:ind w:left="851"/>
        <w:jc w:val="both"/>
        <w:outlineLvl w:val="3"/>
        <w:rPr>
          <w:rFonts w:eastAsiaTheme="minorEastAsia" w:cs="Times New Roman"/>
          <w:noProof/>
        </w:rPr>
      </w:pPr>
      <w:bookmarkStart w:id="14" w:name="_Toc137472450"/>
      <w:r>
        <w:rPr>
          <w:noProof/>
        </w:rPr>
        <w:t>Investering RE-C05-i11 – Scale-up: Mobilisering av agendor/allianser för företagsinnovation</w:t>
      </w:r>
      <w:bookmarkEnd w:id="14"/>
      <w:r>
        <w:rPr>
          <w:noProof/>
        </w:rPr>
        <w:t xml:space="preserve"> (lån)</w:t>
      </w:r>
    </w:p>
    <w:p w14:paraId="1A18BEC2" w14:textId="77777777" w:rsidR="00E040FD" w:rsidRDefault="00740D64">
      <w:pPr>
        <w:pStyle w:val="P68B1DB1-Normal4"/>
        <w:spacing w:after="0"/>
        <w:jc w:val="both"/>
        <w:rPr>
          <w:rFonts w:cs="Times New Roman"/>
          <w:noProof/>
        </w:rPr>
      </w:pPr>
      <w:r>
        <w:rPr>
          <w:noProof/>
        </w:rPr>
        <w:t xml:space="preserve">Syftet med denna investering är att öka investeringarna RE-C05 – i01.01 inom ramen för komponent 5. Den utökade delen av åtgärden ska öka antalet produkter, processer eller tjänster från modelleringsagendor/allianser för företagsinnovation. </w:t>
      </w:r>
    </w:p>
    <w:p w14:paraId="6E30F4B5" w14:textId="68C2F408" w:rsidR="00E040FD" w:rsidRDefault="00740D64">
      <w:pPr>
        <w:pStyle w:val="P68B1DB1-Normal4"/>
        <w:spacing w:after="0"/>
        <w:jc w:val="both"/>
        <w:rPr>
          <w:rFonts w:cs="Times New Roman"/>
          <w:noProof/>
        </w:rPr>
      </w:pPr>
      <w:r>
        <w:rPr>
          <w:noProof/>
        </w:rPr>
        <w:t>Minst 366 av de produkter, processer eller tjänster som genomförs inom ramen för denna investering ska anpassas till insatsområde 021 i bilagan till förordningen om faciliteten för återhämtning och resiliens.</w:t>
      </w:r>
    </w:p>
    <w:p w14:paraId="6728AAA1" w14:textId="77777777" w:rsidR="00E040FD" w:rsidRDefault="00740D64">
      <w:pPr>
        <w:pStyle w:val="P68B1DB1-Normal4"/>
        <w:spacing w:after="0"/>
        <w:jc w:val="both"/>
        <w:rPr>
          <w:rFonts w:eastAsiaTheme="minorEastAsia" w:cs="Times New Roman"/>
          <w:noProof/>
        </w:rPr>
      </w:pPr>
      <w:r>
        <w:rPr>
          <w:noProof/>
        </w:rPr>
        <w:t>Investeringen ska vara genomförd senast den 31 december 2025.</w:t>
      </w:r>
    </w:p>
    <w:p w14:paraId="6840A33A" w14:textId="77777777" w:rsidR="00E040FD" w:rsidRDefault="00E040FD">
      <w:pPr>
        <w:spacing w:after="0"/>
        <w:jc w:val="both"/>
        <w:rPr>
          <w:rFonts w:ascii="Times New Roman" w:eastAsiaTheme="minorEastAsia" w:hAnsi="Times New Roman" w:cs="Times New Roman"/>
          <w:noProof/>
          <w:sz w:val="24"/>
        </w:rPr>
      </w:pPr>
    </w:p>
    <w:p w14:paraId="1E26CB77" w14:textId="3501F04A" w:rsidR="00E040FD" w:rsidRDefault="00740D64">
      <w:pPr>
        <w:pStyle w:val="P68B1DB1-Heading214"/>
        <w:rPr>
          <w:noProof/>
        </w:rPr>
      </w:pPr>
      <w:bookmarkStart w:id="15" w:name="_Toc137472486"/>
      <w:r>
        <w:rPr>
          <w:noProof/>
        </w:rPr>
        <w:t>Investering RP-C05-i12 – - Scale-up: Gröna agendor/allianser för företagsinnovation (lån</w:t>
      </w:r>
      <w:bookmarkEnd w:id="15"/>
      <w:r>
        <w:rPr>
          <w:noProof/>
        </w:rPr>
        <w:t>)</w:t>
      </w:r>
    </w:p>
    <w:p w14:paraId="51585A10" w14:textId="788869BD" w:rsidR="00E040FD" w:rsidRDefault="00740D64">
      <w:pPr>
        <w:pStyle w:val="P68B1DB1-Normal4"/>
        <w:spacing w:after="0"/>
        <w:jc w:val="both"/>
        <w:rPr>
          <w:rFonts w:cs="Times New Roman"/>
          <w:noProof/>
        </w:rPr>
      </w:pPr>
      <w:r>
        <w:rPr>
          <w:noProof/>
        </w:rPr>
        <w:t>Syftet med denna investering är att öka investeringarna RE-C05 – i01.02, inom ramen för komponent 5. Den utökade åtgärden ska öka antalet produkter, processer eller tjänster från gröna agendor.</w:t>
      </w:r>
    </w:p>
    <w:p w14:paraId="5ECB84FA" w14:textId="2CE97D40" w:rsidR="00E040FD" w:rsidRDefault="00740D64">
      <w:pPr>
        <w:pStyle w:val="P68B1DB1-Normal4"/>
        <w:spacing w:after="0"/>
        <w:jc w:val="both"/>
        <w:rPr>
          <w:rFonts w:eastAsiaTheme="minorEastAsia" w:cs="Times New Roman"/>
          <w:noProof/>
        </w:rPr>
      </w:pPr>
      <w:r>
        <w:rPr>
          <w:noProof/>
        </w:rPr>
        <w:t xml:space="preserve">Investeringen ska vara genomförd senast den 31 december 2025. </w:t>
      </w:r>
    </w:p>
    <w:p w14:paraId="4B8C6875" w14:textId="77777777" w:rsidR="00E040FD" w:rsidRDefault="00E040FD">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E040FD" w:rsidSect="00E00EDD">
          <w:headerReference w:type="even" r:id="rId108"/>
          <w:headerReference w:type="default" r:id="rId109"/>
          <w:footerReference w:type="even" r:id="rId110"/>
          <w:footerReference w:type="default" r:id="rId111"/>
          <w:headerReference w:type="first" r:id="rId112"/>
          <w:footerReference w:type="first" r:id="rId113"/>
          <w:pgSz w:w="11907" w:h="16839"/>
          <w:pgMar w:top="1134" w:right="1134" w:bottom="1134" w:left="1134" w:header="567" w:footer="567" w:gutter="0"/>
          <w:cols w:space="720"/>
          <w:docGrid w:linePitch="360"/>
        </w:sectPr>
      </w:pPr>
    </w:p>
    <w:p w14:paraId="6490240C" w14:textId="77777777" w:rsidR="00E040FD" w:rsidRDefault="00740D64">
      <w:pPr>
        <w:keepNext/>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E.4. </w:t>
      </w:r>
      <w:r>
        <w:rPr>
          <w:noProof/>
        </w:rPr>
        <w:tab/>
      </w:r>
      <w:r>
        <w:rPr>
          <w:rFonts w:ascii="Times New Roman" w:hAnsi="Times New Roman"/>
          <w:b/>
          <w:noProof/>
          <w:sz w:val="24"/>
          <w:u w:val="single"/>
        </w:rPr>
        <w:t>Delmål, mål, indikatorer och tidsplan för övervakning och genomförande av lånet</w:t>
      </w:r>
    </w:p>
    <w:p w14:paraId="08C3CE82" w14:textId="77777777" w:rsidR="00E040FD" w:rsidRDefault="00E040FD">
      <w:pPr>
        <w:keepNext/>
        <w:spacing w:before="40" w:after="0" w:line="259" w:lineRule="auto"/>
        <w:jc w:val="both"/>
        <w:rPr>
          <w:rFonts w:ascii="Times New Roman" w:hAnsi="Times New Roman" w:cs="Times New Roman"/>
          <w:noProof/>
          <w:sz w:val="24"/>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246"/>
        <w:gridCol w:w="1108"/>
        <w:gridCol w:w="1659"/>
        <w:gridCol w:w="1245"/>
        <w:gridCol w:w="972"/>
        <w:gridCol w:w="971"/>
        <w:gridCol w:w="695"/>
        <w:gridCol w:w="557"/>
        <w:gridCol w:w="694"/>
        <w:gridCol w:w="4908"/>
      </w:tblGrid>
      <w:tr w:rsidR="00E040FD" w14:paraId="235CFC6B" w14:textId="77777777">
        <w:trPr>
          <w:trHeight w:val="300"/>
          <w:tblHeader/>
        </w:trPr>
        <w:tc>
          <w:tcPr>
            <w:tcW w:w="1113" w:type="dxa"/>
            <w:vMerge w:val="restart"/>
            <w:shd w:val="clear" w:color="auto" w:fill="BDD6EE"/>
            <w:vAlign w:val="center"/>
            <w:hideMark/>
          </w:tcPr>
          <w:p w14:paraId="5AD60527"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46" w:type="dxa"/>
            <w:vMerge w:val="restart"/>
            <w:shd w:val="clear" w:color="auto" w:fill="BDD6EE"/>
            <w:noWrap/>
            <w:vAlign w:val="center"/>
            <w:hideMark/>
          </w:tcPr>
          <w:p w14:paraId="5F907E49"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08" w:type="dxa"/>
            <w:vMerge w:val="restart"/>
            <w:shd w:val="clear" w:color="auto" w:fill="BDD6EE"/>
            <w:noWrap/>
            <w:vAlign w:val="center"/>
            <w:hideMark/>
          </w:tcPr>
          <w:p w14:paraId="0F0CD791" w14:textId="77777777" w:rsidR="00E040FD" w:rsidRDefault="00740D64">
            <w:pPr>
              <w:pStyle w:val="P68B1DB1-Normal6"/>
              <w:spacing w:after="0" w:line="240" w:lineRule="auto"/>
              <w:jc w:val="center"/>
              <w:rPr>
                <w:rFonts w:eastAsia="Times New Roman" w:cs="Times New Roman"/>
                <w:noProof/>
              </w:rPr>
            </w:pPr>
            <w:r>
              <w:rPr>
                <w:noProof/>
              </w:rPr>
              <w:t>Delmål/mål</w:t>
            </w:r>
          </w:p>
          <w:p w14:paraId="45499D8C" w14:textId="7AB69549" w:rsidR="00E040FD" w:rsidRDefault="00740D64">
            <w:pPr>
              <w:pStyle w:val="P68B1DB1-Normal9"/>
              <w:spacing w:after="0" w:line="240" w:lineRule="auto"/>
              <w:rPr>
                <w:rFonts w:ascii="Times New Roman" w:eastAsia="Times New Roman" w:hAnsi="Times New Roman" w:cs="Times New Roman"/>
                <w:b/>
                <w:noProof/>
                <w:sz w:val="18"/>
              </w:rPr>
            </w:pPr>
            <w:r>
              <w:rPr>
                <w:noProof/>
              </w:rPr>
              <w:t> </w:t>
            </w:r>
          </w:p>
        </w:tc>
        <w:tc>
          <w:tcPr>
            <w:tcW w:w="1659" w:type="dxa"/>
            <w:vMerge w:val="restart"/>
            <w:shd w:val="clear" w:color="auto" w:fill="BDD6EE"/>
            <w:noWrap/>
            <w:vAlign w:val="center"/>
            <w:hideMark/>
          </w:tcPr>
          <w:p w14:paraId="342DD455"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45" w:type="dxa"/>
            <w:vMerge w:val="restart"/>
            <w:shd w:val="clear" w:color="auto" w:fill="BDD6EE"/>
            <w:noWrap/>
            <w:vAlign w:val="center"/>
            <w:hideMark/>
          </w:tcPr>
          <w:p w14:paraId="5D379DDD"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638" w:type="dxa"/>
            <w:gridSpan w:val="3"/>
            <w:shd w:val="clear" w:color="auto" w:fill="BDD6EE"/>
            <w:noWrap/>
            <w:vAlign w:val="center"/>
            <w:hideMark/>
          </w:tcPr>
          <w:p w14:paraId="39B01116"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51" w:type="dxa"/>
            <w:gridSpan w:val="2"/>
            <w:shd w:val="clear" w:color="auto" w:fill="BDD6EE"/>
            <w:noWrap/>
            <w:vAlign w:val="center"/>
            <w:hideMark/>
          </w:tcPr>
          <w:p w14:paraId="328C3EC0"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4908" w:type="dxa"/>
            <w:vMerge w:val="restart"/>
            <w:shd w:val="clear" w:color="auto" w:fill="BDD6EE"/>
            <w:noWrap/>
            <w:vAlign w:val="center"/>
            <w:hideMark/>
          </w:tcPr>
          <w:p w14:paraId="495029B6"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77B89938" w14:textId="77777777">
        <w:trPr>
          <w:trHeight w:val="600"/>
          <w:tblHeader/>
        </w:trPr>
        <w:tc>
          <w:tcPr>
            <w:tcW w:w="1113" w:type="dxa"/>
            <w:vMerge/>
            <w:vAlign w:val="center"/>
            <w:hideMark/>
          </w:tcPr>
          <w:p w14:paraId="414C4B6B" w14:textId="77777777" w:rsidR="00E040FD" w:rsidRDefault="00E040FD">
            <w:pPr>
              <w:spacing w:after="0" w:line="240" w:lineRule="auto"/>
              <w:rPr>
                <w:rFonts w:ascii="Times New Roman" w:eastAsia="Times New Roman" w:hAnsi="Times New Roman" w:cs="Times New Roman"/>
                <w:b/>
                <w:noProof/>
                <w:sz w:val="18"/>
              </w:rPr>
            </w:pPr>
          </w:p>
        </w:tc>
        <w:tc>
          <w:tcPr>
            <w:tcW w:w="1246" w:type="dxa"/>
            <w:vMerge/>
            <w:vAlign w:val="center"/>
            <w:hideMark/>
          </w:tcPr>
          <w:p w14:paraId="26F62AB4" w14:textId="77777777" w:rsidR="00E040FD" w:rsidRDefault="00E040FD">
            <w:pPr>
              <w:spacing w:after="0" w:line="240" w:lineRule="auto"/>
              <w:rPr>
                <w:rFonts w:ascii="Times New Roman" w:eastAsia="Times New Roman" w:hAnsi="Times New Roman" w:cs="Times New Roman"/>
                <w:b/>
                <w:noProof/>
                <w:sz w:val="18"/>
              </w:rPr>
            </w:pPr>
          </w:p>
        </w:tc>
        <w:tc>
          <w:tcPr>
            <w:tcW w:w="1108" w:type="dxa"/>
            <w:vMerge/>
            <w:noWrap/>
            <w:vAlign w:val="center"/>
            <w:hideMark/>
          </w:tcPr>
          <w:p w14:paraId="4CD10545" w14:textId="36059408" w:rsidR="00E040FD" w:rsidRDefault="00E040FD">
            <w:pPr>
              <w:spacing w:after="0" w:line="240" w:lineRule="auto"/>
              <w:rPr>
                <w:rFonts w:ascii="Times New Roman" w:eastAsia="Times New Roman" w:hAnsi="Times New Roman" w:cs="Times New Roman"/>
                <w:b/>
                <w:noProof/>
                <w:sz w:val="18"/>
              </w:rPr>
            </w:pPr>
          </w:p>
        </w:tc>
        <w:tc>
          <w:tcPr>
            <w:tcW w:w="1659" w:type="dxa"/>
            <w:vMerge/>
            <w:vAlign w:val="center"/>
            <w:hideMark/>
          </w:tcPr>
          <w:p w14:paraId="09C405A8" w14:textId="77777777" w:rsidR="00E040FD" w:rsidRDefault="00E040FD">
            <w:pPr>
              <w:spacing w:after="0" w:line="240" w:lineRule="auto"/>
              <w:rPr>
                <w:rFonts w:ascii="Times New Roman" w:eastAsia="Times New Roman" w:hAnsi="Times New Roman" w:cs="Times New Roman"/>
                <w:b/>
                <w:noProof/>
                <w:sz w:val="18"/>
              </w:rPr>
            </w:pPr>
          </w:p>
        </w:tc>
        <w:tc>
          <w:tcPr>
            <w:tcW w:w="1245" w:type="dxa"/>
            <w:vMerge/>
            <w:vAlign w:val="center"/>
            <w:hideMark/>
          </w:tcPr>
          <w:p w14:paraId="4019AC7D" w14:textId="77777777" w:rsidR="00E040FD" w:rsidRDefault="00E040FD">
            <w:pPr>
              <w:spacing w:after="0" w:line="240" w:lineRule="auto"/>
              <w:rPr>
                <w:rFonts w:ascii="Times New Roman" w:eastAsia="Times New Roman" w:hAnsi="Times New Roman" w:cs="Times New Roman"/>
                <w:b/>
                <w:noProof/>
                <w:sz w:val="18"/>
              </w:rPr>
            </w:pPr>
          </w:p>
        </w:tc>
        <w:tc>
          <w:tcPr>
            <w:tcW w:w="972" w:type="dxa"/>
            <w:tcBorders>
              <w:bottom w:val="single" w:sz="4" w:space="0" w:color="auto"/>
            </w:tcBorders>
            <w:shd w:val="clear" w:color="auto" w:fill="BDD6EE"/>
            <w:noWrap/>
            <w:vAlign w:val="center"/>
            <w:hideMark/>
          </w:tcPr>
          <w:p w14:paraId="33FB0290"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71" w:type="dxa"/>
            <w:tcBorders>
              <w:bottom w:val="single" w:sz="4" w:space="0" w:color="auto"/>
            </w:tcBorders>
            <w:shd w:val="clear" w:color="auto" w:fill="BDD6EE"/>
            <w:noWrap/>
            <w:vAlign w:val="center"/>
            <w:hideMark/>
          </w:tcPr>
          <w:p w14:paraId="3F9E2F45"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695" w:type="dxa"/>
            <w:tcBorders>
              <w:bottom w:val="single" w:sz="4" w:space="0" w:color="auto"/>
            </w:tcBorders>
            <w:shd w:val="clear" w:color="auto" w:fill="BDD6EE"/>
            <w:noWrap/>
            <w:vAlign w:val="center"/>
            <w:hideMark/>
          </w:tcPr>
          <w:p w14:paraId="3288458E" w14:textId="77777777" w:rsidR="00E040FD" w:rsidRDefault="00740D64">
            <w:pPr>
              <w:pStyle w:val="P68B1DB1-Normal6"/>
              <w:spacing w:after="0" w:line="240" w:lineRule="auto"/>
              <w:jc w:val="center"/>
              <w:rPr>
                <w:rFonts w:eastAsia="Times New Roman" w:cs="Times New Roman"/>
                <w:noProof/>
              </w:rPr>
            </w:pPr>
            <w:r>
              <w:rPr>
                <w:noProof/>
              </w:rPr>
              <w:t>Mål</w:t>
            </w:r>
          </w:p>
        </w:tc>
        <w:tc>
          <w:tcPr>
            <w:tcW w:w="557" w:type="dxa"/>
            <w:tcBorders>
              <w:bottom w:val="single" w:sz="4" w:space="0" w:color="auto"/>
            </w:tcBorders>
            <w:shd w:val="clear" w:color="auto" w:fill="BDD6EE"/>
            <w:noWrap/>
            <w:vAlign w:val="center"/>
            <w:hideMark/>
          </w:tcPr>
          <w:p w14:paraId="30E12A1C" w14:textId="77777777" w:rsidR="00E040FD" w:rsidRDefault="00740D64">
            <w:pPr>
              <w:pStyle w:val="P68B1DB1-Normal6"/>
              <w:spacing w:after="0" w:line="240" w:lineRule="auto"/>
              <w:jc w:val="center"/>
              <w:rPr>
                <w:rFonts w:eastAsia="Times New Roman" w:cs="Times New Roman"/>
                <w:noProof/>
              </w:rPr>
            </w:pPr>
            <w:r>
              <w:rPr>
                <w:noProof/>
              </w:rPr>
              <w:t>Q</w:t>
            </w:r>
          </w:p>
        </w:tc>
        <w:tc>
          <w:tcPr>
            <w:tcW w:w="694" w:type="dxa"/>
            <w:tcBorders>
              <w:bottom w:val="single" w:sz="4" w:space="0" w:color="auto"/>
            </w:tcBorders>
            <w:shd w:val="clear" w:color="auto" w:fill="BDD6EE"/>
            <w:noWrap/>
            <w:vAlign w:val="center"/>
            <w:hideMark/>
          </w:tcPr>
          <w:p w14:paraId="49193FA0" w14:textId="77777777" w:rsidR="00E040FD" w:rsidRDefault="00740D64">
            <w:pPr>
              <w:pStyle w:val="P68B1DB1-Normal6"/>
              <w:spacing w:after="0" w:line="240" w:lineRule="auto"/>
              <w:jc w:val="center"/>
              <w:rPr>
                <w:rFonts w:eastAsia="Times New Roman" w:cs="Times New Roman"/>
                <w:noProof/>
              </w:rPr>
            </w:pPr>
            <w:r>
              <w:rPr>
                <w:noProof/>
              </w:rPr>
              <w:t>Året</w:t>
            </w:r>
          </w:p>
        </w:tc>
        <w:tc>
          <w:tcPr>
            <w:tcW w:w="4908" w:type="dxa"/>
            <w:vMerge/>
            <w:vAlign w:val="center"/>
            <w:hideMark/>
          </w:tcPr>
          <w:p w14:paraId="68AAB397" w14:textId="77777777" w:rsidR="00E040FD" w:rsidRDefault="00E040FD">
            <w:pPr>
              <w:spacing w:after="0" w:line="240" w:lineRule="auto"/>
              <w:rPr>
                <w:rFonts w:ascii="Times New Roman" w:eastAsia="Times New Roman" w:hAnsi="Times New Roman" w:cs="Times New Roman"/>
                <w:b/>
                <w:noProof/>
                <w:sz w:val="18"/>
              </w:rPr>
            </w:pPr>
          </w:p>
        </w:tc>
      </w:tr>
      <w:tr w:rsidR="00E040FD" w14:paraId="62E78A68" w14:textId="77777777">
        <w:trPr>
          <w:trHeight w:val="509"/>
        </w:trPr>
        <w:tc>
          <w:tcPr>
            <w:tcW w:w="1113" w:type="dxa"/>
            <w:shd w:val="clear" w:color="auto" w:fill="C4EFCE"/>
            <w:vAlign w:val="center"/>
            <w:hideMark/>
          </w:tcPr>
          <w:p w14:paraId="1CD6A056" w14:textId="77777777" w:rsidR="00E040FD" w:rsidRDefault="00740D64">
            <w:pPr>
              <w:pStyle w:val="P68B1DB1-Normal7"/>
              <w:spacing w:after="0" w:line="240" w:lineRule="auto"/>
              <w:jc w:val="center"/>
              <w:rPr>
                <w:rFonts w:eastAsia="Times New Roman" w:cs="Calibri"/>
                <w:noProof/>
              </w:rPr>
            </w:pPr>
            <w:r>
              <w:rPr>
                <w:noProof/>
              </w:rPr>
              <w:t>5.23</w:t>
            </w:r>
          </w:p>
        </w:tc>
        <w:tc>
          <w:tcPr>
            <w:tcW w:w="1246" w:type="dxa"/>
            <w:shd w:val="clear" w:color="auto" w:fill="C4EFCE"/>
            <w:vAlign w:val="center"/>
            <w:hideMark/>
          </w:tcPr>
          <w:p w14:paraId="70D1D549" w14:textId="77777777" w:rsidR="00E040FD" w:rsidRDefault="00740D64">
            <w:pPr>
              <w:pStyle w:val="P68B1DB1-Normal8"/>
              <w:spacing w:after="0" w:line="240" w:lineRule="auto"/>
              <w:jc w:val="center"/>
              <w:rPr>
                <w:rFonts w:eastAsia="Times New Roman" w:cs="Calibri"/>
                <w:noProof/>
              </w:rPr>
            </w:pPr>
            <w:r>
              <w:rPr>
                <w:noProof/>
              </w:rPr>
              <w:t>RE-C05-r10</w:t>
            </w:r>
          </w:p>
        </w:tc>
        <w:tc>
          <w:tcPr>
            <w:tcW w:w="1108" w:type="dxa"/>
            <w:shd w:val="clear" w:color="auto" w:fill="C4EFCE"/>
            <w:vAlign w:val="center"/>
            <w:hideMark/>
          </w:tcPr>
          <w:p w14:paraId="3CF04DC0" w14:textId="77777777" w:rsidR="00E040FD" w:rsidRDefault="00740D6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69E39EE1" w14:textId="77777777" w:rsidR="00E040FD" w:rsidRDefault="00740D64">
            <w:pPr>
              <w:pStyle w:val="P68B1DB1-Normal8"/>
              <w:spacing w:after="0" w:line="240" w:lineRule="auto"/>
              <w:jc w:val="center"/>
              <w:rPr>
                <w:rFonts w:eastAsia="Times New Roman" w:cs="Calibri"/>
                <w:noProof/>
              </w:rPr>
            </w:pPr>
            <w:r>
              <w:rPr>
                <w:noProof/>
              </w:rPr>
              <w:t xml:space="preserve">Ikraftträdande av förordningen om fastställande av </w:t>
            </w:r>
            <w:r>
              <w:rPr>
                <w:i/>
                <w:noProof/>
              </w:rPr>
              <w:t>Banco Português de Fomentos (</w:t>
            </w:r>
            <w:r>
              <w:rPr>
                <w:noProof/>
              </w:rPr>
              <w:t xml:space="preserve"> BPF) verksamhet och stadgar</w:t>
            </w:r>
          </w:p>
        </w:tc>
        <w:tc>
          <w:tcPr>
            <w:tcW w:w="1245" w:type="dxa"/>
            <w:shd w:val="clear" w:color="auto" w:fill="C4EFCE"/>
            <w:vAlign w:val="center"/>
            <w:hideMark/>
          </w:tcPr>
          <w:p w14:paraId="5C531FAA" w14:textId="77777777" w:rsidR="00E040FD" w:rsidRDefault="00740D64">
            <w:pPr>
              <w:pStyle w:val="P68B1DB1-Normal8"/>
              <w:spacing w:after="0" w:line="240" w:lineRule="auto"/>
              <w:jc w:val="center"/>
              <w:rPr>
                <w:rFonts w:eastAsia="Times New Roman" w:cs="Calibri"/>
                <w:noProof/>
              </w:rPr>
            </w:pPr>
            <w:r>
              <w:rPr>
                <w:noProof/>
              </w:rPr>
              <w:t>Ikraftträdande av lagdekret nr 63/2020 om fastställande av BPF:s verksamhet och stadgar</w:t>
            </w:r>
          </w:p>
        </w:tc>
        <w:tc>
          <w:tcPr>
            <w:tcW w:w="972" w:type="dxa"/>
            <w:shd w:val="clear" w:color="auto" w:fill="C4EFCE"/>
            <w:vAlign w:val="center"/>
            <w:hideMark/>
          </w:tcPr>
          <w:p w14:paraId="7BF2953F"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4547F95" w14:textId="77777777" w:rsidR="00E040FD" w:rsidRDefault="00740D6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58AF4DF8" w14:textId="77777777" w:rsidR="00E040FD" w:rsidRDefault="00740D6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584F10F0" w14:textId="77777777" w:rsidR="00E040FD" w:rsidRDefault="00740D64">
            <w:pPr>
              <w:pStyle w:val="P68B1DB1-Normal8"/>
              <w:spacing w:after="0" w:line="240" w:lineRule="auto"/>
              <w:jc w:val="center"/>
              <w:rPr>
                <w:rFonts w:eastAsia="Times New Roman" w:cs="Calibri"/>
                <w:noProof/>
              </w:rPr>
            </w:pPr>
            <w:r>
              <w:rPr>
                <w:noProof/>
              </w:rPr>
              <w:t>KVARTAL 4</w:t>
            </w:r>
          </w:p>
        </w:tc>
        <w:tc>
          <w:tcPr>
            <w:tcW w:w="694" w:type="dxa"/>
            <w:shd w:val="clear" w:color="auto" w:fill="C4EFCE"/>
            <w:vAlign w:val="center"/>
            <w:hideMark/>
          </w:tcPr>
          <w:p w14:paraId="6C49ABF7" w14:textId="77777777" w:rsidR="00E040FD" w:rsidRDefault="00740D64">
            <w:pPr>
              <w:pStyle w:val="P68B1DB1-Normal8"/>
              <w:spacing w:after="0" w:line="240" w:lineRule="auto"/>
              <w:jc w:val="center"/>
              <w:rPr>
                <w:rFonts w:eastAsia="Times New Roman" w:cs="Calibri"/>
                <w:noProof/>
              </w:rPr>
            </w:pPr>
            <w:r>
              <w:rPr>
                <w:noProof/>
              </w:rPr>
              <w:t>2020</w:t>
            </w:r>
          </w:p>
        </w:tc>
        <w:tc>
          <w:tcPr>
            <w:tcW w:w="4908" w:type="dxa"/>
            <w:shd w:val="clear" w:color="auto" w:fill="C4EFCE"/>
            <w:vAlign w:val="center"/>
            <w:hideMark/>
          </w:tcPr>
          <w:p w14:paraId="61570855" w14:textId="77777777" w:rsidR="00E040FD" w:rsidRDefault="00740D64">
            <w:pPr>
              <w:pStyle w:val="P68B1DB1-Normal8"/>
              <w:spacing w:after="0" w:line="240" w:lineRule="auto"/>
              <w:jc w:val="both"/>
              <w:rPr>
                <w:rFonts w:eastAsia="Times New Roman" w:cs="Calibri"/>
                <w:noProof/>
              </w:rPr>
            </w:pPr>
            <w:r>
              <w:rPr>
                <w:noProof/>
              </w:rPr>
              <w:t>Republiken Portugals regerings offentliggörande och ikraftträdande av lagdekret nr 63/2020, som reglerar BPF:s verksamhet och verksamhet och godkänner dess stadgar.</w:t>
            </w:r>
          </w:p>
        </w:tc>
      </w:tr>
      <w:tr w:rsidR="00E040FD" w14:paraId="661774E0" w14:textId="77777777">
        <w:trPr>
          <w:trHeight w:val="1220"/>
        </w:trPr>
        <w:tc>
          <w:tcPr>
            <w:tcW w:w="1113" w:type="dxa"/>
            <w:shd w:val="clear" w:color="auto" w:fill="C4EFCE"/>
            <w:vAlign w:val="center"/>
            <w:hideMark/>
          </w:tcPr>
          <w:p w14:paraId="66190338" w14:textId="77777777" w:rsidR="00E040FD" w:rsidRDefault="00740D64">
            <w:pPr>
              <w:pStyle w:val="P68B1DB1-Normal7"/>
              <w:spacing w:after="0" w:line="240" w:lineRule="auto"/>
              <w:jc w:val="center"/>
              <w:rPr>
                <w:rFonts w:eastAsia="Times New Roman" w:cs="Calibri"/>
                <w:noProof/>
              </w:rPr>
            </w:pPr>
            <w:r>
              <w:rPr>
                <w:noProof/>
              </w:rPr>
              <w:t>5.24</w:t>
            </w:r>
          </w:p>
        </w:tc>
        <w:tc>
          <w:tcPr>
            <w:tcW w:w="1246" w:type="dxa"/>
            <w:shd w:val="clear" w:color="auto" w:fill="C4EFCE"/>
            <w:vAlign w:val="center"/>
            <w:hideMark/>
          </w:tcPr>
          <w:p w14:paraId="689D69C9" w14:textId="77777777" w:rsidR="00E040FD" w:rsidRDefault="00740D64">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9F03A2E" w14:textId="77777777" w:rsidR="00E040FD" w:rsidRDefault="00740D6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0FF4E1B6" w14:textId="77777777" w:rsidR="00E040FD" w:rsidRDefault="00740D64">
            <w:pPr>
              <w:pStyle w:val="P68B1DB1-Normal8"/>
              <w:spacing w:after="0" w:line="240" w:lineRule="auto"/>
              <w:jc w:val="center"/>
              <w:rPr>
                <w:rFonts w:eastAsia="Times New Roman" w:cs="Calibri"/>
                <w:noProof/>
              </w:rPr>
            </w:pPr>
            <w:r>
              <w:rPr>
                <w:noProof/>
              </w:rPr>
              <w:t xml:space="preserve"> Ikraftträdande av översynen av den rättsliga ramen för företag för kollektiva investeringar </w:t>
            </w:r>
          </w:p>
        </w:tc>
        <w:tc>
          <w:tcPr>
            <w:tcW w:w="1245" w:type="dxa"/>
            <w:shd w:val="clear" w:color="auto" w:fill="C4EFCE"/>
            <w:vAlign w:val="center"/>
            <w:hideMark/>
          </w:tcPr>
          <w:p w14:paraId="4083C547" w14:textId="77777777" w:rsidR="00E040FD" w:rsidRDefault="00740D64">
            <w:pPr>
              <w:pStyle w:val="P68B1DB1-Normal8"/>
              <w:spacing w:after="0" w:line="240" w:lineRule="auto"/>
              <w:jc w:val="center"/>
              <w:rPr>
                <w:rFonts w:eastAsia="Times New Roman" w:cs="Calibri"/>
                <w:noProof/>
              </w:rPr>
            </w:pPr>
            <w:r>
              <w:rPr>
                <w:noProof/>
              </w:rPr>
              <w:t xml:space="preserve">Ikraftträdande av översynen av den rättsliga ramen för företag för kollektiva investeringar </w:t>
            </w:r>
          </w:p>
        </w:tc>
        <w:tc>
          <w:tcPr>
            <w:tcW w:w="972" w:type="dxa"/>
            <w:shd w:val="clear" w:color="auto" w:fill="C4EFCE"/>
            <w:vAlign w:val="center"/>
            <w:hideMark/>
          </w:tcPr>
          <w:p w14:paraId="1A341D8C"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5C5E34C9" w14:textId="77777777" w:rsidR="00E040FD" w:rsidRDefault="00740D6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251BF450" w14:textId="77777777" w:rsidR="00E040FD" w:rsidRDefault="00740D6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3C786D1E" w14:textId="77777777" w:rsidR="00E040FD" w:rsidRDefault="00740D64">
            <w:pPr>
              <w:pStyle w:val="P68B1DB1-Normal8"/>
              <w:spacing w:after="0" w:line="240" w:lineRule="auto"/>
              <w:jc w:val="center"/>
              <w:rPr>
                <w:rFonts w:eastAsia="Times New Roman" w:cs="Calibri"/>
                <w:noProof/>
              </w:rPr>
            </w:pPr>
            <w:r>
              <w:rPr>
                <w:noProof/>
              </w:rPr>
              <w:t>KVARTAL 3</w:t>
            </w:r>
          </w:p>
        </w:tc>
        <w:tc>
          <w:tcPr>
            <w:tcW w:w="694" w:type="dxa"/>
            <w:shd w:val="clear" w:color="auto" w:fill="C4EFCE"/>
            <w:vAlign w:val="center"/>
            <w:hideMark/>
          </w:tcPr>
          <w:p w14:paraId="72FED962" w14:textId="77777777" w:rsidR="00E040FD" w:rsidRDefault="00740D64">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35E67B5D" w14:textId="77777777" w:rsidR="00E040FD" w:rsidRDefault="00740D64">
            <w:pPr>
              <w:pStyle w:val="P68B1DB1-Normal8"/>
              <w:spacing w:after="0" w:line="240" w:lineRule="auto"/>
              <w:jc w:val="both"/>
              <w:rPr>
                <w:rFonts w:eastAsia="Times New Roman" w:cs="Calibri"/>
                <w:noProof/>
              </w:rPr>
            </w:pPr>
            <w:r>
              <w:rPr>
                <w:noProof/>
              </w:rPr>
              <w:t>Lagen träder i kraft efter det att lagen antagits av republikens parlament. Den ska se över den rättsliga ramen för företag för kollektiva investeringar i syfte att förenkla regelverket och administrationen.</w:t>
            </w:r>
          </w:p>
        </w:tc>
      </w:tr>
      <w:tr w:rsidR="00E040FD" w14:paraId="7FAB8FF7" w14:textId="77777777">
        <w:trPr>
          <w:trHeight w:val="1060"/>
        </w:trPr>
        <w:tc>
          <w:tcPr>
            <w:tcW w:w="1113" w:type="dxa"/>
            <w:shd w:val="clear" w:color="auto" w:fill="C4EFCE"/>
            <w:vAlign w:val="center"/>
            <w:hideMark/>
          </w:tcPr>
          <w:p w14:paraId="2CEBAA44" w14:textId="77777777" w:rsidR="00E040FD" w:rsidRDefault="00740D64">
            <w:pPr>
              <w:pStyle w:val="P68B1DB1-Normal7"/>
              <w:spacing w:after="0" w:line="240" w:lineRule="auto"/>
              <w:jc w:val="center"/>
              <w:rPr>
                <w:rFonts w:eastAsia="Times New Roman" w:cs="Calibri"/>
                <w:noProof/>
              </w:rPr>
            </w:pPr>
            <w:r>
              <w:rPr>
                <w:noProof/>
              </w:rPr>
              <w:t>5.25</w:t>
            </w:r>
          </w:p>
        </w:tc>
        <w:tc>
          <w:tcPr>
            <w:tcW w:w="1246" w:type="dxa"/>
            <w:shd w:val="clear" w:color="auto" w:fill="C4EFCE"/>
            <w:vAlign w:val="center"/>
            <w:hideMark/>
          </w:tcPr>
          <w:p w14:paraId="67EFB3F7" w14:textId="77777777" w:rsidR="00E040FD" w:rsidRDefault="00740D64">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1D7EC96" w14:textId="77777777" w:rsidR="00E040FD" w:rsidRDefault="00740D6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039C18E1" w14:textId="77777777" w:rsidR="00E040FD" w:rsidRDefault="00740D64">
            <w:pPr>
              <w:pStyle w:val="P68B1DB1-Normal8"/>
              <w:spacing w:after="0" w:line="240" w:lineRule="auto"/>
              <w:jc w:val="center"/>
              <w:rPr>
                <w:rFonts w:eastAsia="Times New Roman" w:cs="Calibri"/>
                <w:noProof/>
              </w:rPr>
            </w:pPr>
            <w:r>
              <w:rPr>
                <w:noProof/>
              </w:rPr>
              <w:t>Ikraftträdande av revideringen av lagen om värdepapperslagen</w:t>
            </w:r>
          </w:p>
        </w:tc>
        <w:tc>
          <w:tcPr>
            <w:tcW w:w="1245" w:type="dxa"/>
            <w:shd w:val="clear" w:color="auto" w:fill="C4EFCE"/>
            <w:vAlign w:val="center"/>
            <w:hideMark/>
          </w:tcPr>
          <w:p w14:paraId="16730FE3" w14:textId="77777777" w:rsidR="00E040FD" w:rsidRDefault="00740D64">
            <w:pPr>
              <w:pStyle w:val="P68B1DB1-Normal8"/>
              <w:spacing w:after="0" w:line="240" w:lineRule="auto"/>
              <w:jc w:val="center"/>
              <w:rPr>
                <w:rFonts w:eastAsia="Times New Roman" w:cs="Calibri"/>
                <w:noProof/>
              </w:rPr>
            </w:pPr>
            <w:r>
              <w:rPr>
                <w:noProof/>
              </w:rPr>
              <w:t xml:space="preserve">Ikraftträdande av revideringen av lagen om värdepapperslagen </w:t>
            </w:r>
          </w:p>
        </w:tc>
        <w:tc>
          <w:tcPr>
            <w:tcW w:w="972" w:type="dxa"/>
            <w:shd w:val="clear" w:color="auto" w:fill="C4EFCE"/>
            <w:vAlign w:val="center"/>
            <w:hideMark/>
          </w:tcPr>
          <w:p w14:paraId="57352804"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D4D1645" w14:textId="77777777" w:rsidR="00E040FD" w:rsidRDefault="00740D6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15C0F5D" w14:textId="77777777" w:rsidR="00E040FD" w:rsidRDefault="00740D6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43C62266" w14:textId="77777777" w:rsidR="00E040FD" w:rsidRDefault="00740D64">
            <w:pPr>
              <w:pStyle w:val="P68B1DB1-Normal8"/>
              <w:spacing w:after="0" w:line="240" w:lineRule="auto"/>
              <w:jc w:val="center"/>
              <w:rPr>
                <w:rFonts w:eastAsia="Times New Roman" w:cs="Calibri"/>
                <w:noProof/>
              </w:rPr>
            </w:pPr>
            <w:r>
              <w:rPr>
                <w:noProof/>
              </w:rPr>
              <w:t>KVARTAL 3</w:t>
            </w:r>
          </w:p>
        </w:tc>
        <w:tc>
          <w:tcPr>
            <w:tcW w:w="694" w:type="dxa"/>
            <w:shd w:val="clear" w:color="auto" w:fill="C4EFCE"/>
            <w:vAlign w:val="center"/>
            <w:hideMark/>
          </w:tcPr>
          <w:p w14:paraId="23228510" w14:textId="77777777" w:rsidR="00E040FD" w:rsidRDefault="00740D64">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7E578C3A" w14:textId="77777777" w:rsidR="00E040FD" w:rsidRDefault="00740D64">
            <w:pPr>
              <w:pStyle w:val="P68B1DB1-Normal8"/>
              <w:spacing w:after="0" w:line="240" w:lineRule="auto"/>
              <w:jc w:val="both"/>
              <w:rPr>
                <w:rFonts w:eastAsia="Times New Roman" w:cs="Calibri"/>
                <w:noProof/>
              </w:rPr>
            </w:pPr>
            <w:r>
              <w:rPr>
                <w:noProof/>
              </w:rPr>
              <w:t>Lagen träder i kraft efter det att lagen antagits av republikens parlament. Översynen av värdepapperslagen syftar till att förenkla regelverket och administrationen för att anpassa de nationella ramarna till unionsrätten när det gäller målet att öka den portugisiska kapitalmarknadens konkurrenskraft.</w:t>
            </w:r>
          </w:p>
        </w:tc>
      </w:tr>
      <w:tr w:rsidR="00E040FD" w14:paraId="71EC5849" w14:textId="77777777">
        <w:trPr>
          <w:trHeight w:val="67"/>
        </w:trPr>
        <w:tc>
          <w:tcPr>
            <w:tcW w:w="1113" w:type="dxa"/>
            <w:shd w:val="clear" w:color="auto" w:fill="C4EFCE"/>
            <w:vAlign w:val="center"/>
            <w:hideMark/>
          </w:tcPr>
          <w:p w14:paraId="73BF0385" w14:textId="77777777" w:rsidR="00E040FD" w:rsidRDefault="00740D64">
            <w:pPr>
              <w:pStyle w:val="P68B1DB1-Normal7"/>
              <w:spacing w:after="0" w:line="240" w:lineRule="auto"/>
              <w:jc w:val="center"/>
              <w:rPr>
                <w:rFonts w:eastAsia="Times New Roman" w:cs="Calibri"/>
                <w:noProof/>
              </w:rPr>
            </w:pPr>
            <w:r>
              <w:rPr>
                <w:noProof/>
              </w:rPr>
              <w:t>5.26</w:t>
            </w:r>
          </w:p>
        </w:tc>
        <w:tc>
          <w:tcPr>
            <w:tcW w:w="1246" w:type="dxa"/>
            <w:shd w:val="clear" w:color="auto" w:fill="C4EFCE"/>
            <w:vAlign w:val="center"/>
            <w:hideMark/>
          </w:tcPr>
          <w:p w14:paraId="01F6EAD9" w14:textId="77777777" w:rsidR="00E040FD" w:rsidRDefault="00740D64">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89C3F1A" w14:textId="77777777" w:rsidR="00E040FD" w:rsidRDefault="00740D6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1D2DB219" w14:textId="77777777" w:rsidR="00E040FD" w:rsidRDefault="00740D64">
            <w:pPr>
              <w:pStyle w:val="P68B1DB1-Normal8"/>
              <w:spacing w:after="0" w:line="240" w:lineRule="auto"/>
              <w:jc w:val="center"/>
              <w:rPr>
                <w:rFonts w:eastAsia="Times New Roman" w:cs="Calibri"/>
                <w:noProof/>
              </w:rPr>
            </w:pPr>
            <w:r>
              <w:rPr>
                <w:noProof/>
              </w:rPr>
              <w:t xml:space="preserve">Utveckling av kapitalmarknaden – lagstiftning träder i kraft </w:t>
            </w:r>
          </w:p>
        </w:tc>
        <w:tc>
          <w:tcPr>
            <w:tcW w:w="1245" w:type="dxa"/>
            <w:shd w:val="clear" w:color="auto" w:fill="C4EFCE"/>
            <w:vAlign w:val="center"/>
            <w:hideMark/>
          </w:tcPr>
          <w:p w14:paraId="7D1637FA" w14:textId="77777777" w:rsidR="00E040FD" w:rsidRDefault="00740D64">
            <w:pPr>
              <w:pStyle w:val="P68B1DB1-Normal8"/>
              <w:spacing w:after="0" w:line="240" w:lineRule="auto"/>
              <w:jc w:val="center"/>
              <w:rPr>
                <w:rFonts w:eastAsia="Times New Roman" w:cs="Calibri"/>
                <w:noProof/>
              </w:rPr>
            </w:pPr>
            <w:r>
              <w:rPr>
                <w:noProof/>
              </w:rPr>
              <w:t>Ikraftträdande av lagstiftning om kapitalmarknadens utveckling</w:t>
            </w:r>
          </w:p>
        </w:tc>
        <w:tc>
          <w:tcPr>
            <w:tcW w:w="972" w:type="dxa"/>
            <w:shd w:val="clear" w:color="auto" w:fill="C4EFCE"/>
            <w:vAlign w:val="center"/>
            <w:hideMark/>
          </w:tcPr>
          <w:p w14:paraId="586E7C49"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1A2F023" w14:textId="77777777" w:rsidR="00E040FD" w:rsidRDefault="00740D6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2E32C9C" w14:textId="77777777" w:rsidR="00E040FD" w:rsidRDefault="00740D6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6033117F" w14:textId="77777777" w:rsidR="00E040FD" w:rsidRDefault="00740D64">
            <w:pPr>
              <w:pStyle w:val="P68B1DB1-Normal8"/>
              <w:spacing w:after="0" w:line="240" w:lineRule="auto"/>
              <w:jc w:val="center"/>
              <w:rPr>
                <w:rFonts w:eastAsia="Times New Roman" w:cs="Calibri"/>
                <w:noProof/>
              </w:rPr>
            </w:pPr>
            <w:r>
              <w:rPr>
                <w:noProof/>
              </w:rPr>
              <w:t>KVARTAL 4</w:t>
            </w:r>
          </w:p>
        </w:tc>
        <w:tc>
          <w:tcPr>
            <w:tcW w:w="694" w:type="dxa"/>
            <w:shd w:val="clear" w:color="auto" w:fill="C4EFCE"/>
            <w:vAlign w:val="center"/>
            <w:hideMark/>
          </w:tcPr>
          <w:p w14:paraId="22331127" w14:textId="77777777" w:rsidR="00E040FD" w:rsidRDefault="00740D64">
            <w:pPr>
              <w:pStyle w:val="P68B1DB1-Normal8"/>
              <w:spacing w:after="0" w:line="240" w:lineRule="auto"/>
              <w:jc w:val="center"/>
              <w:rPr>
                <w:rFonts w:eastAsia="Times New Roman" w:cs="Calibri"/>
                <w:noProof/>
              </w:rPr>
            </w:pPr>
            <w:r>
              <w:rPr>
                <w:noProof/>
              </w:rPr>
              <w:t>2023</w:t>
            </w:r>
          </w:p>
        </w:tc>
        <w:tc>
          <w:tcPr>
            <w:tcW w:w="4908" w:type="dxa"/>
            <w:shd w:val="clear" w:color="auto" w:fill="C4EFCE"/>
            <w:vAlign w:val="center"/>
            <w:hideMark/>
          </w:tcPr>
          <w:p w14:paraId="1C25D1BF" w14:textId="77777777" w:rsidR="00E040FD" w:rsidRDefault="00740D64">
            <w:pPr>
              <w:pStyle w:val="P68B1DB1-Normal8"/>
              <w:spacing w:after="0" w:line="240" w:lineRule="auto"/>
              <w:jc w:val="both"/>
              <w:rPr>
                <w:rFonts w:eastAsia="Times New Roman" w:cs="Calibri"/>
                <w:noProof/>
              </w:rPr>
            </w:pPr>
            <w:r>
              <w:rPr>
                <w:noProof/>
              </w:rPr>
              <w:t>Till följd av marknadsaktörernas bidrag, ikraftträdande av lagstiftning om kapitalmarknadens utveckling. Samtidigt som arbetsfriheten för arbetsgruppen för kapitalmarknadens förstärkning (som inrättats av ministeriet för ekonomi och digital omställning och statssekreteraren för finansfrågor) bevaras, föreskrivs det att lagstiftningen ska inriktas på att skapa incitament för bland annat i) tillgång till eget kapital via kapitalmarknaden, ii) skapandet av ett klimat som främjar företagstillväxt, iii) skuldfinansiering på marknaden, iv) investerarnas deltagande.</w:t>
            </w:r>
          </w:p>
        </w:tc>
      </w:tr>
      <w:tr w:rsidR="00E040FD" w14:paraId="2E453268" w14:textId="77777777">
        <w:trPr>
          <w:trHeight w:val="1984"/>
        </w:trPr>
        <w:tc>
          <w:tcPr>
            <w:tcW w:w="1113" w:type="dxa"/>
            <w:shd w:val="clear" w:color="auto" w:fill="C4EFCE"/>
            <w:vAlign w:val="center"/>
            <w:hideMark/>
          </w:tcPr>
          <w:p w14:paraId="1303E8CD" w14:textId="77777777" w:rsidR="00E040FD" w:rsidRDefault="00740D64">
            <w:pPr>
              <w:pStyle w:val="P68B1DB1-Normal7"/>
              <w:spacing w:after="0" w:line="240" w:lineRule="auto"/>
              <w:jc w:val="center"/>
              <w:rPr>
                <w:rFonts w:eastAsia="Times New Roman" w:cs="Calibri"/>
                <w:noProof/>
              </w:rPr>
            </w:pPr>
            <w:r>
              <w:rPr>
                <w:noProof/>
              </w:rPr>
              <w:t>5.27</w:t>
            </w:r>
          </w:p>
        </w:tc>
        <w:tc>
          <w:tcPr>
            <w:tcW w:w="1246" w:type="dxa"/>
            <w:shd w:val="clear" w:color="auto" w:fill="C4EFCE"/>
            <w:vAlign w:val="center"/>
            <w:hideMark/>
          </w:tcPr>
          <w:p w14:paraId="1806B2C1" w14:textId="77777777" w:rsidR="00E040FD" w:rsidRDefault="00740D6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4044504" w14:textId="77777777" w:rsidR="00E040FD" w:rsidRDefault="00740D6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42D89F6B" w14:textId="77777777" w:rsidR="00E040FD" w:rsidRDefault="00740D64">
            <w:pPr>
              <w:pStyle w:val="P68B1DB1-Normal8"/>
              <w:spacing w:after="0" w:line="240" w:lineRule="auto"/>
              <w:jc w:val="center"/>
              <w:rPr>
                <w:rFonts w:eastAsia="Times New Roman" w:cs="Calibri"/>
                <w:noProof/>
              </w:rPr>
            </w:pPr>
            <w:r>
              <w:rPr>
                <w:noProof/>
              </w:rPr>
              <w:t xml:space="preserve">Ikraftträdande av ett lagdekret som reglerar BPF:s kapitaliseringsåtgärd </w:t>
            </w:r>
          </w:p>
        </w:tc>
        <w:tc>
          <w:tcPr>
            <w:tcW w:w="1245" w:type="dxa"/>
            <w:shd w:val="clear" w:color="auto" w:fill="C4EFCE"/>
            <w:vAlign w:val="center"/>
            <w:hideMark/>
          </w:tcPr>
          <w:p w14:paraId="0B68941B" w14:textId="77777777" w:rsidR="00E040FD" w:rsidRDefault="00740D64">
            <w:pPr>
              <w:pStyle w:val="P68B1DB1-Normal8"/>
              <w:spacing w:after="0" w:line="240" w:lineRule="auto"/>
              <w:jc w:val="center"/>
              <w:rPr>
                <w:rFonts w:eastAsia="Times New Roman" w:cs="Calibri"/>
                <w:noProof/>
              </w:rPr>
            </w:pPr>
            <w:r>
              <w:rPr>
                <w:noProof/>
              </w:rPr>
              <w:t>Ikraftträdande av ett lagdekret som reglerar BPF:s kapitaliseringsåtgärd</w:t>
            </w:r>
          </w:p>
        </w:tc>
        <w:tc>
          <w:tcPr>
            <w:tcW w:w="972" w:type="dxa"/>
            <w:shd w:val="clear" w:color="auto" w:fill="C4EFCE"/>
            <w:vAlign w:val="center"/>
            <w:hideMark/>
          </w:tcPr>
          <w:p w14:paraId="4606872E"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41F8011" w14:textId="77777777" w:rsidR="00E040FD" w:rsidRDefault="00740D64">
            <w:pPr>
              <w:pStyle w:val="P68B1DB1-Normal8"/>
              <w:spacing w:after="0" w:line="240" w:lineRule="auto"/>
              <w:jc w:val="center"/>
              <w:rPr>
                <w:rFonts w:eastAsia="Times New Roman" w:cs="Calibri"/>
                <w:noProof/>
              </w:rPr>
            </w:pPr>
            <w:r>
              <w:rPr>
                <w:noProof/>
              </w:rPr>
              <w:t> </w:t>
            </w:r>
          </w:p>
          <w:p w14:paraId="568C3E8E" w14:textId="77777777" w:rsidR="00E040FD" w:rsidRDefault="00E040FD">
            <w:pPr>
              <w:rPr>
                <w:rFonts w:ascii="Calibri" w:eastAsia="Times New Roman" w:hAnsi="Calibri" w:cs="Calibri"/>
                <w:noProof/>
                <w:sz w:val="16"/>
              </w:rPr>
            </w:pPr>
          </w:p>
          <w:p w14:paraId="4A2BB129" w14:textId="77777777" w:rsidR="00E040FD" w:rsidRDefault="00E040FD">
            <w:pPr>
              <w:rPr>
                <w:rFonts w:ascii="Calibri" w:eastAsia="Times New Roman" w:hAnsi="Calibri" w:cs="Calibri"/>
                <w:noProof/>
                <w:sz w:val="16"/>
              </w:rPr>
            </w:pPr>
          </w:p>
          <w:p w14:paraId="528CDCA3" w14:textId="77777777" w:rsidR="00E040FD" w:rsidRDefault="00E040FD">
            <w:pPr>
              <w:rPr>
                <w:rFonts w:ascii="Calibri" w:eastAsia="Times New Roman" w:hAnsi="Calibri" w:cs="Calibri"/>
                <w:noProof/>
                <w:sz w:val="16"/>
              </w:rPr>
            </w:pPr>
          </w:p>
          <w:p w14:paraId="73EBE8F6" w14:textId="77777777" w:rsidR="00E040FD" w:rsidRDefault="00E040FD">
            <w:pPr>
              <w:rPr>
                <w:rFonts w:ascii="Calibri" w:eastAsia="Times New Roman" w:hAnsi="Calibri" w:cs="Calibri"/>
                <w:noProof/>
                <w:sz w:val="16"/>
              </w:rPr>
            </w:pPr>
          </w:p>
          <w:p w14:paraId="037CD278" w14:textId="00F93827" w:rsidR="00E040FD" w:rsidRDefault="00E040FD">
            <w:pPr>
              <w:rPr>
                <w:rFonts w:ascii="Calibri" w:eastAsia="Times New Roman" w:hAnsi="Calibri" w:cs="Calibri"/>
                <w:noProof/>
                <w:sz w:val="16"/>
              </w:rPr>
            </w:pPr>
          </w:p>
        </w:tc>
        <w:tc>
          <w:tcPr>
            <w:tcW w:w="695" w:type="dxa"/>
            <w:shd w:val="clear" w:color="auto" w:fill="C4EFCE"/>
            <w:vAlign w:val="center"/>
            <w:hideMark/>
          </w:tcPr>
          <w:p w14:paraId="66A30881" w14:textId="77777777" w:rsidR="00E040FD" w:rsidRDefault="00740D6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178A1E93" w14:textId="77777777" w:rsidR="00E040FD" w:rsidRDefault="00740D64">
            <w:pPr>
              <w:pStyle w:val="P68B1DB1-Normal8"/>
              <w:spacing w:after="0" w:line="240" w:lineRule="auto"/>
              <w:jc w:val="center"/>
              <w:rPr>
                <w:rFonts w:eastAsia="Times New Roman" w:cs="Calibri"/>
                <w:noProof/>
              </w:rPr>
            </w:pPr>
            <w:r>
              <w:rPr>
                <w:noProof/>
              </w:rPr>
              <w:t>KVARTAL 3</w:t>
            </w:r>
          </w:p>
        </w:tc>
        <w:tc>
          <w:tcPr>
            <w:tcW w:w="694" w:type="dxa"/>
            <w:shd w:val="clear" w:color="auto" w:fill="C4EFCE"/>
            <w:vAlign w:val="center"/>
            <w:hideMark/>
          </w:tcPr>
          <w:p w14:paraId="28C39B7C" w14:textId="77777777" w:rsidR="00E040FD" w:rsidRDefault="00740D64">
            <w:pPr>
              <w:pStyle w:val="P68B1DB1-Normal8"/>
              <w:spacing w:after="0" w:line="240" w:lineRule="auto"/>
              <w:jc w:val="center"/>
              <w:rPr>
                <w:rFonts w:eastAsia="Times New Roman" w:cs="Calibri"/>
                <w:noProof/>
              </w:rPr>
            </w:pPr>
            <w:r>
              <w:rPr>
                <w:noProof/>
              </w:rPr>
              <w:t>2021</w:t>
            </w:r>
          </w:p>
        </w:tc>
        <w:tc>
          <w:tcPr>
            <w:tcW w:w="4908" w:type="dxa"/>
            <w:shd w:val="clear" w:color="auto" w:fill="C4EFCE"/>
            <w:vAlign w:val="center"/>
            <w:hideMark/>
          </w:tcPr>
          <w:p w14:paraId="7330B2B8" w14:textId="77777777" w:rsidR="00E040FD" w:rsidRDefault="00740D64">
            <w:pPr>
              <w:pStyle w:val="P68B1DB1-Normal8"/>
              <w:spacing w:after="0" w:line="240" w:lineRule="auto"/>
              <w:jc w:val="both"/>
              <w:rPr>
                <w:rFonts w:eastAsia="Times New Roman" w:cs="Calibri"/>
                <w:noProof/>
              </w:rPr>
            </w:pPr>
            <w:r>
              <w:rPr>
                <w:noProof/>
              </w:rPr>
              <w:t xml:space="preserve">Ikraftträdande av ett lagdekret som reglerar kapitaliseringsåtgärden och fastställer behovet av att upprätta en investeringspolicy som bland annat fastställer kriterierna för stödberättigande och urval av stödmottagande företag  </w:t>
            </w:r>
          </w:p>
        </w:tc>
      </w:tr>
      <w:tr w:rsidR="00E040FD" w14:paraId="13FEB03E" w14:textId="77777777">
        <w:trPr>
          <w:trHeight w:val="1470"/>
        </w:trPr>
        <w:tc>
          <w:tcPr>
            <w:tcW w:w="1113" w:type="dxa"/>
            <w:shd w:val="clear" w:color="auto" w:fill="C4EFCE"/>
            <w:vAlign w:val="center"/>
            <w:hideMark/>
          </w:tcPr>
          <w:p w14:paraId="2FAB9979" w14:textId="77777777" w:rsidR="00E040FD" w:rsidRDefault="00740D64">
            <w:pPr>
              <w:pStyle w:val="P68B1DB1-Normal7"/>
              <w:spacing w:after="0" w:line="240" w:lineRule="auto"/>
              <w:jc w:val="center"/>
              <w:rPr>
                <w:rFonts w:eastAsia="Times New Roman" w:cs="Calibri"/>
                <w:noProof/>
              </w:rPr>
            </w:pPr>
            <w:r>
              <w:rPr>
                <w:noProof/>
              </w:rPr>
              <w:t>5.28</w:t>
            </w:r>
          </w:p>
        </w:tc>
        <w:tc>
          <w:tcPr>
            <w:tcW w:w="1246" w:type="dxa"/>
            <w:shd w:val="clear" w:color="auto" w:fill="C4EFCE"/>
            <w:vAlign w:val="center"/>
            <w:hideMark/>
          </w:tcPr>
          <w:p w14:paraId="652B7AB1" w14:textId="77777777" w:rsidR="00E040FD" w:rsidRDefault="00740D6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00EB9EF" w14:textId="77777777" w:rsidR="00E040FD" w:rsidRDefault="00740D6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5FFFD34C" w14:textId="77777777" w:rsidR="00E040FD" w:rsidRDefault="00740D64">
            <w:pPr>
              <w:pStyle w:val="P68B1DB1-Normal8"/>
              <w:spacing w:after="0" w:line="240" w:lineRule="auto"/>
              <w:jc w:val="center"/>
              <w:rPr>
                <w:rFonts w:eastAsia="Times New Roman" w:cs="Calibri"/>
                <w:noProof/>
              </w:rPr>
            </w:pPr>
            <w:r>
              <w:rPr>
                <w:noProof/>
              </w:rPr>
              <w:t> </w:t>
            </w:r>
          </w:p>
          <w:p w14:paraId="745A03C4" w14:textId="77777777" w:rsidR="00E040FD" w:rsidRDefault="00740D64">
            <w:pPr>
              <w:pStyle w:val="P68B1DB1-Normal8"/>
              <w:spacing w:after="0" w:line="240" w:lineRule="auto"/>
              <w:jc w:val="center"/>
              <w:rPr>
                <w:rFonts w:eastAsia="Times New Roman" w:cs="Calibri"/>
                <w:noProof/>
              </w:rPr>
            </w:pPr>
            <w:r>
              <w:rPr>
                <w:noProof/>
              </w:rPr>
              <w:t>Utveckling av investeringspolicyn (kapitalisering) och antagande av fordonsförvaltaren</w:t>
            </w:r>
          </w:p>
        </w:tc>
        <w:tc>
          <w:tcPr>
            <w:tcW w:w="1245" w:type="dxa"/>
            <w:shd w:val="clear" w:color="auto" w:fill="C4EFCE"/>
            <w:vAlign w:val="center"/>
            <w:hideMark/>
          </w:tcPr>
          <w:p w14:paraId="3C4F6B64" w14:textId="77777777" w:rsidR="00E040FD" w:rsidRDefault="00740D64">
            <w:pPr>
              <w:pStyle w:val="P68B1DB1-Normal8"/>
              <w:spacing w:after="0" w:line="240" w:lineRule="auto"/>
              <w:jc w:val="center"/>
              <w:rPr>
                <w:rFonts w:eastAsia="Times New Roman" w:cs="Calibri"/>
                <w:noProof/>
              </w:rPr>
            </w:pPr>
            <w:r>
              <w:rPr>
                <w:noProof/>
              </w:rPr>
              <w:t>Investeringsstrategi (kapitalisering) som utvecklats av BPF och antagits av det instrument som inrättats för att förvalta de innehav som följer av de finansiella instrument som genomförts</w:t>
            </w:r>
          </w:p>
        </w:tc>
        <w:tc>
          <w:tcPr>
            <w:tcW w:w="972" w:type="dxa"/>
            <w:shd w:val="clear" w:color="auto" w:fill="C4EFCE"/>
            <w:vAlign w:val="center"/>
            <w:hideMark/>
          </w:tcPr>
          <w:p w14:paraId="4DD7B877"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67CC7E9A" w14:textId="77777777" w:rsidR="00E040FD" w:rsidRDefault="00740D6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2B21BDD4" w14:textId="77777777" w:rsidR="00E040FD" w:rsidRDefault="00740D6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487C265D" w14:textId="77777777" w:rsidR="00E040FD" w:rsidRDefault="00740D64">
            <w:pPr>
              <w:pStyle w:val="P68B1DB1-Normal8"/>
              <w:spacing w:after="0" w:line="240" w:lineRule="auto"/>
              <w:jc w:val="center"/>
              <w:rPr>
                <w:rFonts w:eastAsia="Times New Roman" w:cs="Calibri"/>
                <w:noProof/>
              </w:rPr>
            </w:pPr>
            <w:r>
              <w:rPr>
                <w:noProof/>
              </w:rPr>
              <w:t>KVARTAL 3</w:t>
            </w:r>
          </w:p>
        </w:tc>
        <w:tc>
          <w:tcPr>
            <w:tcW w:w="694" w:type="dxa"/>
            <w:shd w:val="clear" w:color="auto" w:fill="C4EFCE"/>
            <w:vAlign w:val="center"/>
            <w:hideMark/>
          </w:tcPr>
          <w:p w14:paraId="5DD8880A" w14:textId="77777777" w:rsidR="00E040FD" w:rsidRDefault="00740D64">
            <w:pPr>
              <w:pStyle w:val="P68B1DB1-Normal8"/>
              <w:spacing w:after="0" w:line="240" w:lineRule="auto"/>
              <w:jc w:val="center"/>
              <w:rPr>
                <w:rFonts w:eastAsia="Times New Roman" w:cs="Calibri"/>
                <w:noProof/>
              </w:rPr>
            </w:pPr>
            <w:r>
              <w:rPr>
                <w:noProof/>
              </w:rPr>
              <w:t>2021</w:t>
            </w:r>
          </w:p>
        </w:tc>
        <w:tc>
          <w:tcPr>
            <w:tcW w:w="4908" w:type="dxa"/>
            <w:shd w:val="clear" w:color="auto" w:fill="C4EFCE"/>
            <w:vAlign w:val="center"/>
            <w:hideMark/>
          </w:tcPr>
          <w:p w14:paraId="41B0778D" w14:textId="77777777" w:rsidR="00E040FD" w:rsidRDefault="00740D64">
            <w:pPr>
              <w:pStyle w:val="P68B1DB1-Normal8"/>
              <w:spacing w:after="0" w:line="240" w:lineRule="auto"/>
              <w:jc w:val="both"/>
              <w:rPr>
                <w:rFonts w:eastAsia="Times New Roman" w:cs="Calibri"/>
                <w:noProof/>
              </w:rPr>
            </w:pPr>
            <w:r>
              <w:rPr>
                <w:noProof/>
              </w:rPr>
              <w:t xml:space="preserve">Utveckling av investeringspolicyn (kapitalisering) och antagande av fordonsförvaltaren. Investeringspolicyn ska utvecklas och antas av BPF som ledningsorgan för det instrument som inrättats för att förvalta de innehav som följer av de finansieringsinstrument som genomförs för att stödja de företag som valts ut som stödmottagare och ska i detalj beskriva urvals- och stödkriterierna för företag som får stöd, säkerställa att klimat- och miljökraven i faciliteten för återhämtning och resiliens respekteras, inbegripet efterlevnad av den tekniska vägledningen om att inte orsaka betydande skada (2021/C58/01) för tillgångar/verksamheter och/eller företag som får stöd och ange investeringsmål och riktad avkastning. </w:t>
            </w:r>
          </w:p>
          <w:p w14:paraId="361DDA87" w14:textId="77777777" w:rsidR="00E040FD" w:rsidRDefault="00740D64">
            <w:pPr>
              <w:pStyle w:val="P68B1DB1-Normal8"/>
              <w:spacing w:after="0" w:line="240" w:lineRule="auto"/>
              <w:jc w:val="both"/>
              <w:rPr>
                <w:rFonts w:eastAsia="Times New Roman" w:cs="Calibri"/>
                <w:noProof/>
              </w:rPr>
            </w:pPr>
            <w:r>
              <w:rPr>
                <w:noProof/>
              </w:rPr>
              <w:t xml:space="preserve">För att företag som får stöd ska följa den tekniska vägledningen om att inte orsaka betydande skada (2021/C58/01) ska investeringspolicyn kräva följande: </w:t>
            </w:r>
          </w:p>
          <w:p w14:paraId="576E7270" w14:textId="77777777" w:rsidR="00E040FD" w:rsidRDefault="00740D64">
            <w:pPr>
              <w:pStyle w:val="P68B1DB1-Normal8"/>
              <w:spacing w:after="0" w:line="240" w:lineRule="auto"/>
              <w:jc w:val="both"/>
              <w:rPr>
                <w:rFonts w:eastAsia="Times New Roman" w:cs="Calibri"/>
                <w:noProof/>
              </w:rPr>
            </w:pPr>
            <w:r>
              <w:rPr>
                <w:noProof/>
              </w:rPr>
              <w:t>— användning av hållbarhetssäkring</w:t>
            </w:r>
          </w:p>
          <w:p w14:paraId="35D2078D" w14:textId="77777777" w:rsidR="00E040FD" w:rsidRDefault="00740D64">
            <w:pPr>
              <w:pStyle w:val="P68B1DB1-Normal8"/>
              <w:spacing w:after="0" w:line="240" w:lineRule="auto"/>
              <w:jc w:val="both"/>
              <w:rPr>
                <w:rFonts w:eastAsia="Times New Roman" w:cs="Calibri"/>
                <w:noProof/>
              </w:rPr>
            </w:pPr>
            <w:r>
              <w:rPr>
                <w:noProof/>
              </w:rPr>
              <w:t xml:space="preserve">— en förteckning över uteslutningar som omfattar följande delar: </w:t>
            </w:r>
          </w:p>
          <w:p w14:paraId="4A97B8D7" w14:textId="77777777" w:rsidR="00E040FD" w:rsidRDefault="00740D64">
            <w:pPr>
              <w:pStyle w:val="P68B1DB1-Normal8"/>
              <w:spacing w:after="0" w:line="240" w:lineRule="auto"/>
              <w:jc w:val="both"/>
              <w:rPr>
                <w:rFonts w:eastAsia="Times New Roman" w:cs="Calibri"/>
                <w:noProof/>
              </w:rPr>
            </w:pPr>
            <w:r>
              <w:rPr>
                <w:noProof/>
              </w:rPr>
              <w:t>Investeringar som rör fossila bränslen (inklusive användning i senare led), utom för naturgasbaserad värme/el som uppfyller villkoren i bilaga III till vägledningen om att inte orsaka betydande skada.</w:t>
            </w:r>
          </w:p>
          <w:p w14:paraId="10F5B1AB" w14:textId="77777777" w:rsidR="00E040FD" w:rsidRDefault="00740D64">
            <w:pPr>
              <w:pStyle w:val="P68B1DB1-Normal8"/>
              <w:spacing w:after="0" w:line="240" w:lineRule="auto"/>
              <w:jc w:val="both"/>
              <w:rPr>
                <w:rFonts w:eastAsia="Times New Roman" w:cs="Calibri"/>
                <w:noProof/>
              </w:rPr>
            </w:pPr>
            <w:r>
              <w:rPr>
                <w:noProof/>
              </w:rPr>
              <w:t>Verksamheter inom ramen för utsläppshandelssystemet med beräknade utsläpp av CO2-ekvivalenter som inte är lägre än de relevanta riktmärken som fastställts för gratis tilldelning.</w:t>
            </w:r>
          </w:p>
          <w:p w14:paraId="540A7716" w14:textId="3DF3C20F" w:rsidR="00E040FD" w:rsidRDefault="00740D64">
            <w:pPr>
              <w:pStyle w:val="P68B1DB1-Normal8"/>
              <w:spacing w:after="0" w:line="240" w:lineRule="auto"/>
              <w:jc w:val="both"/>
              <w:rPr>
                <w:rFonts w:eastAsia="Times New Roman" w:cs="Calibri"/>
                <w:noProof/>
              </w:rPr>
            </w:pPr>
            <w:r>
              <w:rPr>
                <w:noProof/>
              </w:rPr>
              <w:t>Investeringar i anläggningar för bortskaffande av avfall i deponier, i anläggningar för mekanisk biologisk behandling (MBT) och förbränningsanläggningar för behandling av avfall. Förteckningen över undantag gäller inte anläggningar som uteslutande är avsedda för behandling av farligt avfall som inte kan materialåtervinnas. befintliga anläggningar, om investeringen syftar till att öka energieffektiviteten, fånga upp avgaser för lagring eller användning eller återvinna material från förbränningsaska, förutsatt att sådana investeringar inte leder till en ökning av anläggningens ”avfallshanteringskapacitet eller till en förlängning av anläggningens livslängd.</w:t>
            </w:r>
          </w:p>
          <w:p w14:paraId="2D69FDF2" w14:textId="77777777" w:rsidR="00E040FD" w:rsidRDefault="00740D64">
            <w:pPr>
              <w:pStyle w:val="P68B1DB1-Normal8"/>
              <w:spacing w:after="0" w:line="240" w:lineRule="auto"/>
              <w:jc w:val="both"/>
              <w:rPr>
                <w:rFonts w:eastAsia="Times New Roman" w:cs="Calibri"/>
                <w:noProof/>
              </w:rPr>
            </w:pPr>
            <w:r>
              <w:rPr>
                <w:noProof/>
              </w:rPr>
              <w:t>Verksamhet där långsiktigt bortskaffande av avfall kan orsaka skador på miljön på lång sikt (t.ex. kärnavfall).</w:t>
            </w:r>
          </w:p>
          <w:p w14:paraId="23225360" w14:textId="77777777" w:rsidR="00E040FD" w:rsidRDefault="00740D64">
            <w:pPr>
              <w:pStyle w:val="P68B1DB1-Normal8"/>
              <w:spacing w:after="0" w:line="240" w:lineRule="auto"/>
              <w:jc w:val="both"/>
              <w:rPr>
                <w:rFonts w:eastAsia="Times New Roman" w:cs="Calibri"/>
                <w:noProof/>
              </w:rPr>
            </w:pPr>
            <w:r>
              <w:rPr>
                <w:noProof/>
              </w:rPr>
              <w:t>FoU I ägnade sig åt ovannämnda tillgångar och verksamheter.</w:t>
            </w:r>
          </w:p>
          <w:p w14:paraId="7D9E0256" w14:textId="77777777" w:rsidR="00E040FD" w:rsidRDefault="00740D64">
            <w:pPr>
              <w:pStyle w:val="P68B1DB1-Normal8"/>
              <w:spacing w:after="0" w:line="240" w:lineRule="auto"/>
              <w:jc w:val="both"/>
              <w:rPr>
                <w:rFonts w:eastAsia="Times New Roman" w:cs="Calibri"/>
                <w:noProof/>
              </w:rPr>
            </w:pPr>
            <w:r>
              <w:rPr>
                <w:noProof/>
              </w:rPr>
              <w:t>obligatoriska kontroller av regelefterlevnad genom BPF och/eller dess utvalda finansiella intermediärer för transaktioner som är undantagna från hållbarhetssäkring</w:t>
            </w:r>
          </w:p>
          <w:p w14:paraId="56E7C1B2" w14:textId="3ECBA876" w:rsidR="00E040FD" w:rsidRDefault="00740D64">
            <w:pPr>
              <w:pStyle w:val="P68B1DB1-Normal8"/>
              <w:spacing w:after="0" w:line="240" w:lineRule="auto"/>
              <w:jc w:val="both"/>
              <w:rPr>
                <w:rFonts w:eastAsia="Times New Roman" w:cs="Calibri"/>
                <w:noProof/>
              </w:rPr>
            </w:pPr>
            <w:r>
              <w:rPr>
                <w:noProof/>
              </w:rPr>
              <w:t>mottagare av stöd till eget kapital som får minst 50 % av sina intäkter från verksamheter som förtecknas i uteslutningsförteckningen för att anta och offentliggöra planer för grön omställning.</w:t>
            </w:r>
          </w:p>
        </w:tc>
      </w:tr>
      <w:tr w:rsidR="00E040FD" w14:paraId="58DAC7D8" w14:textId="77777777">
        <w:trPr>
          <w:trHeight w:val="1470"/>
        </w:trPr>
        <w:tc>
          <w:tcPr>
            <w:tcW w:w="1113" w:type="dxa"/>
            <w:shd w:val="clear" w:color="auto" w:fill="C4EFCE"/>
            <w:vAlign w:val="center"/>
          </w:tcPr>
          <w:p w14:paraId="7AAF1C31" w14:textId="2324AB83" w:rsidR="00E040FD" w:rsidRDefault="00740D64">
            <w:pPr>
              <w:pStyle w:val="P68B1DB1-Normal7"/>
              <w:spacing w:after="0" w:line="240" w:lineRule="auto"/>
              <w:jc w:val="center"/>
              <w:rPr>
                <w:rFonts w:eastAsia="Times New Roman" w:cs="Calibri"/>
                <w:noProof/>
              </w:rPr>
            </w:pPr>
            <w:r>
              <w:rPr>
                <w:noProof/>
              </w:rPr>
              <w:t>5.43</w:t>
            </w:r>
          </w:p>
        </w:tc>
        <w:tc>
          <w:tcPr>
            <w:tcW w:w="1246" w:type="dxa"/>
            <w:shd w:val="clear" w:color="auto" w:fill="C4EFCE"/>
            <w:vAlign w:val="center"/>
          </w:tcPr>
          <w:p w14:paraId="2AD97864" w14:textId="565E1FAF" w:rsidR="00E040FD" w:rsidRDefault="00740D6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tcPr>
          <w:p w14:paraId="73EC6014" w14:textId="73F26BD7" w:rsidR="00E040FD" w:rsidRDefault="00740D64">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tcPr>
          <w:p w14:paraId="4E2ED19B" w14:textId="06E68B56" w:rsidR="00E040FD" w:rsidRDefault="00740D64">
            <w:pPr>
              <w:pStyle w:val="P68B1DB1-Normal9"/>
              <w:spacing w:after="0" w:line="240" w:lineRule="auto"/>
              <w:jc w:val="center"/>
              <w:rPr>
                <w:rFonts w:eastAsia="Times New Roman" w:cs="Calibri"/>
                <w:noProof/>
                <w:sz w:val="16"/>
              </w:rPr>
            </w:pPr>
            <w:r>
              <w:rPr>
                <w:noProof/>
                <w:sz w:val="18"/>
              </w:rPr>
              <w:t>Genom kapitaliseringsinstrumentet på totalt 650 000 000 EUR till portugisiska icke-finansiella företag i form av eget kapital och därmed likställt kapital, i linje med dess investeringspolicy.</w:t>
            </w:r>
          </w:p>
        </w:tc>
        <w:tc>
          <w:tcPr>
            <w:tcW w:w="1245" w:type="dxa"/>
            <w:shd w:val="clear" w:color="auto" w:fill="C4EFCE"/>
            <w:vAlign w:val="center"/>
          </w:tcPr>
          <w:p w14:paraId="752C0856" w14:textId="06A6F4D5" w:rsidR="00E040FD" w:rsidRDefault="00740D64">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tcPr>
          <w:p w14:paraId="3548D410" w14:textId="4E0B55A9" w:rsidR="00E040FD" w:rsidRDefault="00740D64">
            <w:pPr>
              <w:pStyle w:val="P68B1DB1-Normal8"/>
              <w:spacing w:after="0" w:line="240" w:lineRule="auto"/>
              <w:jc w:val="center"/>
              <w:rPr>
                <w:rFonts w:eastAsia="Times New Roman" w:cs="Calibri"/>
                <w:noProof/>
              </w:rPr>
            </w:pPr>
            <w:r>
              <w:rPr>
                <w:noProof/>
              </w:rPr>
              <w:t xml:space="preserve">EURO </w:t>
            </w:r>
          </w:p>
        </w:tc>
        <w:tc>
          <w:tcPr>
            <w:tcW w:w="971" w:type="dxa"/>
            <w:shd w:val="clear" w:color="auto" w:fill="C4EFCE"/>
            <w:vAlign w:val="center"/>
          </w:tcPr>
          <w:p w14:paraId="45FC375D" w14:textId="23E21CC6" w:rsidR="00E040FD" w:rsidRDefault="00740D64">
            <w:pPr>
              <w:pStyle w:val="P68B1DB1-Normal8"/>
              <w:spacing w:after="0" w:line="240" w:lineRule="auto"/>
              <w:jc w:val="center"/>
              <w:rPr>
                <w:rFonts w:eastAsia="Times New Roman" w:cs="Calibri"/>
                <w:noProof/>
              </w:rPr>
            </w:pPr>
            <w:r>
              <w:rPr>
                <w:noProof/>
              </w:rPr>
              <w:t>0</w:t>
            </w:r>
          </w:p>
        </w:tc>
        <w:tc>
          <w:tcPr>
            <w:tcW w:w="695" w:type="dxa"/>
            <w:shd w:val="clear" w:color="auto" w:fill="C4EFCE"/>
            <w:vAlign w:val="center"/>
          </w:tcPr>
          <w:p w14:paraId="77E4C48C" w14:textId="34768C61" w:rsidR="00E040FD" w:rsidRDefault="00740D64">
            <w:pPr>
              <w:pStyle w:val="P68B1DB1-Normal8"/>
              <w:spacing w:after="0" w:line="240" w:lineRule="auto"/>
              <w:jc w:val="center"/>
              <w:rPr>
                <w:rFonts w:eastAsia="Times New Roman" w:cs="Calibri"/>
                <w:noProof/>
              </w:rPr>
            </w:pPr>
            <w:r>
              <w:rPr>
                <w:noProof/>
              </w:rPr>
              <w:t>650 000 000</w:t>
            </w:r>
          </w:p>
        </w:tc>
        <w:tc>
          <w:tcPr>
            <w:tcW w:w="557" w:type="dxa"/>
            <w:shd w:val="clear" w:color="auto" w:fill="C4EFCE"/>
            <w:vAlign w:val="center"/>
          </w:tcPr>
          <w:p w14:paraId="1E551FEE" w14:textId="42F444C6" w:rsidR="00E040FD" w:rsidRDefault="00740D64">
            <w:pPr>
              <w:pStyle w:val="P68B1DB1-Normal8"/>
              <w:spacing w:after="0" w:line="240" w:lineRule="auto"/>
              <w:jc w:val="center"/>
              <w:rPr>
                <w:rFonts w:eastAsia="Times New Roman" w:cs="Calibri"/>
                <w:noProof/>
              </w:rPr>
            </w:pPr>
            <w:r>
              <w:rPr>
                <w:noProof/>
              </w:rPr>
              <w:t>KVARTAL 4</w:t>
            </w:r>
          </w:p>
        </w:tc>
        <w:tc>
          <w:tcPr>
            <w:tcW w:w="694" w:type="dxa"/>
            <w:shd w:val="clear" w:color="auto" w:fill="C4EFCE"/>
            <w:vAlign w:val="center"/>
          </w:tcPr>
          <w:p w14:paraId="42B6A4AF" w14:textId="2FFF2A1C" w:rsidR="00E040FD" w:rsidRDefault="00740D64">
            <w:pPr>
              <w:pStyle w:val="P68B1DB1-Normal8"/>
              <w:spacing w:after="0" w:line="240" w:lineRule="auto"/>
              <w:jc w:val="center"/>
              <w:rPr>
                <w:rFonts w:eastAsia="Times New Roman" w:cs="Calibri"/>
                <w:noProof/>
              </w:rPr>
            </w:pPr>
            <w:r>
              <w:rPr>
                <w:noProof/>
              </w:rPr>
              <w:t>2023</w:t>
            </w:r>
          </w:p>
        </w:tc>
        <w:tc>
          <w:tcPr>
            <w:tcW w:w="4908" w:type="dxa"/>
            <w:shd w:val="clear" w:color="auto" w:fill="C4EFCE"/>
            <w:vAlign w:val="center"/>
          </w:tcPr>
          <w:p w14:paraId="73D8A264" w14:textId="5E5DE666" w:rsidR="00E040FD" w:rsidRDefault="00740D64">
            <w:pPr>
              <w:pStyle w:val="P68B1DB1-Normal8"/>
              <w:spacing w:after="0" w:line="240" w:lineRule="auto"/>
              <w:jc w:val="both"/>
              <w:rPr>
                <w:rFonts w:eastAsia="Times New Roman" w:cs="Calibri"/>
                <w:noProof/>
              </w:rPr>
            </w:pPr>
            <w:r>
              <w:rPr>
                <w:noProof/>
              </w:rPr>
              <w:t xml:space="preserve">Tillhandahållande av totalt 650 000 000 EUR till portugisiska icke-finansiella företag i form av stöd i form av eget kapital och därmed likställt kapital, i linje med BPF:s tidigare definierade investeringspolicy, inbegripet de belopp som betalats ut till icke-finansiella företag som direktinvesteringar och de belopp som anslagits till finansiella intermediärer som indirekta investeringar. </w:t>
            </w:r>
          </w:p>
        </w:tc>
      </w:tr>
      <w:tr w:rsidR="00E040FD" w14:paraId="5D9E6171" w14:textId="77777777">
        <w:trPr>
          <w:trHeight w:val="1960"/>
        </w:trPr>
        <w:tc>
          <w:tcPr>
            <w:tcW w:w="1113" w:type="dxa"/>
            <w:shd w:val="clear" w:color="auto" w:fill="C4EFCE"/>
            <w:vAlign w:val="center"/>
            <w:hideMark/>
          </w:tcPr>
          <w:p w14:paraId="4495AE84" w14:textId="77777777" w:rsidR="00E040FD" w:rsidRDefault="00740D64">
            <w:pPr>
              <w:pStyle w:val="P68B1DB1-Normal7"/>
              <w:spacing w:after="0" w:line="240" w:lineRule="auto"/>
              <w:jc w:val="center"/>
              <w:rPr>
                <w:rFonts w:eastAsia="Times New Roman" w:cs="Calibri"/>
                <w:noProof/>
              </w:rPr>
            </w:pPr>
            <w:r>
              <w:rPr>
                <w:noProof/>
              </w:rPr>
              <w:t>5.29</w:t>
            </w:r>
          </w:p>
        </w:tc>
        <w:tc>
          <w:tcPr>
            <w:tcW w:w="1246" w:type="dxa"/>
            <w:shd w:val="clear" w:color="auto" w:fill="C4EFCE"/>
            <w:vAlign w:val="center"/>
            <w:hideMark/>
          </w:tcPr>
          <w:p w14:paraId="3D54CD9A" w14:textId="77777777" w:rsidR="00E040FD" w:rsidRDefault="00740D6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79606A01" w14:textId="77777777" w:rsidR="00E040FD" w:rsidRDefault="00740D64">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hideMark/>
          </w:tcPr>
          <w:p w14:paraId="02CF9922" w14:textId="4B68928A" w:rsidR="00E040FD" w:rsidRDefault="00740D64">
            <w:pPr>
              <w:pStyle w:val="P68B1DB1-Normal9"/>
              <w:spacing w:after="0" w:line="240" w:lineRule="auto"/>
              <w:jc w:val="center"/>
              <w:rPr>
                <w:rFonts w:eastAsia="Times New Roman" w:cs="Calibri"/>
                <w:noProof/>
                <w:sz w:val="18"/>
              </w:rPr>
            </w:pPr>
            <w:r>
              <w:rPr>
                <w:noProof/>
                <w:sz w:val="18"/>
              </w:rPr>
              <w:t>Genom kapitaliseringsinstrumentet på totalt 1 300 000 000 EUR till portugisiska icke-finansiella företag i form av eget kapital och därmed likställt kapital, i linje med dess investeringspolicy.</w:t>
            </w:r>
          </w:p>
        </w:tc>
        <w:tc>
          <w:tcPr>
            <w:tcW w:w="1245" w:type="dxa"/>
            <w:shd w:val="clear" w:color="auto" w:fill="C4EFCE"/>
            <w:vAlign w:val="center"/>
            <w:hideMark/>
          </w:tcPr>
          <w:p w14:paraId="71326F10" w14:textId="77777777" w:rsidR="00E040FD" w:rsidRDefault="00740D64">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hideMark/>
          </w:tcPr>
          <w:p w14:paraId="36DB9E1E" w14:textId="77777777" w:rsidR="00E040FD" w:rsidRDefault="00740D64">
            <w:pPr>
              <w:pStyle w:val="P68B1DB1-Normal8"/>
              <w:spacing w:after="0" w:line="240" w:lineRule="auto"/>
              <w:jc w:val="center"/>
              <w:rPr>
                <w:rFonts w:eastAsia="Times New Roman" w:cs="Calibri"/>
                <w:noProof/>
              </w:rPr>
            </w:pPr>
            <w:r>
              <w:rPr>
                <w:noProof/>
              </w:rPr>
              <w:t xml:space="preserve">EURO </w:t>
            </w:r>
          </w:p>
        </w:tc>
        <w:tc>
          <w:tcPr>
            <w:tcW w:w="971" w:type="dxa"/>
            <w:shd w:val="clear" w:color="auto" w:fill="C4EFCE"/>
            <w:vAlign w:val="center"/>
            <w:hideMark/>
          </w:tcPr>
          <w:p w14:paraId="224DC5A2" w14:textId="05CA90DA" w:rsidR="00E040FD" w:rsidRDefault="00740D64">
            <w:pPr>
              <w:pStyle w:val="P68B1DB1-Normal8"/>
              <w:spacing w:after="0" w:line="240" w:lineRule="auto"/>
              <w:jc w:val="center"/>
              <w:rPr>
                <w:rFonts w:eastAsia="Times New Roman" w:cs="Calibri"/>
                <w:noProof/>
              </w:rPr>
            </w:pPr>
            <w:r>
              <w:rPr>
                <w:noProof/>
              </w:rPr>
              <w:t>650 000 000</w:t>
            </w:r>
          </w:p>
        </w:tc>
        <w:tc>
          <w:tcPr>
            <w:tcW w:w="695" w:type="dxa"/>
            <w:shd w:val="clear" w:color="auto" w:fill="C4EFCE"/>
            <w:vAlign w:val="center"/>
            <w:hideMark/>
          </w:tcPr>
          <w:p w14:paraId="1CA39E70" w14:textId="25FFDE82" w:rsidR="00E040FD" w:rsidRDefault="00740D64">
            <w:pPr>
              <w:pStyle w:val="P68B1DB1-Normal8"/>
              <w:spacing w:after="0" w:line="240" w:lineRule="auto"/>
              <w:jc w:val="center"/>
              <w:rPr>
                <w:rFonts w:eastAsia="Times New Roman" w:cs="Calibri"/>
                <w:noProof/>
              </w:rPr>
            </w:pPr>
            <w:r>
              <w:rPr>
                <w:noProof/>
              </w:rPr>
              <w:t>1 300 000 000</w:t>
            </w:r>
          </w:p>
        </w:tc>
        <w:tc>
          <w:tcPr>
            <w:tcW w:w="557" w:type="dxa"/>
            <w:shd w:val="clear" w:color="auto" w:fill="C4EFCE"/>
            <w:vAlign w:val="center"/>
            <w:hideMark/>
          </w:tcPr>
          <w:p w14:paraId="4C01E635" w14:textId="77777777" w:rsidR="00E040FD" w:rsidRDefault="00740D64">
            <w:pPr>
              <w:pStyle w:val="P68B1DB1-Normal8"/>
              <w:spacing w:after="0" w:line="240" w:lineRule="auto"/>
              <w:jc w:val="center"/>
              <w:rPr>
                <w:rFonts w:eastAsia="Times New Roman" w:cs="Calibri"/>
                <w:noProof/>
              </w:rPr>
            </w:pPr>
            <w:r>
              <w:rPr>
                <w:noProof/>
              </w:rPr>
              <w:t>KVARTAL 4</w:t>
            </w:r>
          </w:p>
        </w:tc>
        <w:tc>
          <w:tcPr>
            <w:tcW w:w="694" w:type="dxa"/>
            <w:shd w:val="clear" w:color="auto" w:fill="C4EFCE"/>
            <w:vAlign w:val="center"/>
            <w:hideMark/>
          </w:tcPr>
          <w:p w14:paraId="7FE96FF1" w14:textId="4723B112" w:rsidR="00E040FD" w:rsidRDefault="00740D64">
            <w:pPr>
              <w:pStyle w:val="P68B1DB1-Normal8"/>
              <w:spacing w:after="0" w:line="240" w:lineRule="auto"/>
              <w:jc w:val="center"/>
              <w:rPr>
                <w:rFonts w:eastAsia="Times New Roman" w:cs="Calibri"/>
                <w:noProof/>
              </w:rPr>
            </w:pPr>
            <w:r>
              <w:rPr>
                <w:noProof/>
              </w:rPr>
              <w:t>2025</w:t>
            </w:r>
          </w:p>
        </w:tc>
        <w:tc>
          <w:tcPr>
            <w:tcW w:w="4908" w:type="dxa"/>
            <w:shd w:val="clear" w:color="auto" w:fill="C4EFCE"/>
            <w:vAlign w:val="center"/>
            <w:hideMark/>
          </w:tcPr>
          <w:p w14:paraId="397877F2" w14:textId="3F4CCA05" w:rsidR="00E040FD" w:rsidRDefault="00740D64">
            <w:pPr>
              <w:pStyle w:val="P68B1DB1-Normal8"/>
              <w:spacing w:after="0" w:line="240" w:lineRule="auto"/>
              <w:jc w:val="both"/>
              <w:rPr>
                <w:rFonts w:eastAsia="Times New Roman" w:cs="Calibri"/>
                <w:noProof/>
              </w:rPr>
            </w:pPr>
            <w:r>
              <w:rPr>
                <w:noProof/>
              </w:rPr>
              <w:t>Tillhandahållande av totalt 1 300 000 000 EUR (inklusive mål 650 000 000 EUR för mål 5.43) till portugisiska icke-finansiella företag i form av stöd till eget kapital och därmed likställt kapital, i linje med den tidigare fastställda investeringspolicy som utvecklats av BPF och antagits av det instrument som inrättats för att förvalta de innehav som följer av de finansiella instrument som genomförts. Preliminärt beräknas det att 1300 företag kommer att få stöd genom att planen slutförs.</w:t>
            </w:r>
          </w:p>
        </w:tc>
      </w:tr>
      <w:tr w:rsidR="00E040FD" w14:paraId="549D7570" w14:textId="77777777">
        <w:trPr>
          <w:trHeight w:val="1817"/>
        </w:trPr>
        <w:tc>
          <w:tcPr>
            <w:tcW w:w="1113" w:type="dxa"/>
            <w:shd w:val="clear" w:color="auto" w:fill="C4EFCE"/>
            <w:vAlign w:val="center"/>
            <w:hideMark/>
          </w:tcPr>
          <w:p w14:paraId="200D26C9" w14:textId="77777777" w:rsidR="00E040FD" w:rsidRDefault="00740D64">
            <w:pPr>
              <w:pStyle w:val="P68B1DB1-Normal7"/>
              <w:spacing w:after="0" w:line="240" w:lineRule="auto"/>
              <w:jc w:val="center"/>
              <w:rPr>
                <w:rFonts w:eastAsia="Times New Roman" w:cs="Calibri"/>
                <w:noProof/>
              </w:rPr>
            </w:pPr>
            <w:r>
              <w:rPr>
                <w:noProof/>
              </w:rPr>
              <w:t>5.30</w:t>
            </w:r>
          </w:p>
        </w:tc>
        <w:tc>
          <w:tcPr>
            <w:tcW w:w="1246" w:type="dxa"/>
            <w:shd w:val="clear" w:color="auto" w:fill="C4EFCE"/>
            <w:vAlign w:val="center"/>
            <w:hideMark/>
          </w:tcPr>
          <w:p w14:paraId="3395B4BA" w14:textId="77777777" w:rsidR="00E040FD" w:rsidRDefault="00740D6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114316E5" w14:textId="77777777" w:rsidR="00E040FD" w:rsidRDefault="00740D6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74A62CD3" w14:textId="77777777" w:rsidR="00E040FD" w:rsidRDefault="00740D64">
            <w:pPr>
              <w:pStyle w:val="P68B1DB1-Normal8"/>
              <w:spacing w:after="0" w:line="240" w:lineRule="auto"/>
              <w:jc w:val="center"/>
              <w:rPr>
                <w:rFonts w:eastAsia="Times New Roman" w:cs="Calibri"/>
                <w:noProof/>
              </w:rPr>
            </w:pPr>
            <w:r>
              <w:rPr>
                <w:noProof/>
              </w:rPr>
              <w:t>Anmälan till Europeiska kommissionen om att pelarbedömningen för BPF har godkänts</w:t>
            </w:r>
          </w:p>
        </w:tc>
        <w:tc>
          <w:tcPr>
            <w:tcW w:w="1245" w:type="dxa"/>
            <w:shd w:val="clear" w:color="auto" w:fill="C4EFCE"/>
            <w:vAlign w:val="center"/>
            <w:hideMark/>
          </w:tcPr>
          <w:p w14:paraId="31EB5F65" w14:textId="77777777" w:rsidR="00E040FD" w:rsidRDefault="00740D64">
            <w:pPr>
              <w:pStyle w:val="P68B1DB1-Normal8"/>
              <w:spacing w:after="0" w:line="240" w:lineRule="auto"/>
              <w:jc w:val="center"/>
              <w:rPr>
                <w:rFonts w:eastAsia="Times New Roman" w:cs="Calibri"/>
                <w:noProof/>
              </w:rPr>
            </w:pPr>
            <w:r>
              <w:rPr>
                <w:noProof/>
              </w:rPr>
              <w:t>Anmälan till Europeiska kommissionen om att pelarbedömningen för BPF har godkänts</w:t>
            </w:r>
          </w:p>
        </w:tc>
        <w:tc>
          <w:tcPr>
            <w:tcW w:w="972" w:type="dxa"/>
            <w:shd w:val="clear" w:color="auto" w:fill="C4EFCE"/>
            <w:vAlign w:val="center"/>
            <w:hideMark/>
          </w:tcPr>
          <w:p w14:paraId="2DB76E39"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710C53F3" w14:textId="77777777" w:rsidR="00E040FD" w:rsidRDefault="00740D6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0FD89EB" w14:textId="77777777" w:rsidR="00E040FD" w:rsidRDefault="00740D6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19A09A92" w14:textId="77777777" w:rsidR="00E040FD" w:rsidRDefault="00740D64">
            <w:pPr>
              <w:pStyle w:val="P68B1DB1-Normal8"/>
              <w:spacing w:after="0" w:line="240" w:lineRule="auto"/>
              <w:jc w:val="center"/>
              <w:rPr>
                <w:rFonts w:eastAsia="Times New Roman" w:cs="Calibri"/>
                <w:noProof/>
              </w:rPr>
            </w:pPr>
            <w:r>
              <w:rPr>
                <w:noProof/>
              </w:rPr>
              <w:t>KVARTAL 1</w:t>
            </w:r>
          </w:p>
        </w:tc>
        <w:tc>
          <w:tcPr>
            <w:tcW w:w="694" w:type="dxa"/>
            <w:shd w:val="clear" w:color="auto" w:fill="C4EFCE"/>
            <w:vAlign w:val="center"/>
            <w:hideMark/>
          </w:tcPr>
          <w:p w14:paraId="41568E3C" w14:textId="77777777" w:rsidR="00E040FD" w:rsidRDefault="00740D64">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309B65CF" w14:textId="1D35D77D" w:rsidR="00E040FD" w:rsidRDefault="00740D64">
            <w:pPr>
              <w:pStyle w:val="P68B1DB1-Normal8"/>
              <w:spacing w:after="0" w:line="240" w:lineRule="auto"/>
              <w:jc w:val="both"/>
              <w:rPr>
                <w:rFonts w:eastAsia="Times New Roman" w:cs="Calibri"/>
                <w:noProof/>
              </w:rPr>
            </w:pPr>
            <w:r>
              <w:rPr>
                <w:noProof/>
              </w:rPr>
              <w:t>Anmälan till Europeiska kommissionen om att pelarbedömningen för BPF har godkänts</w:t>
            </w:r>
          </w:p>
        </w:tc>
      </w:tr>
      <w:tr w:rsidR="00E040FD" w14:paraId="56A32DB7" w14:textId="77777777">
        <w:trPr>
          <w:trHeight w:val="290"/>
        </w:trPr>
        <w:tc>
          <w:tcPr>
            <w:tcW w:w="1113" w:type="dxa"/>
            <w:shd w:val="clear" w:color="auto" w:fill="C4EFCE"/>
            <w:vAlign w:val="center"/>
            <w:hideMark/>
          </w:tcPr>
          <w:p w14:paraId="70D94B9B" w14:textId="77777777" w:rsidR="00E040FD" w:rsidRDefault="00740D64">
            <w:pPr>
              <w:pStyle w:val="P68B1DB1-Normal7"/>
              <w:spacing w:after="0" w:line="240" w:lineRule="auto"/>
              <w:jc w:val="center"/>
              <w:rPr>
                <w:rFonts w:eastAsia="Times New Roman" w:cs="Calibri"/>
                <w:noProof/>
              </w:rPr>
            </w:pPr>
            <w:r>
              <w:rPr>
                <w:noProof/>
              </w:rPr>
              <w:t>5.31</w:t>
            </w:r>
          </w:p>
        </w:tc>
        <w:tc>
          <w:tcPr>
            <w:tcW w:w="1246" w:type="dxa"/>
            <w:shd w:val="clear" w:color="auto" w:fill="C4EFCE"/>
            <w:vAlign w:val="center"/>
            <w:hideMark/>
          </w:tcPr>
          <w:p w14:paraId="5B366953" w14:textId="77777777" w:rsidR="00E040FD" w:rsidRDefault="00740D6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1738445" w14:textId="77777777" w:rsidR="00E040FD" w:rsidRDefault="00740D6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57A63337" w14:textId="4B6CFB1F" w:rsidR="00E040FD" w:rsidRDefault="00740D64">
            <w:pPr>
              <w:pStyle w:val="P68B1DB1-Normal8"/>
              <w:spacing w:after="0" w:line="240" w:lineRule="auto"/>
              <w:jc w:val="center"/>
              <w:rPr>
                <w:rFonts w:eastAsia="Times New Roman" w:cs="Calibri"/>
                <w:noProof/>
              </w:rPr>
            </w:pPr>
            <w:r>
              <w:rPr>
                <w:noProof/>
              </w:rPr>
              <w:t> Kapitalöverföring på 250 000 000 EUR från den portugisiska regeringen till BPF och antagande av en investeringspolicy för BPF</w:t>
            </w:r>
          </w:p>
        </w:tc>
        <w:tc>
          <w:tcPr>
            <w:tcW w:w="1245" w:type="dxa"/>
            <w:shd w:val="clear" w:color="auto" w:fill="C4EFCE"/>
            <w:vAlign w:val="center"/>
            <w:hideMark/>
          </w:tcPr>
          <w:p w14:paraId="1E07B141" w14:textId="77777777" w:rsidR="00E040FD" w:rsidRDefault="00740D64">
            <w:pPr>
              <w:pStyle w:val="P68B1DB1-Normal8"/>
              <w:spacing w:after="0" w:line="240" w:lineRule="auto"/>
              <w:jc w:val="center"/>
              <w:rPr>
                <w:rFonts w:eastAsia="Times New Roman" w:cs="Calibri"/>
                <w:noProof/>
              </w:rPr>
            </w:pPr>
            <w:r>
              <w:rPr>
                <w:noProof/>
              </w:rPr>
              <w:t>Kapitalökning och utveckling av en investeringspolitik för BPF för att genomföra InvestEU, med fastställande av en uppsättning kriterier för stödberättigande för att säkerställa att målen för faciliteten för återhämtning och resiliens uppfylls</w:t>
            </w:r>
          </w:p>
        </w:tc>
        <w:tc>
          <w:tcPr>
            <w:tcW w:w="972" w:type="dxa"/>
            <w:shd w:val="clear" w:color="auto" w:fill="C4EFCE"/>
            <w:vAlign w:val="center"/>
            <w:hideMark/>
          </w:tcPr>
          <w:p w14:paraId="2827D026"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1A690ADD" w14:textId="77777777" w:rsidR="00E040FD" w:rsidRDefault="00740D6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4AD27795" w14:textId="77777777" w:rsidR="00E040FD" w:rsidRDefault="00740D6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07426AEB" w14:textId="77777777" w:rsidR="00E040FD" w:rsidRDefault="00740D64">
            <w:pPr>
              <w:pStyle w:val="P68B1DB1-Normal8"/>
              <w:spacing w:after="0" w:line="240" w:lineRule="auto"/>
              <w:jc w:val="center"/>
              <w:rPr>
                <w:rFonts w:eastAsia="Times New Roman" w:cs="Calibri"/>
                <w:noProof/>
              </w:rPr>
            </w:pPr>
            <w:r>
              <w:rPr>
                <w:noProof/>
              </w:rPr>
              <w:t>KVARTAL 1</w:t>
            </w:r>
          </w:p>
        </w:tc>
        <w:tc>
          <w:tcPr>
            <w:tcW w:w="694" w:type="dxa"/>
            <w:shd w:val="clear" w:color="auto" w:fill="C4EFCE"/>
            <w:vAlign w:val="center"/>
            <w:hideMark/>
          </w:tcPr>
          <w:p w14:paraId="1A0C8068" w14:textId="77777777" w:rsidR="00E040FD" w:rsidRDefault="00740D64">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6CA6D0BF" w14:textId="7FA936EF" w:rsidR="00E040FD" w:rsidRDefault="00740D64">
            <w:pPr>
              <w:pStyle w:val="P68B1DB1-Normal8"/>
              <w:spacing w:after="0" w:line="240" w:lineRule="auto"/>
              <w:jc w:val="both"/>
              <w:rPr>
                <w:rFonts w:eastAsia="Times New Roman" w:cs="Calibri"/>
                <w:noProof/>
              </w:rPr>
            </w:pPr>
            <w:r>
              <w:rPr>
                <w:noProof/>
              </w:rPr>
              <w:t>Kapitalöverföring på 250 000 000 EUR från den portugisiska regeringen till BPF och antagande av investeringsstrategin för BPF för att genomföra InvestEU, med fastställande av en uppsättning kriterier för stödberättigande i linje med målen för faciliteten för återhämtning och resiliens, inbegripet principen om att inte orsaka betydande skada, i samband med undertecknandet av ett garantiavtal för InvestEU.</w:t>
            </w:r>
          </w:p>
        </w:tc>
      </w:tr>
      <w:tr w:rsidR="00E040FD" w14:paraId="79CBF608" w14:textId="77777777">
        <w:trPr>
          <w:trHeight w:val="687"/>
        </w:trPr>
        <w:tc>
          <w:tcPr>
            <w:tcW w:w="1113" w:type="dxa"/>
            <w:shd w:val="clear" w:color="auto" w:fill="C4EFCE"/>
            <w:vAlign w:val="center"/>
            <w:hideMark/>
          </w:tcPr>
          <w:p w14:paraId="62505207" w14:textId="4798763F" w:rsidR="00E040FD" w:rsidRDefault="00740D64">
            <w:pPr>
              <w:pStyle w:val="P68B1DB1-Normal7"/>
              <w:spacing w:after="0" w:line="240" w:lineRule="auto"/>
              <w:jc w:val="center"/>
              <w:rPr>
                <w:rFonts w:eastAsia="Times New Roman" w:cs="Calibri"/>
                <w:noProof/>
              </w:rPr>
            </w:pPr>
            <w:r>
              <w:rPr>
                <w:noProof/>
              </w:rPr>
              <w:t>5.32</w:t>
            </w:r>
          </w:p>
        </w:tc>
        <w:tc>
          <w:tcPr>
            <w:tcW w:w="1246" w:type="dxa"/>
            <w:shd w:val="clear" w:color="auto" w:fill="C4EFCE"/>
            <w:vAlign w:val="center"/>
            <w:hideMark/>
          </w:tcPr>
          <w:p w14:paraId="3E67B2B5" w14:textId="77777777" w:rsidR="00E040FD" w:rsidRDefault="00740D6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2B3F8D44" w14:textId="77777777" w:rsidR="00E040FD" w:rsidRDefault="00740D64">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hideMark/>
          </w:tcPr>
          <w:p w14:paraId="401B366E" w14:textId="77777777" w:rsidR="00E040FD" w:rsidRDefault="00740D64">
            <w:pPr>
              <w:pStyle w:val="P68B1DB1-Normal8"/>
              <w:spacing w:after="0" w:line="240" w:lineRule="auto"/>
              <w:jc w:val="center"/>
              <w:rPr>
                <w:rFonts w:eastAsia="Times New Roman" w:cs="Calibri"/>
                <w:noProof/>
              </w:rPr>
            </w:pPr>
            <w:r>
              <w:rPr>
                <w:noProof/>
              </w:rPr>
              <w:t>100 % av de garantier som ställdes till förfogande genom kapitalökningen har undertecknats. </w:t>
            </w:r>
          </w:p>
        </w:tc>
        <w:tc>
          <w:tcPr>
            <w:tcW w:w="1245" w:type="dxa"/>
            <w:shd w:val="clear" w:color="auto" w:fill="C4EFCE"/>
            <w:vAlign w:val="center"/>
            <w:hideMark/>
          </w:tcPr>
          <w:p w14:paraId="6F03F3CC" w14:textId="77777777" w:rsidR="00E040FD" w:rsidRDefault="00740D64">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hideMark/>
          </w:tcPr>
          <w:p w14:paraId="05ACD126" w14:textId="77777777" w:rsidR="00E040FD" w:rsidRDefault="00740D64">
            <w:pPr>
              <w:pStyle w:val="P68B1DB1-Normal8"/>
              <w:spacing w:after="0" w:line="240" w:lineRule="auto"/>
              <w:jc w:val="center"/>
              <w:rPr>
                <w:rFonts w:eastAsia="Times New Roman" w:cs="Calibri"/>
                <w:noProof/>
              </w:rPr>
            </w:pPr>
            <w:r>
              <w:rPr>
                <w:noProof/>
              </w:rPr>
              <w:t>%</w:t>
            </w:r>
          </w:p>
        </w:tc>
        <w:tc>
          <w:tcPr>
            <w:tcW w:w="971" w:type="dxa"/>
            <w:shd w:val="clear" w:color="auto" w:fill="C4EFCE"/>
            <w:vAlign w:val="center"/>
            <w:hideMark/>
          </w:tcPr>
          <w:p w14:paraId="51E051FB" w14:textId="77777777" w:rsidR="00E040FD" w:rsidRDefault="00740D64">
            <w:pPr>
              <w:pStyle w:val="P68B1DB1-Normal8"/>
              <w:spacing w:after="0" w:line="240" w:lineRule="auto"/>
              <w:jc w:val="center"/>
              <w:rPr>
                <w:rFonts w:eastAsia="Times New Roman" w:cs="Calibri"/>
                <w:noProof/>
              </w:rPr>
            </w:pPr>
            <w:r>
              <w:rPr>
                <w:noProof/>
              </w:rPr>
              <w:t>0</w:t>
            </w:r>
          </w:p>
        </w:tc>
        <w:tc>
          <w:tcPr>
            <w:tcW w:w="695" w:type="dxa"/>
            <w:shd w:val="clear" w:color="auto" w:fill="C4EFCE"/>
            <w:vAlign w:val="center"/>
            <w:hideMark/>
          </w:tcPr>
          <w:p w14:paraId="25B5E659" w14:textId="77777777" w:rsidR="00E040FD" w:rsidRDefault="00740D64">
            <w:pPr>
              <w:pStyle w:val="P68B1DB1-Normal8"/>
              <w:spacing w:after="0" w:line="240" w:lineRule="auto"/>
              <w:jc w:val="center"/>
              <w:rPr>
                <w:rFonts w:eastAsia="Times New Roman" w:cs="Calibri"/>
                <w:noProof/>
              </w:rPr>
            </w:pPr>
            <w:r>
              <w:rPr>
                <w:noProof/>
              </w:rPr>
              <w:t>100</w:t>
            </w:r>
          </w:p>
        </w:tc>
        <w:tc>
          <w:tcPr>
            <w:tcW w:w="557" w:type="dxa"/>
            <w:shd w:val="clear" w:color="auto" w:fill="C4EFCE"/>
            <w:vAlign w:val="center"/>
            <w:hideMark/>
          </w:tcPr>
          <w:p w14:paraId="4E52A7D8" w14:textId="77777777" w:rsidR="00E040FD" w:rsidRDefault="00740D64">
            <w:pPr>
              <w:pStyle w:val="P68B1DB1-Normal8"/>
              <w:spacing w:after="0" w:line="240" w:lineRule="auto"/>
              <w:jc w:val="center"/>
              <w:rPr>
                <w:rFonts w:eastAsia="Times New Roman" w:cs="Calibri"/>
                <w:noProof/>
              </w:rPr>
            </w:pPr>
            <w:r>
              <w:rPr>
                <w:noProof/>
              </w:rPr>
              <w:t>KVARTAL 4</w:t>
            </w:r>
          </w:p>
        </w:tc>
        <w:tc>
          <w:tcPr>
            <w:tcW w:w="694" w:type="dxa"/>
            <w:shd w:val="clear" w:color="auto" w:fill="C4EFCE"/>
            <w:vAlign w:val="center"/>
            <w:hideMark/>
          </w:tcPr>
          <w:p w14:paraId="53FDD632" w14:textId="77777777" w:rsidR="00E040FD" w:rsidRDefault="00740D64">
            <w:pPr>
              <w:pStyle w:val="P68B1DB1-Normal8"/>
              <w:spacing w:after="0" w:line="240" w:lineRule="auto"/>
              <w:jc w:val="center"/>
              <w:rPr>
                <w:rFonts w:eastAsia="Times New Roman" w:cs="Calibri"/>
                <w:noProof/>
              </w:rPr>
            </w:pPr>
            <w:r>
              <w:rPr>
                <w:noProof/>
              </w:rPr>
              <w:t>2025</w:t>
            </w:r>
          </w:p>
        </w:tc>
        <w:tc>
          <w:tcPr>
            <w:tcW w:w="4908" w:type="dxa"/>
            <w:shd w:val="clear" w:color="auto" w:fill="C4EFCE"/>
            <w:vAlign w:val="center"/>
            <w:hideMark/>
          </w:tcPr>
          <w:p w14:paraId="4C0F1601" w14:textId="21F43E55" w:rsidR="00E040FD" w:rsidRDefault="00740D64">
            <w:pPr>
              <w:pStyle w:val="P68B1DB1-Normal8"/>
              <w:spacing w:after="0" w:line="240" w:lineRule="auto"/>
              <w:jc w:val="both"/>
              <w:rPr>
                <w:rFonts w:eastAsia="Times New Roman" w:cs="Calibri"/>
                <w:noProof/>
              </w:rPr>
            </w:pPr>
            <w:r>
              <w:rPr>
                <w:noProof/>
              </w:rPr>
              <w:t>100 % av de garantier som ställdes till förfogande genom kapitalökningen har undertecknats.</w:t>
            </w:r>
          </w:p>
        </w:tc>
      </w:tr>
      <w:tr w:rsidR="00E040FD" w14:paraId="05356182" w14:textId="77777777">
        <w:trPr>
          <w:trHeight w:val="687"/>
        </w:trPr>
        <w:tc>
          <w:tcPr>
            <w:tcW w:w="1113" w:type="dxa"/>
            <w:shd w:val="clear" w:color="auto" w:fill="C4EFCE"/>
            <w:vAlign w:val="center"/>
          </w:tcPr>
          <w:p w14:paraId="3090E32F" w14:textId="6FE74260" w:rsidR="00E040FD" w:rsidRDefault="00740D64">
            <w:pPr>
              <w:pStyle w:val="P68B1DB1-Normal11"/>
              <w:spacing w:after="0" w:line="240" w:lineRule="auto"/>
              <w:jc w:val="center"/>
              <w:rPr>
                <w:rFonts w:eastAsia="Times New Roman" w:cstheme="minorHAnsi"/>
                <w:noProof/>
              </w:rPr>
            </w:pPr>
            <w:r>
              <w:rPr>
                <w:noProof/>
              </w:rPr>
              <w:t>5.44</w:t>
            </w:r>
          </w:p>
        </w:tc>
        <w:tc>
          <w:tcPr>
            <w:tcW w:w="1246" w:type="dxa"/>
            <w:shd w:val="clear" w:color="auto" w:fill="C4EFCE"/>
            <w:vAlign w:val="center"/>
          </w:tcPr>
          <w:p w14:paraId="41683FBE" w14:textId="030829FE" w:rsidR="00E040FD" w:rsidRDefault="00740D64">
            <w:pPr>
              <w:pStyle w:val="P68B1DB1-Normal12"/>
              <w:spacing w:after="0" w:line="240" w:lineRule="auto"/>
              <w:jc w:val="center"/>
              <w:rPr>
                <w:rFonts w:eastAsia="Times New Roman" w:cstheme="minorHAnsi"/>
                <w:noProof/>
              </w:rPr>
            </w:pPr>
            <w:r>
              <w:rPr>
                <w:noProof/>
              </w:rPr>
              <w:t>RE-C05-i11</w:t>
            </w:r>
          </w:p>
        </w:tc>
        <w:tc>
          <w:tcPr>
            <w:tcW w:w="1108" w:type="dxa"/>
            <w:shd w:val="clear" w:color="auto" w:fill="C4EFCE"/>
            <w:vAlign w:val="center"/>
          </w:tcPr>
          <w:p w14:paraId="5762224E" w14:textId="108F9BEC" w:rsidR="00E040FD" w:rsidRDefault="00740D64">
            <w:pPr>
              <w:pStyle w:val="P68B1DB1-Normal12"/>
              <w:spacing w:after="0" w:line="240" w:lineRule="auto"/>
              <w:jc w:val="center"/>
              <w:rPr>
                <w:rFonts w:eastAsia="Times New Roman" w:cstheme="minorHAnsi"/>
                <w:noProof/>
              </w:rPr>
            </w:pPr>
            <w:r>
              <w:rPr>
                <w:noProof/>
              </w:rPr>
              <w:t>T</w:t>
            </w:r>
          </w:p>
        </w:tc>
        <w:tc>
          <w:tcPr>
            <w:tcW w:w="1659" w:type="dxa"/>
            <w:shd w:val="clear" w:color="auto" w:fill="C4EFCE"/>
            <w:vAlign w:val="center"/>
          </w:tcPr>
          <w:p w14:paraId="6ACAF2B5" w14:textId="51C13B47" w:rsidR="00E040FD" w:rsidRDefault="00740D64">
            <w:pPr>
              <w:pStyle w:val="P68B1DB1-Normal12"/>
              <w:spacing w:after="0" w:line="240" w:lineRule="auto"/>
              <w:jc w:val="center"/>
              <w:rPr>
                <w:rFonts w:eastAsia="Times New Roman" w:cstheme="minorHAnsi"/>
                <w:noProof/>
              </w:rPr>
            </w:pPr>
            <w:r>
              <w:rPr>
                <w:noProof/>
              </w:rPr>
              <w:t xml:space="preserve"> Ingående av avtal för att utveckla nya produkter, processer eller tjänster inom relevanta strategiska områden (innovationsagendor).</w:t>
            </w:r>
          </w:p>
        </w:tc>
        <w:tc>
          <w:tcPr>
            <w:tcW w:w="1245" w:type="dxa"/>
            <w:shd w:val="clear" w:color="auto" w:fill="C4EFCE"/>
            <w:vAlign w:val="center"/>
          </w:tcPr>
          <w:p w14:paraId="06CE0AEF" w14:textId="1878EFC3" w:rsidR="00E040FD" w:rsidRDefault="00E040FD">
            <w:pPr>
              <w:spacing w:after="0" w:line="240" w:lineRule="auto"/>
              <w:jc w:val="center"/>
              <w:rPr>
                <w:rFonts w:eastAsia="Times New Roman" w:cstheme="minorHAnsi"/>
                <w:noProof/>
                <w:sz w:val="16"/>
              </w:rPr>
            </w:pPr>
          </w:p>
        </w:tc>
        <w:tc>
          <w:tcPr>
            <w:tcW w:w="972" w:type="dxa"/>
            <w:shd w:val="clear" w:color="auto" w:fill="C4EFCE"/>
            <w:vAlign w:val="center"/>
          </w:tcPr>
          <w:p w14:paraId="29862BFF" w14:textId="4B1AB547" w:rsidR="00E040FD" w:rsidRDefault="00740D64">
            <w:pPr>
              <w:pStyle w:val="P68B1DB1-Normal12"/>
              <w:spacing w:after="0" w:line="240" w:lineRule="auto"/>
              <w:jc w:val="center"/>
              <w:rPr>
                <w:rFonts w:eastAsia="Times New Roman" w:cstheme="minorHAnsi"/>
                <w:noProof/>
              </w:rPr>
            </w:pPr>
            <w:r>
              <w:rPr>
                <w:noProof/>
              </w:rPr>
              <w:t>Antal</w:t>
            </w:r>
          </w:p>
        </w:tc>
        <w:tc>
          <w:tcPr>
            <w:tcW w:w="971" w:type="dxa"/>
            <w:shd w:val="clear" w:color="auto" w:fill="C4EFCE"/>
            <w:vAlign w:val="center"/>
          </w:tcPr>
          <w:p w14:paraId="1B529FD1" w14:textId="362CE58C" w:rsidR="00E040FD" w:rsidRDefault="00740D64">
            <w:pPr>
              <w:pStyle w:val="P68B1DB1-Normal12"/>
              <w:spacing w:after="0" w:line="240" w:lineRule="auto"/>
              <w:jc w:val="center"/>
              <w:rPr>
                <w:rFonts w:eastAsia="Times New Roman" w:cstheme="minorHAnsi"/>
                <w:noProof/>
              </w:rPr>
            </w:pPr>
            <w:r>
              <w:rPr>
                <w:noProof/>
              </w:rPr>
              <w:t>12</w:t>
            </w:r>
          </w:p>
        </w:tc>
        <w:tc>
          <w:tcPr>
            <w:tcW w:w="695" w:type="dxa"/>
            <w:shd w:val="clear" w:color="auto" w:fill="C4EFCE"/>
            <w:vAlign w:val="center"/>
          </w:tcPr>
          <w:p w14:paraId="4BC9E805" w14:textId="18636895" w:rsidR="00E040FD" w:rsidRDefault="00740D64">
            <w:pPr>
              <w:pStyle w:val="P68B1DB1-Normal12"/>
              <w:spacing w:after="0" w:line="240" w:lineRule="auto"/>
              <w:jc w:val="center"/>
              <w:rPr>
                <w:rFonts w:eastAsia="Times New Roman" w:cstheme="minorHAnsi"/>
                <w:noProof/>
              </w:rPr>
            </w:pPr>
            <w:r>
              <w:rPr>
                <w:noProof/>
              </w:rPr>
              <w:t>28</w:t>
            </w:r>
          </w:p>
        </w:tc>
        <w:tc>
          <w:tcPr>
            <w:tcW w:w="557" w:type="dxa"/>
            <w:shd w:val="clear" w:color="auto" w:fill="C4EFCE"/>
            <w:vAlign w:val="center"/>
          </w:tcPr>
          <w:p w14:paraId="1BD6F284" w14:textId="712C7DF4" w:rsidR="00E040FD" w:rsidRDefault="00740D64">
            <w:pPr>
              <w:pStyle w:val="P68B1DB1-Normal12"/>
              <w:spacing w:after="0" w:line="240" w:lineRule="auto"/>
              <w:jc w:val="center"/>
              <w:rPr>
                <w:rFonts w:eastAsia="Times New Roman"/>
                <w:noProof/>
              </w:rPr>
            </w:pPr>
            <w:r>
              <w:rPr>
                <w:noProof/>
              </w:rPr>
              <w:t>KVARTAL 2</w:t>
            </w:r>
          </w:p>
        </w:tc>
        <w:tc>
          <w:tcPr>
            <w:tcW w:w="694" w:type="dxa"/>
            <w:shd w:val="clear" w:color="auto" w:fill="C4EFCE"/>
            <w:vAlign w:val="center"/>
          </w:tcPr>
          <w:p w14:paraId="20227E9B" w14:textId="71A93C0E" w:rsidR="00E040FD" w:rsidRDefault="00740D64">
            <w:pPr>
              <w:pStyle w:val="P68B1DB1-Normal12"/>
              <w:spacing w:after="0" w:line="240" w:lineRule="auto"/>
              <w:jc w:val="center"/>
              <w:rPr>
                <w:rFonts w:eastAsia="Times New Roman" w:cstheme="minorHAnsi"/>
                <w:noProof/>
              </w:rPr>
            </w:pPr>
            <w:r>
              <w:rPr>
                <w:noProof/>
              </w:rPr>
              <w:t>2023</w:t>
            </w:r>
          </w:p>
        </w:tc>
        <w:tc>
          <w:tcPr>
            <w:tcW w:w="4908" w:type="dxa"/>
            <w:shd w:val="clear" w:color="auto" w:fill="C4EFCE"/>
            <w:vAlign w:val="center"/>
          </w:tcPr>
          <w:p w14:paraId="0471D376" w14:textId="7728B231" w:rsidR="00E040FD" w:rsidRDefault="00740D64">
            <w:pPr>
              <w:pStyle w:val="P68B1DB1-Bodytext1013"/>
              <w:spacing w:after="0"/>
              <w:jc w:val="both"/>
              <w:rPr>
                <w:rFonts w:cstheme="minorHAnsi"/>
                <w:noProof/>
              </w:rPr>
            </w:pPr>
            <w:r>
              <w:rPr>
                <w:noProof/>
              </w:rPr>
              <w:t>Ingående av ytterligare 16 kontrakt (innovationspakter eller mobilisering av projekt) med konsortier, som ska omfatta följande:</w:t>
            </w:r>
          </w:p>
          <w:p w14:paraId="1DC9F869" w14:textId="77777777" w:rsidR="00E040FD" w:rsidRDefault="00740D64">
            <w:pPr>
              <w:pStyle w:val="P68B1DB1-Bodytext1013"/>
              <w:spacing w:after="0"/>
              <w:jc w:val="both"/>
              <w:rPr>
                <w:rFonts w:cstheme="minorHAnsi"/>
                <w:noProof/>
              </w:rPr>
            </w:pPr>
            <w:r>
              <w:rPr>
                <w:noProof/>
              </w:rPr>
              <w:t>• Identifiering av de enheter som ingår i konsortiet.</w:t>
            </w:r>
          </w:p>
          <w:p w14:paraId="684BA3DE" w14:textId="77777777" w:rsidR="00E040FD" w:rsidRDefault="00740D64">
            <w:pPr>
              <w:pStyle w:val="P68B1DB1-Bodytext1013"/>
              <w:spacing w:after="0"/>
              <w:jc w:val="both"/>
              <w:rPr>
                <w:rFonts w:cstheme="minorHAnsi"/>
                <w:noProof/>
              </w:rPr>
            </w:pPr>
            <w:r>
              <w:rPr>
                <w:noProof/>
              </w:rPr>
              <w:t>• Affärsplanen/investeringen.</w:t>
            </w:r>
          </w:p>
          <w:p w14:paraId="38DA5FAE" w14:textId="77777777" w:rsidR="00E040FD" w:rsidRDefault="00740D64">
            <w:pPr>
              <w:pStyle w:val="P68B1DB1-Bodytext1013"/>
              <w:spacing w:after="0"/>
              <w:jc w:val="both"/>
              <w:rPr>
                <w:rFonts w:cstheme="minorHAnsi"/>
                <w:noProof/>
              </w:rPr>
            </w:pPr>
            <w:r>
              <w:rPr>
                <w:noProof/>
              </w:rPr>
              <w:t>• finansieringsbeloppet.</w:t>
            </w:r>
          </w:p>
          <w:p w14:paraId="2C955C7F" w14:textId="77777777" w:rsidR="00E040FD" w:rsidRDefault="00740D64">
            <w:pPr>
              <w:pStyle w:val="P68B1DB1-Bodytext1013"/>
              <w:spacing w:after="0"/>
              <w:jc w:val="both"/>
              <w:rPr>
                <w:rFonts w:cstheme="minorHAnsi"/>
                <w:noProof/>
              </w:rPr>
            </w:pPr>
            <w:r>
              <w:rPr>
                <w:noProof/>
              </w:rPr>
              <w:t>• De mål som stödmottagaren är bunden av.</w:t>
            </w:r>
          </w:p>
          <w:p w14:paraId="790A3625" w14:textId="77777777" w:rsidR="00E040FD" w:rsidRDefault="00740D64">
            <w:pPr>
              <w:pStyle w:val="P68B1DB1-Bodytext1013"/>
              <w:spacing w:after="0"/>
              <w:jc w:val="both"/>
              <w:rPr>
                <w:rFonts w:cstheme="minorHAnsi"/>
                <w:noProof/>
              </w:rPr>
            </w:pPr>
            <w:r>
              <w:rPr>
                <w:noProof/>
              </w:rPr>
              <w:t xml:space="preserve">• Övervakningsformen. </w:t>
            </w:r>
          </w:p>
          <w:p w14:paraId="17CC2A9F" w14:textId="76A7D5F0" w:rsidR="00E040FD" w:rsidRDefault="00740D64">
            <w:pPr>
              <w:pStyle w:val="P68B1DB1-Bodytext1013"/>
              <w:spacing w:after="0"/>
              <w:jc w:val="both"/>
              <w:rPr>
                <w:rFonts w:cstheme="minorHAnsi"/>
                <w:noProof/>
              </w:rPr>
            </w:pPr>
            <w:r>
              <w:rPr>
                <w:noProof/>
              </w:rPr>
              <w:t>Avtalen ska omfatta sammanlagt minst 446 produkter, processer eller tjänster (PPS). Kravspecifikationen ska omfatta kriterier för stödberättigande som säkerställer att de utvalda projekten överensstämmer med den tekniska vägledningen om principen om att inte orsaka betydande skada (2021/C58/01) genom att använda en förteckning över uteslutningar och kravet på överensstämmelse med relevant EU-lagstiftning och nationell miljölagstiftning.</w:t>
            </w:r>
          </w:p>
          <w:p w14:paraId="0E8BCEEF" w14:textId="6D75360C" w:rsidR="00E040FD" w:rsidRDefault="00740D64">
            <w:pPr>
              <w:pStyle w:val="P68B1DB1-Bodytext1013"/>
              <w:spacing w:after="0"/>
              <w:jc w:val="both"/>
              <w:rPr>
                <w:rFonts w:cstheme="minorHAnsi"/>
                <w:noProof/>
              </w:rPr>
            </w:pPr>
            <w:r>
              <w:rPr>
                <w:noProof/>
              </w:rPr>
              <w:t>Avtalen ska komplettera de kontrakt som genomförs i RE-C05-i01.01 och RE-C05-i09.</w:t>
            </w:r>
          </w:p>
          <w:p w14:paraId="665FD32D" w14:textId="15DAACE9" w:rsidR="00E040FD" w:rsidRDefault="00740D64">
            <w:pPr>
              <w:pStyle w:val="P68B1DB1-Normal12"/>
              <w:spacing w:after="0" w:line="240" w:lineRule="auto"/>
              <w:jc w:val="both"/>
              <w:rPr>
                <w:rFonts w:eastAsia="Times New Roman" w:cstheme="minorHAnsi"/>
                <w:noProof/>
              </w:rPr>
            </w:pPr>
            <w:r>
              <w:rPr>
                <w:noProof/>
              </w:rPr>
              <w:t>Minst 366 av övervakningen efter programperiodens slut ska anpassas till insatsområde 021 (tekniköverföring och samarbete mellan företag, forskningscentrum och utbildningssektorn).</w:t>
            </w:r>
          </w:p>
        </w:tc>
      </w:tr>
      <w:tr w:rsidR="00E040FD" w14:paraId="400ED1E3" w14:textId="77777777">
        <w:trPr>
          <w:trHeight w:val="687"/>
        </w:trPr>
        <w:tc>
          <w:tcPr>
            <w:tcW w:w="1113" w:type="dxa"/>
            <w:shd w:val="clear" w:color="auto" w:fill="C4EFCE"/>
            <w:vAlign w:val="center"/>
          </w:tcPr>
          <w:p w14:paraId="44700B14" w14:textId="1C6F6D95" w:rsidR="00E040FD" w:rsidRDefault="00740D64">
            <w:pPr>
              <w:pStyle w:val="P68B1DB1-Normal11"/>
              <w:spacing w:after="0" w:line="240" w:lineRule="auto"/>
              <w:jc w:val="center"/>
              <w:rPr>
                <w:rFonts w:eastAsia="Times New Roman" w:cstheme="minorHAnsi"/>
                <w:noProof/>
              </w:rPr>
            </w:pPr>
            <w:r>
              <w:rPr>
                <w:noProof/>
              </w:rPr>
              <w:t>5.45</w:t>
            </w:r>
          </w:p>
        </w:tc>
        <w:tc>
          <w:tcPr>
            <w:tcW w:w="1246" w:type="dxa"/>
            <w:shd w:val="clear" w:color="auto" w:fill="C4EFCE"/>
            <w:vAlign w:val="center"/>
          </w:tcPr>
          <w:p w14:paraId="1965DF86" w14:textId="22F6F593" w:rsidR="00E040FD" w:rsidRDefault="00740D64">
            <w:pPr>
              <w:pStyle w:val="P68B1DB1-Normal12"/>
              <w:spacing w:after="0" w:line="240" w:lineRule="auto"/>
              <w:jc w:val="center"/>
              <w:rPr>
                <w:rFonts w:eastAsia="Times New Roman" w:cstheme="minorHAnsi"/>
                <w:noProof/>
              </w:rPr>
            </w:pPr>
            <w:r>
              <w:rPr>
                <w:noProof/>
              </w:rPr>
              <w:t>RE-C05-i11</w:t>
            </w:r>
          </w:p>
        </w:tc>
        <w:tc>
          <w:tcPr>
            <w:tcW w:w="1108" w:type="dxa"/>
            <w:shd w:val="clear" w:color="auto" w:fill="C4EFCE"/>
            <w:vAlign w:val="center"/>
          </w:tcPr>
          <w:p w14:paraId="743CE8AD" w14:textId="093BC448" w:rsidR="00E040FD" w:rsidRDefault="00740D64">
            <w:pPr>
              <w:pStyle w:val="P68B1DB1-Normal12"/>
              <w:spacing w:after="0" w:line="240" w:lineRule="auto"/>
              <w:jc w:val="center"/>
              <w:rPr>
                <w:rFonts w:eastAsia="Times New Roman" w:cstheme="minorHAnsi"/>
                <w:noProof/>
              </w:rPr>
            </w:pPr>
            <w:r>
              <w:rPr>
                <w:noProof/>
              </w:rPr>
              <w:t>T</w:t>
            </w:r>
          </w:p>
        </w:tc>
        <w:tc>
          <w:tcPr>
            <w:tcW w:w="1659" w:type="dxa"/>
            <w:shd w:val="clear" w:color="auto" w:fill="C4EFCE"/>
            <w:vAlign w:val="center"/>
          </w:tcPr>
          <w:p w14:paraId="5FB71C3F" w14:textId="67C84415" w:rsidR="00E040FD" w:rsidRDefault="00740D64">
            <w:pPr>
              <w:pStyle w:val="P68B1DB1-Normal12"/>
              <w:spacing w:after="0" w:line="240" w:lineRule="auto"/>
              <w:jc w:val="center"/>
              <w:rPr>
                <w:rFonts w:eastAsia="Times New Roman" w:cstheme="minorHAnsi"/>
                <w:noProof/>
              </w:rPr>
            </w:pPr>
            <w:r>
              <w:rPr>
                <w:noProof/>
              </w:rPr>
              <w:t xml:space="preserve">Slutförande av 446 produkter, processer eller tjänster.  </w:t>
            </w:r>
          </w:p>
        </w:tc>
        <w:tc>
          <w:tcPr>
            <w:tcW w:w="1245" w:type="dxa"/>
            <w:shd w:val="clear" w:color="auto" w:fill="C4EFCE"/>
            <w:vAlign w:val="center"/>
          </w:tcPr>
          <w:p w14:paraId="0EC39034" w14:textId="02271F16" w:rsidR="00E040FD" w:rsidRDefault="00E040FD">
            <w:pPr>
              <w:spacing w:after="0" w:line="240" w:lineRule="auto"/>
              <w:jc w:val="center"/>
              <w:rPr>
                <w:rFonts w:eastAsia="Times New Roman" w:cstheme="minorHAnsi"/>
                <w:noProof/>
                <w:sz w:val="16"/>
              </w:rPr>
            </w:pPr>
          </w:p>
        </w:tc>
        <w:tc>
          <w:tcPr>
            <w:tcW w:w="972" w:type="dxa"/>
            <w:shd w:val="clear" w:color="auto" w:fill="C4EFCE"/>
            <w:vAlign w:val="center"/>
          </w:tcPr>
          <w:p w14:paraId="7F7FE345" w14:textId="61337074" w:rsidR="00E040FD" w:rsidRDefault="00740D64">
            <w:pPr>
              <w:pStyle w:val="P68B1DB1-Normal12"/>
              <w:spacing w:after="0" w:line="240" w:lineRule="auto"/>
              <w:jc w:val="center"/>
              <w:rPr>
                <w:rFonts w:eastAsia="Times New Roman" w:cstheme="minorHAnsi"/>
                <w:noProof/>
              </w:rPr>
            </w:pPr>
            <w:r>
              <w:rPr>
                <w:noProof/>
              </w:rPr>
              <w:t>Antal</w:t>
            </w:r>
          </w:p>
        </w:tc>
        <w:tc>
          <w:tcPr>
            <w:tcW w:w="971" w:type="dxa"/>
            <w:shd w:val="clear" w:color="auto" w:fill="C4EFCE"/>
            <w:vAlign w:val="center"/>
          </w:tcPr>
          <w:p w14:paraId="683EB9BC" w14:textId="43DAD693" w:rsidR="00E040FD" w:rsidRDefault="00740D64">
            <w:pPr>
              <w:pStyle w:val="P68B1DB1-Normal12"/>
              <w:spacing w:after="0" w:line="240" w:lineRule="auto"/>
              <w:jc w:val="center"/>
              <w:rPr>
                <w:rFonts w:eastAsia="Times New Roman" w:cstheme="minorHAnsi"/>
                <w:noProof/>
              </w:rPr>
            </w:pPr>
            <w:r>
              <w:rPr>
                <w:noProof/>
              </w:rPr>
              <w:t>228</w:t>
            </w:r>
          </w:p>
        </w:tc>
        <w:tc>
          <w:tcPr>
            <w:tcW w:w="695" w:type="dxa"/>
            <w:shd w:val="clear" w:color="auto" w:fill="C4EFCE"/>
            <w:vAlign w:val="center"/>
          </w:tcPr>
          <w:p w14:paraId="49686240" w14:textId="4EF220DE" w:rsidR="00E040FD" w:rsidRDefault="00740D64">
            <w:pPr>
              <w:pStyle w:val="P68B1DB1-Normal12"/>
              <w:spacing w:after="0" w:line="240" w:lineRule="auto"/>
              <w:jc w:val="center"/>
              <w:rPr>
                <w:rFonts w:eastAsia="Times New Roman" w:cstheme="minorHAnsi"/>
                <w:noProof/>
              </w:rPr>
            </w:pPr>
            <w:r>
              <w:rPr>
                <w:noProof/>
              </w:rPr>
              <w:t>674</w:t>
            </w:r>
          </w:p>
        </w:tc>
        <w:tc>
          <w:tcPr>
            <w:tcW w:w="557" w:type="dxa"/>
            <w:shd w:val="clear" w:color="auto" w:fill="C4EFCE"/>
            <w:vAlign w:val="center"/>
          </w:tcPr>
          <w:p w14:paraId="448DFBE1" w14:textId="16712C51" w:rsidR="00E040FD" w:rsidRDefault="00740D64">
            <w:pPr>
              <w:pStyle w:val="P68B1DB1-Normal12"/>
              <w:spacing w:after="0" w:line="240" w:lineRule="auto"/>
              <w:jc w:val="center"/>
              <w:rPr>
                <w:rFonts w:eastAsia="Times New Roman" w:cstheme="minorHAnsi"/>
                <w:noProof/>
              </w:rPr>
            </w:pPr>
            <w:r>
              <w:rPr>
                <w:noProof/>
              </w:rPr>
              <w:t>KVARTAL 4</w:t>
            </w:r>
          </w:p>
        </w:tc>
        <w:tc>
          <w:tcPr>
            <w:tcW w:w="694" w:type="dxa"/>
            <w:shd w:val="clear" w:color="auto" w:fill="C4EFCE"/>
            <w:vAlign w:val="center"/>
          </w:tcPr>
          <w:p w14:paraId="1604BD49" w14:textId="0EBDE02B" w:rsidR="00E040FD" w:rsidRDefault="00740D64">
            <w:pPr>
              <w:pStyle w:val="P68B1DB1-Normal12"/>
              <w:spacing w:after="0" w:line="240" w:lineRule="auto"/>
              <w:jc w:val="center"/>
              <w:rPr>
                <w:rFonts w:eastAsia="Times New Roman" w:cstheme="minorHAnsi"/>
                <w:noProof/>
              </w:rPr>
            </w:pPr>
            <w:r>
              <w:rPr>
                <w:noProof/>
              </w:rPr>
              <w:t>2025</w:t>
            </w:r>
          </w:p>
        </w:tc>
        <w:tc>
          <w:tcPr>
            <w:tcW w:w="4908" w:type="dxa"/>
            <w:shd w:val="clear" w:color="auto" w:fill="C4EFCE"/>
            <w:vAlign w:val="center"/>
          </w:tcPr>
          <w:p w14:paraId="5A087616" w14:textId="5F4C7337" w:rsidR="00E040FD" w:rsidRDefault="00740D64">
            <w:pPr>
              <w:pStyle w:val="P68B1DB1-Normal12"/>
              <w:spacing w:after="0" w:line="240" w:lineRule="auto"/>
              <w:jc w:val="both"/>
              <w:rPr>
                <w:noProof/>
              </w:rPr>
            </w:pPr>
            <w:r>
              <w:rPr>
                <w:noProof/>
              </w:rPr>
              <w:t xml:space="preserve">Slutförande av 446 produkter, processer eller tjänster (PPS) inom relevanta strategiska områden till följd av genomförandet av de kontrakt (innovationspakter eller mobilisering av projekt) som ingåtts med konsortier. </w:t>
            </w:r>
          </w:p>
          <w:p w14:paraId="5870609D" w14:textId="5F4C7337" w:rsidR="00E040FD" w:rsidRDefault="00740D64">
            <w:pPr>
              <w:pStyle w:val="P68B1DB1-Bodytext1013"/>
              <w:spacing w:after="0"/>
              <w:jc w:val="both"/>
              <w:rPr>
                <w:rFonts w:cstheme="minorBidi"/>
                <w:noProof/>
              </w:rPr>
            </w:pPr>
            <w:r>
              <w:rPr>
                <w:noProof/>
              </w:rPr>
              <w:t>PPS ska läggas till den PPS som genomförs i RE-C05-i01.01 och RE-C05-i09.</w:t>
            </w:r>
          </w:p>
          <w:p w14:paraId="4EDE4521" w14:textId="4E974DF6" w:rsidR="00E040FD" w:rsidRDefault="00740D64">
            <w:pPr>
              <w:pStyle w:val="P68B1DB1-Bodytext1013"/>
              <w:spacing w:after="0"/>
              <w:jc w:val="both"/>
              <w:rPr>
                <w:rFonts w:cstheme="minorBidi"/>
                <w:noProof/>
              </w:rPr>
            </w:pPr>
            <w:r>
              <w:rPr>
                <w:noProof/>
              </w:rPr>
              <w:t>Minst 366 av PPS ska anpassas till insatsområde 021.</w:t>
            </w:r>
          </w:p>
        </w:tc>
      </w:tr>
      <w:tr w:rsidR="00E040FD" w14:paraId="1381D009" w14:textId="77777777">
        <w:trPr>
          <w:trHeight w:val="687"/>
        </w:trPr>
        <w:tc>
          <w:tcPr>
            <w:tcW w:w="1113" w:type="dxa"/>
            <w:shd w:val="clear" w:color="auto" w:fill="C4EFCE"/>
            <w:vAlign w:val="center"/>
          </w:tcPr>
          <w:p w14:paraId="0CB16054" w14:textId="510C0E6F" w:rsidR="00E040FD" w:rsidRDefault="00740D64">
            <w:pPr>
              <w:pStyle w:val="P68B1DB1-Normal11"/>
              <w:spacing w:after="0" w:line="240" w:lineRule="auto"/>
              <w:jc w:val="center"/>
              <w:rPr>
                <w:rFonts w:cstheme="minorHAnsi"/>
                <w:noProof/>
              </w:rPr>
            </w:pPr>
            <w:r>
              <w:rPr>
                <w:noProof/>
              </w:rPr>
              <w:t>5.46</w:t>
            </w:r>
          </w:p>
        </w:tc>
        <w:tc>
          <w:tcPr>
            <w:tcW w:w="1246" w:type="dxa"/>
            <w:shd w:val="clear" w:color="auto" w:fill="C4EFCE"/>
            <w:vAlign w:val="center"/>
          </w:tcPr>
          <w:p w14:paraId="0BC93575" w14:textId="3FBAAA80" w:rsidR="00E040FD" w:rsidRDefault="00740D64">
            <w:pPr>
              <w:pStyle w:val="P68B1DB1-Normal12"/>
              <w:spacing w:after="0" w:line="240" w:lineRule="auto"/>
              <w:jc w:val="center"/>
              <w:rPr>
                <w:rFonts w:cstheme="minorHAnsi"/>
                <w:noProof/>
              </w:rPr>
            </w:pPr>
            <w:r>
              <w:rPr>
                <w:noProof/>
              </w:rPr>
              <w:t>RE-C05-i12</w:t>
            </w:r>
          </w:p>
        </w:tc>
        <w:tc>
          <w:tcPr>
            <w:tcW w:w="1108" w:type="dxa"/>
            <w:shd w:val="clear" w:color="auto" w:fill="C4EFCE"/>
            <w:vAlign w:val="center"/>
          </w:tcPr>
          <w:p w14:paraId="41149329" w14:textId="1C872CA1" w:rsidR="00E040FD" w:rsidRDefault="00740D64">
            <w:pPr>
              <w:pStyle w:val="P68B1DB1-Normal12"/>
              <w:spacing w:after="0" w:line="240" w:lineRule="auto"/>
              <w:jc w:val="center"/>
              <w:rPr>
                <w:rFonts w:cstheme="minorHAnsi"/>
                <w:noProof/>
              </w:rPr>
            </w:pPr>
            <w:r>
              <w:rPr>
                <w:noProof/>
              </w:rPr>
              <w:t>T</w:t>
            </w:r>
          </w:p>
        </w:tc>
        <w:tc>
          <w:tcPr>
            <w:tcW w:w="1659" w:type="dxa"/>
            <w:shd w:val="clear" w:color="auto" w:fill="C4EFCE"/>
            <w:vAlign w:val="center"/>
          </w:tcPr>
          <w:p w14:paraId="4D5E5493" w14:textId="40D04039" w:rsidR="00E040FD" w:rsidRDefault="00740D64">
            <w:pPr>
              <w:pStyle w:val="P68B1DB1-Normal12"/>
              <w:spacing w:after="0" w:line="240" w:lineRule="auto"/>
              <w:jc w:val="center"/>
              <w:rPr>
                <w:rFonts w:cstheme="minorHAnsi"/>
                <w:noProof/>
              </w:rPr>
            </w:pPr>
            <w:r>
              <w:rPr>
                <w:noProof/>
              </w:rPr>
              <w:t>Ingående av avtal för att utveckla nya produkter, processer eller tjänster på strategiska områden som är relevanta för en koldioxidsnål ekonomi, motståndskraft mot och anpassning till klimatförändringar.</w:t>
            </w:r>
          </w:p>
        </w:tc>
        <w:tc>
          <w:tcPr>
            <w:tcW w:w="1245" w:type="dxa"/>
            <w:shd w:val="clear" w:color="auto" w:fill="C4EFCE"/>
            <w:vAlign w:val="center"/>
          </w:tcPr>
          <w:p w14:paraId="36DF6C96" w14:textId="790B5427" w:rsidR="00E040FD" w:rsidRDefault="00740D64">
            <w:pPr>
              <w:pStyle w:val="P68B1DB1-Normal12"/>
              <w:spacing w:after="0" w:line="240" w:lineRule="auto"/>
              <w:jc w:val="center"/>
              <w:rPr>
                <w:rFonts w:eastAsia="Times New Roman" w:cstheme="minorHAnsi"/>
                <w:noProof/>
              </w:rPr>
            </w:pPr>
            <w:r>
              <w:rPr>
                <w:noProof/>
              </w:rPr>
              <w:t> </w:t>
            </w:r>
          </w:p>
        </w:tc>
        <w:tc>
          <w:tcPr>
            <w:tcW w:w="972" w:type="dxa"/>
            <w:shd w:val="clear" w:color="auto" w:fill="C4EFCE"/>
            <w:vAlign w:val="center"/>
          </w:tcPr>
          <w:p w14:paraId="34558086" w14:textId="42A84CA3" w:rsidR="00E040FD" w:rsidRDefault="00740D64">
            <w:pPr>
              <w:pStyle w:val="P68B1DB1-Normal12"/>
              <w:spacing w:after="0" w:line="240" w:lineRule="auto"/>
              <w:jc w:val="center"/>
              <w:rPr>
                <w:rFonts w:cstheme="minorHAnsi"/>
                <w:noProof/>
              </w:rPr>
            </w:pPr>
            <w:r>
              <w:rPr>
                <w:noProof/>
              </w:rPr>
              <w:t>Antal</w:t>
            </w:r>
          </w:p>
        </w:tc>
        <w:tc>
          <w:tcPr>
            <w:tcW w:w="971" w:type="dxa"/>
            <w:shd w:val="clear" w:color="auto" w:fill="C4EFCE"/>
            <w:vAlign w:val="center"/>
          </w:tcPr>
          <w:p w14:paraId="4F3059D7" w14:textId="4D90D56B" w:rsidR="00E040FD" w:rsidRDefault="00740D64">
            <w:pPr>
              <w:pStyle w:val="P68B1DB1-Normal12"/>
              <w:spacing w:after="0" w:line="240" w:lineRule="auto"/>
              <w:jc w:val="center"/>
              <w:rPr>
                <w:rFonts w:cstheme="minorHAnsi"/>
                <w:noProof/>
              </w:rPr>
            </w:pPr>
            <w:r>
              <w:rPr>
                <w:noProof/>
              </w:rPr>
              <w:t>10</w:t>
            </w:r>
          </w:p>
        </w:tc>
        <w:tc>
          <w:tcPr>
            <w:tcW w:w="695" w:type="dxa"/>
            <w:shd w:val="clear" w:color="auto" w:fill="C4EFCE"/>
            <w:vAlign w:val="center"/>
          </w:tcPr>
          <w:p w14:paraId="0CF359B0" w14:textId="59145B12" w:rsidR="00E040FD" w:rsidRDefault="00740D64">
            <w:pPr>
              <w:pStyle w:val="P68B1DB1-Normal12"/>
              <w:spacing w:after="0" w:line="240" w:lineRule="auto"/>
              <w:jc w:val="center"/>
              <w:rPr>
                <w:rFonts w:cstheme="minorHAnsi"/>
                <w:noProof/>
              </w:rPr>
            </w:pPr>
            <w:r>
              <w:rPr>
                <w:noProof/>
              </w:rPr>
              <w:t>20</w:t>
            </w:r>
          </w:p>
        </w:tc>
        <w:tc>
          <w:tcPr>
            <w:tcW w:w="557" w:type="dxa"/>
            <w:shd w:val="clear" w:color="auto" w:fill="C4EFCE"/>
            <w:vAlign w:val="center"/>
          </w:tcPr>
          <w:p w14:paraId="6EC45A79" w14:textId="7FEEEA6B" w:rsidR="00E040FD" w:rsidRDefault="00740D64">
            <w:pPr>
              <w:pStyle w:val="P68B1DB1-Normal12"/>
              <w:spacing w:after="0" w:line="240" w:lineRule="auto"/>
              <w:jc w:val="center"/>
              <w:rPr>
                <w:noProof/>
              </w:rPr>
            </w:pPr>
            <w:r>
              <w:rPr>
                <w:noProof/>
              </w:rPr>
              <w:t>KVARTAL 3</w:t>
            </w:r>
          </w:p>
        </w:tc>
        <w:tc>
          <w:tcPr>
            <w:tcW w:w="694" w:type="dxa"/>
            <w:shd w:val="clear" w:color="auto" w:fill="C4EFCE"/>
            <w:vAlign w:val="center"/>
          </w:tcPr>
          <w:p w14:paraId="7DCFD43B" w14:textId="7189AC27" w:rsidR="00E040FD" w:rsidRDefault="00740D64">
            <w:pPr>
              <w:pStyle w:val="P68B1DB1-Normal12"/>
              <w:spacing w:after="0" w:line="240" w:lineRule="auto"/>
              <w:jc w:val="center"/>
              <w:rPr>
                <w:rFonts w:cstheme="minorHAnsi"/>
                <w:noProof/>
              </w:rPr>
            </w:pPr>
            <w:r>
              <w:rPr>
                <w:noProof/>
              </w:rPr>
              <w:t>2023</w:t>
            </w:r>
          </w:p>
        </w:tc>
        <w:tc>
          <w:tcPr>
            <w:tcW w:w="4908" w:type="dxa"/>
            <w:shd w:val="clear" w:color="auto" w:fill="C4EFCE"/>
            <w:vAlign w:val="center"/>
          </w:tcPr>
          <w:p w14:paraId="499E39FF" w14:textId="08A34CB6" w:rsidR="00E040FD" w:rsidRDefault="00740D64">
            <w:pPr>
              <w:pStyle w:val="P68B1DB1-Bodytext1013"/>
              <w:spacing w:after="0"/>
              <w:rPr>
                <w:rFonts w:cstheme="minorHAnsi"/>
                <w:noProof/>
              </w:rPr>
            </w:pPr>
            <w:r>
              <w:rPr>
                <w:noProof/>
              </w:rPr>
              <w:t>Ingående av ytterligare tio kontrakt (innovationspakter eller mobilisering av projekt) med konsortier, som ska omfatta följande:</w:t>
            </w:r>
          </w:p>
          <w:p w14:paraId="5623BFC8" w14:textId="77777777" w:rsidR="00E040FD" w:rsidRDefault="00740D64">
            <w:pPr>
              <w:pStyle w:val="P68B1DB1-Bodytext1013"/>
              <w:spacing w:after="0"/>
              <w:rPr>
                <w:rFonts w:cstheme="minorHAnsi"/>
                <w:noProof/>
              </w:rPr>
            </w:pPr>
            <w:r>
              <w:rPr>
                <w:noProof/>
              </w:rPr>
              <w:t>• Identifiering av de enheter som ingår i konsortiet.</w:t>
            </w:r>
          </w:p>
          <w:p w14:paraId="348134D2" w14:textId="77777777" w:rsidR="00E040FD" w:rsidRDefault="00740D64">
            <w:pPr>
              <w:pStyle w:val="P68B1DB1-Bodytext1013"/>
              <w:spacing w:after="0"/>
              <w:rPr>
                <w:rFonts w:cstheme="minorHAnsi"/>
                <w:noProof/>
              </w:rPr>
            </w:pPr>
            <w:r>
              <w:rPr>
                <w:noProof/>
              </w:rPr>
              <w:t>• Affärsplanen/investeringen.</w:t>
            </w:r>
          </w:p>
          <w:p w14:paraId="5BD43BF9" w14:textId="77777777" w:rsidR="00E040FD" w:rsidRDefault="00740D64">
            <w:pPr>
              <w:pStyle w:val="P68B1DB1-Bodytext1013"/>
              <w:spacing w:after="0"/>
              <w:rPr>
                <w:rFonts w:cstheme="minorHAnsi"/>
                <w:noProof/>
              </w:rPr>
            </w:pPr>
            <w:r>
              <w:rPr>
                <w:noProof/>
              </w:rPr>
              <w:t>• Finansieringsbeloppet.</w:t>
            </w:r>
          </w:p>
          <w:p w14:paraId="780D9792" w14:textId="77777777" w:rsidR="00E040FD" w:rsidRDefault="00740D64">
            <w:pPr>
              <w:pStyle w:val="P68B1DB1-Bodytext1013"/>
              <w:spacing w:after="0"/>
              <w:rPr>
                <w:rFonts w:cstheme="minorHAnsi"/>
                <w:noProof/>
              </w:rPr>
            </w:pPr>
            <w:r>
              <w:rPr>
                <w:noProof/>
              </w:rPr>
              <w:t>• De mål som stödmottagaren är bunden av.</w:t>
            </w:r>
          </w:p>
          <w:p w14:paraId="3C7CAD42" w14:textId="77777777" w:rsidR="00E040FD" w:rsidRDefault="00740D64">
            <w:pPr>
              <w:pStyle w:val="P68B1DB1-Bodytext1013"/>
              <w:spacing w:after="0"/>
              <w:rPr>
                <w:rFonts w:cstheme="minorHAnsi"/>
                <w:noProof/>
              </w:rPr>
            </w:pPr>
            <w:r>
              <w:rPr>
                <w:noProof/>
              </w:rPr>
              <w:t xml:space="preserve">• Övervakningsformen. </w:t>
            </w:r>
          </w:p>
          <w:p w14:paraId="160F8223" w14:textId="6794DDB5" w:rsidR="00E040FD" w:rsidRDefault="00740D64">
            <w:pPr>
              <w:pStyle w:val="P68B1DB1-Bodytext1013"/>
              <w:spacing w:after="0"/>
              <w:rPr>
                <w:rFonts w:cstheme="minorHAnsi"/>
                <w:noProof/>
              </w:rPr>
            </w:pPr>
            <w:r>
              <w:rPr>
                <w:noProof/>
              </w:rPr>
              <w:t xml:space="preserve">Kontrakten ska stödja totalt minst 147 produkter, processer eller tjänster och ska anpassas till insatsområde 022 (Forsknings- och innovationsprocesser, tekniköverföring och samarbete mellan företag med fokus på en koldioxidsnål ekonomi och motståndskraft mot och anpassning till klimatförändringar). </w:t>
            </w:r>
          </w:p>
          <w:p w14:paraId="6C00454A" w14:textId="77777777" w:rsidR="00E040FD" w:rsidRDefault="00740D64">
            <w:pPr>
              <w:pStyle w:val="P68B1DB1-Bodytext1013"/>
              <w:spacing w:after="0"/>
              <w:rPr>
                <w:rFonts w:cstheme="minorHAnsi"/>
                <w:noProof/>
              </w:rPr>
            </w:pPr>
            <w:r>
              <w:rPr>
                <w:noProof/>
              </w:rPr>
              <w:t>Kravspecifikationen ska omfatta kriterier för stödberättigande som säkerställer att de utvalda projekten överensstämmer med den tekniska vägledningen om principen om att inte orsaka betydande skada (2021/C58/01) genom att använda en förteckning över uteslutningar och kravet på överensstämmelse med relevant EU-lagstiftning och nationell miljölagstiftning.</w:t>
            </w:r>
          </w:p>
          <w:p w14:paraId="290DDA70" w14:textId="5F629E0E" w:rsidR="00E040FD" w:rsidRDefault="00740D64">
            <w:pPr>
              <w:pStyle w:val="P68B1DB1-Normal12"/>
              <w:spacing w:after="0" w:line="240" w:lineRule="auto"/>
              <w:jc w:val="both"/>
              <w:rPr>
                <w:rFonts w:cstheme="minorHAnsi"/>
                <w:noProof/>
              </w:rPr>
            </w:pPr>
            <w:r>
              <w:rPr>
                <w:noProof/>
              </w:rPr>
              <w:t>Avtalen ska komplettera de kontrakt som genomförs i RE-C05-i01.02 och RE-C05-i10.</w:t>
            </w:r>
          </w:p>
        </w:tc>
      </w:tr>
      <w:tr w:rsidR="00E040FD" w14:paraId="7431C32C" w14:textId="77777777">
        <w:trPr>
          <w:trHeight w:val="274"/>
        </w:trPr>
        <w:tc>
          <w:tcPr>
            <w:tcW w:w="1113" w:type="dxa"/>
            <w:shd w:val="clear" w:color="auto" w:fill="C4EFCE"/>
            <w:vAlign w:val="center"/>
          </w:tcPr>
          <w:p w14:paraId="32CF2A49" w14:textId="78E07266" w:rsidR="00E040FD" w:rsidRDefault="00740D64">
            <w:pPr>
              <w:pStyle w:val="P68B1DB1-Normal11"/>
              <w:spacing w:after="0" w:line="240" w:lineRule="auto"/>
              <w:jc w:val="center"/>
              <w:rPr>
                <w:rFonts w:cstheme="minorHAnsi"/>
                <w:noProof/>
              </w:rPr>
            </w:pPr>
            <w:r>
              <w:rPr>
                <w:noProof/>
              </w:rPr>
              <w:t>5.47</w:t>
            </w:r>
          </w:p>
        </w:tc>
        <w:tc>
          <w:tcPr>
            <w:tcW w:w="1246" w:type="dxa"/>
            <w:shd w:val="clear" w:color="auto" w:fill="C4EFCE"/>
            <w:vAlign w:val="center"/>
          </w:tcPr>
          <w:p w14:paraId="509613B3" w14:textId="1F733358" w:rsidR="00E040FD" w:rsidRDefault="00740D64">
            <w:pPr>
              <w:pStyle w:val="P68B1DB1-Normal12"/>
              <w:spacing w:after="0" w:line="240" w:lineRule="auto"/>
              <w:jc w:val="center"/>
              <w:rPr>
                <w:rFonts w:cstheme="minorHAnsi"/>
                <w:noProof/>
              </w:rPr>
            </w:pPr>
            <w:r>
              <w:rPr>
                <w:noProof/>
              </w:rPr>
              <w:t>RE-C05-i12</w:t>
            </w:r>
          </w:p>
        </w:tc>
        <w:tc>
          <w:tcPr>
            <w:tcW w:w="1108" w:type="dxa"/>
            <w:shd w:val="clear" w:color="auto" w:fill="C4EFCE"/>
            <w:vAlign w:val="center"/>
          </w:tcPr>
          <w:p w14:paraId="287EAA6C" w14:textId="37007893" w:rsidR="00E040FD" w:rsidRDefault="00740D64">
            <w:pPr>
              <w:pStyle w:val="P68B1DB1-Normal12"/>
              <w:spacing w:after="0" w:line="240" w:lineRule="auto"/>
              <w:jc w:val="center"/>
              <w:rPr>
                <w:rFonts w:cstheme="minorHAnsi"/>
                <w:noProof/>
              </w:rPr>
            </w:pPr>
            <w:r>
              <w:rPr>
                <w:noProof/>
              </w:rPr>
              <w:t>T</w:t>
            </w:r>
          </w:p>
        </w:tc>
        <w:tc>
          <w:tcPr>
            <w:tcW w:w="1659" w:type="dxa"/>
            <w:shd w:val="clear" w:color="auto" w:fill="C4EFCE"/>
            <w:vAlign w:val="center"/>
          </w:tcPr>
          <w:p w14:paraId="1E5CB665" w14:textId="105B9A4D" w:rsidR="00E040FD" w:rsidRDefault="00740D64">
            <w:pPr>
              <w:pStyle w:val="P68B1DB1-Normal12"/>
              <w:spacing w:after="0" w:line="240" w:lineRule="auto"/>
              <w:jc w:val="center"/>
              <w:rPr>
                <w:rFonts w:cstheme="minorHAnsi"/>
                <w:noProof/>
              </w:rPr>
            </w:pPr>
            <w:r>
              <w:rPr>
                <w:noProof/>
              </w:rPr>
              <w:t>Produkter, processer eller tjänster som färdigställts och som är relevanta för en koldioxidsnål ekonomi, motståndskraft mot och anpassning till klimatförändringar.</w:t>
            </w:r>
          </w:p>
        </w:tc>
        <w:tc>
          <w:tcPr>
            <w:tcW w:w="1245" w:type="dxa"/>
            <w:shd w:val="clear" w:color="auto" w:fill="C4EFCE"/>
            <w:vAlign w:val="center"/>
          </w:tcPr>
          <w:p w14:paraId="65CE0D44" w14:textId="2FFC40CA" w:rsidR="00E040FD" w:rsidRDefault="00740D64">
            <w:pPr>
              <w:pStyle w:val="P68B1DB1-Normal12"/>
              <w:spacing w:after="0" w:line="240" w:lineRule="auto"/>
              <w:jc w:val="center"/>
              <w:rPr>
                <w:rFonts w:eastAsia="Times New Roman" w:cstheme="minorHAnsi"/>
                <w:noProof/>
              </w:rPr>
            </w:pPr>
            <w:r>
              <w:rPr>
                <w:noProof/>
              </w:rPr>
              <w:t> </w:t>
            </w:r>
          </w:p>
        </w:tc>
        <w:tc>
          <w:tcPr>
            <w:tcW w:w="972" w:type="dxa"/>
            <w:shd w:val="clear" w:color="auto" w:fill="C4EFCE"/>
            <w:vAlign w:val="center"/>
          </w:tcPr>
          <w:p w14:paraId="2CDFDBF8" w14:textId="7B4E4CC9" w:rsidR="00E040FD" w:rsidRDefault="00740D64">
            <w:pPr>
              <w:pStyle w:val="P68B1DB1-Normal12"/>
              <w:spacing w:after="0" w:line="240" w:lineRule="auto"/>
              <w:jc w:val="center"/>
              <w:rPr>
                <w:rFonts w:cstheme="minorHAnsi"/>
                <w:noProof/>
              </w:rPr>
            </w:pPr>
            <w:r>
              <w:rPr>
                <w:noProof/>
              </w:rPr>
              <w:t>Antal</w:t>
            </w:r>
          </w:p>
        </w:tc>
        <w:tc>
          <w:tcPr>
            <w:tcW w:w="971" w:type="dxa"/>
            <w:shd w:val="clear" w:color="auto" w:fill="C4EFCE"/>
            <w:vAlign w:val="center"/>
          </w:tcPr>
          <w:p w14:paraId="23069303" w14:textId="0D9C234C" w:rsidR="00E040FD" w:rsidRDefault="00740D64">
            <w:pPr>
              <w:pStyle w:val="P68B1DB1-Normal12"/>
              <w:spacing w:after="0" w:line="240" w:lineRule="auto"/>
              <w:jc w:val="center"/>
              <w:rPr>
                <w:rFonts w:cstheme="minorHAnsi"/>
                <w:noProof/>
              </w:rPr>
            </w:pPr>
            <w:r>
              <w:rPr>
                <w:noProof/>
              </w:rPr>
              <w:t>138</w:t>
            </w:r>
          </w:p>
        </w:tc>
        <w:tc>
          <w:tcPr>
            <w:tcW w:w="695" w:type="dxa"/>
            <w:shd w:val="clear" w:color="auto" w:fill="C4EFCE"/>
            <w:vAlign w:val="center"/>
          </w:tcPr>
          <w:p w14:paraId="4E428C5E" w14:textId="639B2AE1" w:rsidR="00E040FD" w:rsidRDefault="00740D64">
            <w:pPr>
              <w:pStyle w:val="P68B1DB1-Normal12"/>
              <w:spacing w:after="0" w:line="240" w:lineRule="auto"/>
              <w:jc w:val="center"/>
              <w:rPr>
                <w:rFonts w:cstheme="minorHAnsi"/>
                <w:noProof/>
              </w:rPr>
            </w:pPr>
            <w:r>
              <w:rPr>
                <w:noProof/>
              </w:rPr>
              <w:t>285</w:t>
            </w:r>
          </w:p>
        </w:tc>
        <w:tc>
          <w:tcPr>
            <w:tcW w:w="557" w:type="dxa"/>
            <w:shd w:val="clear" w:color="auto" w:fill="C4EFCE"/>
            <w:vAlign w:val="center"/>
          </w:tcPr>
          <w:p w14:paraId="6A0FC76A" w14:textId="3251ADDE" w:rsidR="00E040FD" w:rsidRDefault="00740D64">
            <w:pPr>
              <w:pStyle w:val="P68B1DB1-Normal12"/>
              <w:spacing w:after="0" w:line="240" w:lineRule="auto"/>
              <w:jc w:val="center"/>
              <w:rPr>
                <w:rFonts w:cstheme="minorHAnsi"/>
                <w:noProof/>
              </w:rPr>
            </w:pPr>
            <w:r>
              <w:rPr>
                <w:noProof/>
              </w:rPr>
              <w:t>KVARTAL 4</w:t>
            </w:r>
          </w:p>
        </w:tc>
        <w:tc>
          <w:tcPr>
            <w:tcW w:w="694" w:type="dxa"/>
            <w:shd w:val="clear" w:color="auto" w:fill="C4EFCE"/>
            <w:vAlign w:val="center"/>
          </w:tcPr>
          <w:p w14:paraId="7A622278" w14:textId="0287DEB1" w:rsidR="00E040FD" w:rsidRDefault="00740D64">
            <w:pPr>
              <w:pStyle w:val="P68B1DB1-Normal12"/>
              <w:spacing w:after="0" w:line="240" w:lineRule="auto"/>
              <w:jc w:val="center"/>
              <w:rPr>
                <w:rFonts w:cstheme="minorHAnsi"/>
                <w:noProof/>
              </w:rPr>
            </w:pPr>
            <w:r>
              <w:rPr>
                <w:noProof/>
              </w:rPr>
              <w:t>2025</w:t>
            </w:r>
          </w:p>
        </w:tc>
        <w:tc>
          <w:tcPr>
            <w:tcW w:w="4908" w:type="dxa"/>
            <w:shd w:val="clear" w:color="auto" w:fill="C4EFCE"/>
            <w:vAlign w:val="center"/>
          </w:tcPr>
          <w:p w14:paraId="1F263104" w14:textId="3DB158C4" w:rsidR="00E040FD" w:rsidRDefault="00740D64">
            <w:pPr>
              <w:pStyle w:val="P68B1DB1-Normal12"/>
              <w:spacing w:after="0" w:line="240" w:lineRule="auto"/>
              <w:jc w:val="both"/>
              <w:rPr>
                <w:noProof/>
              </w:rPr>
            </w:pPr>
            <w:r>
              <w:rPr>
                <w:noProof/>
              </w:rPr>
              <w:t>Slutförande av 147 produkter, processer eller tjänster (PPS) till följd av genomförandet av de kontrakt (innovationspakter eller mobilisering av projekt) som ingåtts med konsortier, i överensstämmelse med insatsområde 022 (forsknings- och innovationsprocesser, tekniköverföring och samarbete mellan företag med fokus på en koldioxidsnål ekonomi och motståndskraft mot och anpassning till klimatförändringar).</w:t>
            </w:r>
          </w:p>
          <w:p w14:paraId="21D14431" w14:textId="0F5CE763" w:rsidR="00E040FD" w:rsidRDefault="00740D64">
            <w:pPr>
              <w:pStyle w:val="P68B1DB1-Normal12"/>
              <w:spacing w:after="0" w:line="240" w:lineRule="auto"/>
              <w:jc w:val="both"/>
              <w:rPr>
                <w:noProof/>
              </w:rPr>
            </w:pPr>
            <w:r>
              <w:rPr>
                <w:noProof/>
              </w:rPr>
              <w:t>PPS ska läggas till den PPS som genomförs i RE-C05-i01.02 och RE-C05-i10.</w:t>
            </w:r>
          </w:p>
        </w:tc>
      </w:tr>
    </w:tbl>
    <w:p w14:paraId="58F116A2" w14:textId="5535E252" w:rsidR="00E040FD" w:rsidRDefault="00E040FD">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E040FD" w:rsidSect="00E00EDD">
          <w:headerReference w:type="even" r:id="rId114"/>
          <w:headerReference w:type="default" r:id="rId115"/>
          <w:footerReference w:type="even" r:id="rId116"/>
          <w:footerReference w:type="default" r:id="rId117"/>
          <w:headerReference w:type="first" r:id="rId118"/>
          <w:footerReference w:type="first" r:id="rId119"/>
          <w:pgSz w:w="16839" w:h="11907" w:orient="landscape"/>
          <w:pgMar w:top="1134" w:right="1134" w:bottom="1134" w:left="1134" w:header="567" w:footer="567" w:gutter="0"/>
          <w:cols w:space="720"/>
          <w:docGrid w:linePitch="360"/>
        </w:sectPr>
      </w:pPr>
    </w:p>
    <w:p w14:paraId="33FE1FD1"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F. KOMPONENT 6: Kvalifikationer och färdigheter</w:t>
      </w:r>
    </w:p>
    <w:p w14:paraId="37175C09"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 Portugal hade 44,5 % av befolkningen i åldern 25–64 år låg utbildningsnivå 2020, vilket är långt över EU-genomsnittet på 25,0 %. Dessutom är andelen av befolkningen med grundläggande digitala färdigheter eller som aldrig har använt internet mycket hög. På samma sätt är segmenteringen av arbetsmarknaden och obalansen mellan könen när det gäller löner och karriärmöjligheter fortfarande hög enligt EU:s normer. </w:t>
      </w:r>
    </w:p>
    <w:p w14:paraId="16328736"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del tar upp flera utmaningar i samband med relativt låga utbildnings- och kvalifikationsnivåer, deltagande i livslångt lärande, segmentering av arbetsmarknaden, undanröjande av administrativa hinder på området för högt reglerade yrken, förberedelser inför de utmaningar som är kopplade till framtidens arbete samt jämställdhet och lika möjligheter. </w:t>
      </w:r>
    </w:p>
    <w:p w14:paraId="2B79D01A"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Målen för komponenten är breda och omfattar kompetensutveckling och kompetenshöjning, vissa flaskhalsar i företagsklimatet, segmentering av arbetsmarknaden, jämn könsfördelning och lika möjligheter. När det gäller produktionspotentialen är denna del inriktad på åtgärder för att höja de låga kvalifikationsnivåerna och förbättra deltagandet i livslångt lärande genom en reform av systemen för allmän och yrkesinriktad utbildning, främja kunskapsöverföring mellan universitet/offentliga forskningsorganisationer och företag och minska restriktionerna för högreglerade yrken, samtidigt som konkurrenskraften i tillhandahållandet av företagstjänster förbättras. I komponenten presenteras också åtgärder för att ta itu med olika principer i den europeiska pelaren för sociala rättigheter, såsom förhållandet mellan arbetsmarknadens parter och tillträdesrättigheter för arbetstagare med atypiska anställningsavtal, ekonomiskt stöd för att främja inkludering av arbetslösa med fasta arbetstillfällen av hög kvalitet och utveckling av den portugisiska normen för ett förvaltningssystem för lika lön. </w:t>
      </w:r>
    </w:p>
    <w:p w14:paraId="7B3132B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del är anpassad till viktiga EU-politiska initiativ, såsom den europeiska kompetensagendan och rådets rekommendation om kompetenshöjningsvägar: Nya möjligheter för vuxna (rådets rekommendation 2016/C 484/01), rådets rekommendation om yrkesutbildning för hållbar konkurrenskraft, social rättvisa och motståndskraft (rådets rekommendation 2020/C 417/01), den förstärkta ungdomsgarantin och det europeiska området för utbildning och det europeiska forskningsområdet. </w:t>
      </w:r>
    </w:p>
    <w:p w14:paraId="29744677" w14:textId="77777777" w:rsidR="00E040FD" w:rsidRDefault="00740D64">
      <w:pPr>
        <w:pStyle w:val="P68B1DB1-Normal4"/>
        <w:keepNext/>
        <w:spacing w:before="40" w:after="0" w:line="259" w:lineRule="auto"/>
        <w:jc w:val="both"/>
        <w:rPr>
          <w:rFonts w:eastAsiaTheme="minorEastAsia" w:cs="Times New Roman"/>
          <w:noProof/>
        </w:rPr>
      </w:pPr>
      <w:r>
        <w:rPr>
          <w:noProof/>
        </w:rPr>
        <w:t>Komponenten behandlar de landsspecifika rekommendationerna om att vidta alla nödvändiga åtgärder för att effektivt hantera pandemin, upprätthålla ekonomin och stödja den påföljande återhämtningen (landsspecifik rekommendation 1 2020). anta åtgärder för att ta itu med segmenteringen av arbetsmarknaden (landsspecifik rekommendation 2 2019). förbättra befolkningens kompetensnivå, särskilt deras digitala kompetens, bland annat genom att göra vuxenutbildningen mer relevant för arbetsmarknadens behov (landsspecifik rekommendation 2 2019). öka antalet utexaminerade från högre utbildning, särskilt inom naturvetenskap och informationsteknik (landsspecifik rekommendation 2 2019). stödja användningen av digital teknik för att säkerställa lika tillgång till utbildning av god kvalitet (landsspecifik rekommendation 2 2020). att öka företagens konkurrenskraft (landsspecifik rekommendation 2 2020). fokusera på investeringsrelaterad ekonomisk politik för forskning och innovation (landsspecifik rekommendation 3 2019). och att utarbeta en färdplan för att minska restriktionerna för starkt reglerade yrken (landsspecifik rekommendation 4 2019).</w:t>
      </w:r>
    </w:p>
    <w:p w14:paraId="6CC019E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 </w:t>
      </w:r>
    </w:p>
    <w:p w14:paraId="20AF52A5" w14:textId="17B25CD3" w:rsidR="00E040FD" w:rsidRDefault="00E040FD">
      <w:pPr>
        <w:keepNext/>
        <w:spacing w:before="40" w:after="0" w:line="259" w:lineRule="auto"/>
        <w:jc w:val="both"/>
        <w:rPr>
          <w:rFonts w:ascii="Times New Roman" w:eastAsiaTheme="minorEastAsia" w:hAnsi="Times New Roman" w:cs="Times New Roman"/>
          <w:noProof/>
          <w:sz w:val="24"/>
        </w:rPr>
      </w:pPr>
    </w:p>
    <w:p w14:paraId="309FC685" w14:textId="7C8FBB2C" w:rsidR="00E040FD" w:rsidRDefault="00E040FD">
      <w:pPr>
        <w:keepNext/>
        <w:spacing w:before="40" w:after="0" w:line="259" w:lineRule="auto"/>
        <w:jc w:val="both"/>
        <w:rPr>
          <w:rFonts w:ascii="Times New Roman" w:eastAsiaTheme="minorEastAsia" w:hAnsi="Times New Roman" w:cs="Times New Roman"/>
          <w:noProof/>
          <w:sz w:val="24"/>
        </w:rPr>
      </w:pPr>
    </w:p>
    <w:p w14:paraId="310C858A" w14:textId="486BD107" w:rsidR="00E040FD" w:rsidRDefault="00E040FD">
      <w:pPr>
        <w:keepNext/>
        <w:spacing w:before="40" w:after="0" w:line="259" w:lineRule="auto"/>
        <w:jc w:val="both"/>
        <w:rPr>
          <w:rFonts w:ascii="Times New Roman" w:eastAsiaTheme="minorEastAsia" w:hAnsi="Times New Roman" w:cs="Times New Roman"/>
          <w:noProof/>
          <w:sz w:val="24"/>
        </w:rPr>
      </w:pPr>
    </w:p>
    <w:p w14:paraId="6B3EE7D6"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01024A9A" w14:textId="77777777" w:rsidR="00E040FD" w:rsidRDefault="00740D64">
      <w:pPr>
        <w:pStyle w:val="P68B1DB1-Normal3"/>
        <w:spacing w:before="40" w:after="0" w:line="259" w:lineRule="auto"/>
        <w:ind w:left="130" w:firstLine="720"/>
        <w:jc w:val="both"/>
        <w:outlineLvl w:val="2"/>
        <w:rPr>
          <w:rFonts w:eastAsiaTheme="minorEastAsia" w:cs="Times New Roman"/>
          <w:i/>
          <w:noProof/>
        </w:rPr>
      </w:pPr>
      <w:r>
        <w:rPr>
          <w:noProof/>
        </w:rPr>
        <w:t>F.1. Beskrivning av reformer och investeringar avseende icke återbetalningspliktigt ekonomiskt stöd</w:t>
      </w:r>
    </w:p>
    <w:p w14:paraId="4FF4B46F" w14:textId="77777777" w:rsidR="00E040FD" w:rsidRDefault="00740D64">
      <w:pPr>
        <w:pStyle w:val="P68B1DB1-Normal5"/>
        <w:spacing w:before="240" w:after="0" w:line="259" w:lineRule="auto"/>
        <w:ind w:left="851"/>
        <w:jc w:val="both"/>
        <w:outlineLvl w:val="3"/>
        <w:rPr>
          <w:rFonts w:eastAsiaTheme="minorEastAsia" w:cs="Times New Roman"/>
          <w:noProof/>
        </w:rPr>
      </w:pPr>
      <w:r>
        <w:rPr>
          <w:noProof/>
        </w:rPr>
        <w:t>Reform RE-r14: Reform av yrkesutbildningen</w:t>
      </w:r>
    </w:p>
    <w:p w14:paraId="79BAF2E5" w14:textId="77777777" w:rsidR="00E040FD" w:rsidRDefault="00740D64">
      <w:pPr>
        <w:pStyle w:val="P68B1DB1-Normal4"/>
        <w:spacing w:before="40" w:after="0" w:line="259" w:lineRule="auto"/>
        <w:jc w:val="both"/>
        <w:rPr>
          <w:rFonts w:eastAsiaTheme="minorEastAsia" w:cs="Times New Roman"/>
          <w:noProof/>
        </w:rPr>
      </w:pPr>
      <w:r>
        <w:rPr>
          <w:noProof/>
        </w:rPr>
        <w:t xml:space="preserve">Syftet med denna reform är att modernisera utbildnings- och yrkesutbildningssystemen för att förbättra den låga utbildnings- och kvalifikationsnivån och den höga förekomsten av arbetstagare som saknar grundläggande och digitala färdigheter, anpassa kompetensutbudet till nuvarande och framtida behov på arbetsmarknaden och bredda möjligheterna till utbildning och livslångt lärande. </w:t>
      </w:r>
    </w:p>
    <w:p w14:paraId="14052811" w14:textId="77777777" w:rsidR="00E040FD" w:rsidRDefault="00740D64">
      <w:pPr>
        <w:pStyle w:val="P68B1DB1-Normal4"/>
        <w:spacing w:before="40" w:after="0" w:line="259" w:lineRule="auto"/>
        <w:jc w:val="both"/>
        <w:rPr>
          <w:rFonts w:eastAsiaTheme="minorEastAsia" w:cs="Times New Roman"/>
          <w:noProof/>
        </w:rPr>
      </w:pPr>
      <w:r>
        <w:rPr>
          <w:noProof/>
        </w:rPr>
        <w:t xml:space="preserve">Reformen ska bestå av åtgärder för att </w:t>
      </w:r>
    </w:p>
    <w:p w14:paraId="24DEC4CE" w14:textId="77777777" w:rsidR="00E040FD" w:rsidRDefault="00740D64">
      <w:pPr>
        <w:pStyle w:val="P68B1DB1-Normal4"/>
        <w:keepNext/>
        <w:numPr>
          <w:ilvl w:val="0"/>
          <w:numId w:val="43"/>
        </w:numPr>
        <w:spacing w:before="40" w:after="160" w:line="259" w:lineRule="auto"/>
        <w:contextualSpacing/>
        <w:jc w:val="both"/>
        <w:rPr>
          <w:rFonts w:eastAsiaTheme="minorEastAsia" w:cs="Times New Roman"/>
          <w:noProof/>
        </w:rPr>
      </w:pPr>
      <w:r>
        <w:rPr>
          <w:noProof/>
        </w:rPr>
        <w:t>stärka den övergripande politiska samordningen av utbildnings- och yrkesutbildningspolitiken,</w:t>
      </w:r>
    </w:p>
    <w:p w14:paraId="1130E842" w14:textId="77777777" w:rsidR="00E040FD" w:rsidRDefault="00740D64">
      <w:pPr>
        <w:pStyle w:val="P68B1DB1-Normal4"/>
        <w:keepNext/>
        <w:numPr>
          <w:ilvl w:val="0"/>
          <w:numId w:val="43"/>
        </w:numPr>
        <w:spacing w:before="40" w:after="160" w:line="259" w:lineRule="auto"/>
        <w:contextualSpacing/>
        <w:jc w:val="both"/>
        <w:rPr>
          <w:rFonts w:eastAsiaTheme="minorEastAsia" w:cs="Times New Roman"/>
          <w:noProof/>
        </w:rPr>
      </w:pPr>
      <w:r>
        <w:rPr>
          <w:noProof/>
        </w:rPr>
        <w:t>modernisera det yrkesutbildningsutbud som regleras av den nationella kvalifikationskatalogen på grundval av systemet för förutseende av kvalifikationer, den framåtblickande diagnosen för att stödja uppdateringen av den nationella kvalifikationskatalogen och rationalisering av sektorsråden för kvalifikationer.</w:t>
      </w:r>
    </w:p>
    <w:p w14:paraId="1C4AE227" w14:textId="77777777" w:rsidR="00E040FD" w:rsidRDefault="00740D64">
      <w:pPr>
        <w:pStyle w:val="P68B1DB1-Normal4"/>
        <w:keepNext/>
        <w:numPr>
          <w:ilvl w:val="0"/>
          <w:numId w:val="43"/>
        </w:numPr>
        <w:spacing w:before="40" w:after="160" w:line="259" w:lineRule="auto"/>
        <w:contextualSpacing/>
        <w:jc w:val="both"/>
        <w:rPr>
          <w:rFonts w:eastAsiaTheme="minorEastAsia" w:cs="Times New Roman"/>
          <w:noProof/>
        </w:rPr>
      </w:pPr>
      <w:r>
        <w:rPr>
          <w:noProof/>
        </w:rPr>
        <w:t xml:space="preserve">ta hänsyn till arbetsmarknadens behov och framväxten av nya färdigheter/yrken, </w:t>
      </w:r>
    </w:p>
    <w:p w14:paraId="51098704" w14:textId="6BB416EA" w:rsidR="00E040FD" w:rsidRDefault="00740D64">
      <w:pPr>
        <w:pStyle w:val="P68B1DB1-Normal4"/>
        <w:keepNext/>
        <w:numPr>
          <w:ilvl w:val="0"/>
          <w:numId w:val="43"/>
        </w:numPr>
        <w:spacing w:before="40" w:after="160" w:line="259" w:lineRule="auto"/>
        <w:contextualSpacing/>
        <w:jc w:val="both"/>
        <w:rPr>
          <w:rFonts w:eastAsiaTheme="minorEastAsia" w:cs="Times New Roman"/>
          <w:noProof/>
        </w:rPr>
      </w:pPr>
      <w:r>
        <w:rPr>
          <w:noProof/>
        </w:rPr>
        <w:t xml:space="preserve">förbättra utsikterna för den lågutbildade befolkningen genom att utforma utbildningserbjudanden med inriktning på läs- och skrivkunnighet för vuxna (ska genomföras inom C06 – I03: Incitament för vuxna). </w:t>
      </w:r>
    </w:p>
    <w:p w14:paraId="1EF91E24" w14:textId="77777777" w:rsidR="00E040FD" w:rsidRDefault="00740D64">
      <w:pPr>
        <w:pStyle w:val="P68B1DB1-Normal4"/>
        <w:keepNext/>
        <w:numPr>
          <w:ilvl w:val="0"/>
          <w:numId w:val="43"/>
        </w:numPr>
        <w:spacing w:before="40" w:after="160" w:line="259" w:lineRule="auto"/>
        <w:contextualSpacing/>
        <w:jc w:val="both"/>
        <w:rPr>
          <w:rFonts w:eastAsiaTheme="minorEastAsia" w:cs="Times New Roman"/>
          <w:noProof/>
        </w:rPr>
      </w:pPr>
      <w:r>
        <w:rPr>
          <w:noProof/>
        </w:rPr>
        <w:t>främja lokal utveckling och territoriell sammanhållning och minska socioekonomiska ojämlikheter genom att omfördela yrkesutbildningsnätverket.</w:t>
      </w:r>
    </w:p>
    <w:p w14:paraId="758D803D" w14:textId="77777777" w:rsidR="00E040FD" w:rsidRDefault="00740D64">
      <w:pPr>
        <w:pStyle w:val="P68B1DB1-Normal4"/>
        <w:spacing w:before="40" w:after="0" w:line="259" w:lineRule="auto"/>
        <w:jc w:val="both"/>
        <w:rPr>
          <w:rFonts w:eastAsiaTheme="minorEastAsia" w:cs="Times New Roman"/>
          <w:noProof/>
        </w:rPr>
      </w:pPr>
      <w:r>
        <w:rPr>
          <w:noProof/>
        </w:rPr>
        <w:t xml:space="preserve">Genomförandet av reformen ska vara slutfört senast den 31 december 2025. </w:t>
      </w:r>
    </w:p>
    <w:p w14:paraId="507D918E" w14:textId="77777777" w:rsidR="00E040FD" w:rsidRDefault="00740D64">
      <w:pPr>
        <w:pStyle w:val="P68B1DB1-Normal5"/>
        <w:spacing w:before="240" w:after="0" w:line="259" w:lineRule="auto"/>
        <w:ind w:left="851"/>
        <w:jc w:val="both"/>
        <w:outlineLvl w:val="3"/>
        <w:rPr>
          <w:rFonts w:eastAsiaTheme="minorEastAsia" w:cs="Times New Roman"/>
          <w:noProof/>
        </w:rPr>
      </w:pPr>
      <w:r>
        <w:rPr>
          <w:noProof/>
        </w:rPr>
        <w:t>Reform RE-r15: Reform av samarbetet mellan högre utbildning och offentlig förvaltning och företag</w:t>
      </w:r>
    </w:p>
    <w:p w14:paraId="7C45D5EA" w14:textId="77777777" w:rsidR="00E040FD" w:rsidRDefault="00740D64">
      <w:pPr>
        <w:pStyle w:val="P68B1DB1-Normal4"/>
        <w:spacing w:before="40" w:after="0" w:line="259" w:lineRule="auto"/>
        <w:jc w:val="both"/>
        <w:rPr>
          <w:rFonts w:eastAsiaTheme="minorEastAsia" w:cs="Times New Roman"/>
          <w:noProof/>
        </w:rPr>
      </w:pPr>
      <w:r>
        <w:rPr>
          <w:noProof/>
        </w:rPr>
        <w:t xml:space="preserve">Syftet med denna reform är att ge incitament till offentlig-privata samarbetsarrangemang inom utbildningsprogram för att tillgodose behoven på arbetsmarknaden och den dubbla omställningen, inbegripet utveckling av yrkesinriktade forskarutbildningar (yrkesmasterexamina) som uteslutande omfattar studenter med tidigare yrkeserfarenhet och erbjudande av korta högskolekurser i yrkeshögskolor (så kallade tekniska högre yrkesutbildningar). </w:t>
      </w:r>
    </w:p>
    <w:p w14:paraId="1E2C7057" w14:textId="77777777" w:rsidR="00E040FD" w:rsidRDefault="00740D64">
      <w:pPr>
        <w:pStyle w:val="P68B1DB1-Normal4"/>
        <w:spacing w:before="40" w:after="0" w:line="259" w:lineRule="auto"/>
        <w:jc w:val="both"/>
        <w:rPr>
          <w:rFonts w:eastAsiaTheme="minorEastAsia" w:cs="Times New Roman"/>
          <w:noProof/>
        </w:rPr>
      </w:pPr>
      <w:r>
        <w:rPr>
          <w:noProof/>
        </w:rPr>
        <w:t>Reformen ska bestå av följande:</w:t>
      </w:r>
    </w:p>
    <w:p w14:paraId="29DE76AC" w14:textId="77777777" w:rsidR="00E040FD" w:rsidRDefault="00740D64">
      <w:pPr>
        <w:pStyle w:val="P68B1DB1-Normal4"/>
        <w:numPr>
          <w:ilvl w:val="0"/>
          <w:numId w:val="44"/>
        </w:numPr>
        <w:spacing w:before="40" w:after="160" w:line="259" w:lineRule="auto"/>
        <w:ind w:left="714" w:hanging="357"/>
        <w:contextualSpacing/>
        <w:jc w:val="both"/>
        <w:rPr>
          <w:rFonts w:eastAsiaTheme="minorEastAsia" w:cs="Times New Roman"/>
          <w:noProof/>
        </w:rPr>
      </w:pPr>
      <w:r>
        <w:rPr>
          <w:noProof/>
        </w:rPr>
        <w:t>en rättsakt som inför särskilda uttagningsprov för tillträde till högre utbildning för personer med varvad utbildning på gymnasienivå och specialiserade konstnärliga kurser.</w:t>
      </w:r>
    </w:p>
    <w:p w14:paraId="567B7FBF" w14:textId="77777777" w:rsidR="00E040FD" w:rsidRDefault="00740D64">
      <w:pPr>
        <w:pStyle w:val="P68B1DB1-Normal4"/>
        <w:numPr>
          <w:ilvl w:val="0"/>
          <w:numId w:val="44"/>
        </w:numPr>
        <w:spacing w:before="40" w:after="160" w:line="259" w:lineRule="auto"/>
        <w:ind w:left="714" w:hanging="357"/>
        <w:contextualSpacing/>
        <w:jc w:val="both"/>
        <w:rPr>
          <w:rFonts w:eastAsiaTheme="minorEastAsia" w:cs="Times New Roman"/>
          <w:noProof/>
        </w:rPr>
      </w:pPr>
      <w:r>
        <w:rPr>
          <w:noProof/>
        </w:rPr>
        <w:t>översynen av den rättsliga och institutionella ram som styr högskolornas samarbete med offentlig förvaltning och företag, inbegripet åtgärder för att</w:t>
      </w:r>
    </w:p>
    <w:p w14:paraId="5AE0A55E" w14:textId="77777777" w:rsidR="00E040FD" w:rsidRDefault="00740D64">
      <w:pPr>
        <w:pStyle w:val="P68B1DB1-Normal4"/>
        <w:numPr>
          <w:ilvl w:val="1"/>
          <w:numId w:val="44"/>
        </w:numPr>
        <w:spacing w:before="40" w:after="160" w:line="259" w:lineRule="auto"/>
        <w:contextualSpacing/>
        <w:jc w:val="both"/>
        <w:rPr>
          <w:rFonts w:eastAsiaTheme="minorEastAsia" w:cs="Times New Roman"/>
          <w:noProof/>
        </w:rPr>
      </w:pPr>
      <w:r>
        <w:rPr>
          <w:noProof/>
        </w:rPr>
        <w:t>främja interinstitutionellt samarbete mellan högre utbildningsanstalter och företag samt locka vuxna studenter och bredda täckningen till inlandsområden.</w:t>
      </w:r>
    </w:p>
    <w:p w14:paraId="7734DEF6" w14:textId="77777777" w:rsidR="00E040FD" w:rsidRDefault="00740D64">
      <w:pPr>
        <w:pStyle w:val="P68B1DB1-Normal4"/>
        <w:numPr>
          <w:ilvl w:val="1"/>
          <w:numId w:val="44"/>
        </w:numPr>
        <w:spacing w:before="40" w:after="160" w:line="259" w:lineRule="auto"/>
        <w:contextualSpacing/>
        <w:jc w:val="both"/>
        <w:rPr>
          <w:rFonts w:eastAsiaTheme="minorEastAsia" w:cs="Times New Roman"/>
          <w:noProof/>
        </w:rPr>
      </w:pPr>
      <w:r>
        <w:rPr>
          <w:noProof/>
        </w:rPr>
        <w:t>samarbetspartnerskap som uppmuntrar till ett brett utbud av högre utbildningskurser, inbegripet korta kurser, grundkurser, masters- och doktorsexamina.</w:t>
      </w:r>
    </w:p>
    <w:p w14:paraId="425A7F13" w14:textId="77777777" w:rsidR="00E040FD" w:rsidRDefault="00740D64">
      <w:pPr>
        <w:pStyle w:val="P68B1DB1-Normal4"/>
        <w:numPr>
          <w:ilvl w:val="1"/>
          <w:numId w:val="44"/>
        </w:numPr>
        <w:spacing w:before="40" w:after="160" w:line="259" w:lineRule="auto"/>
        <w:contextualSpacing/>
        <w:jc w:val="both"/>
        <w:rPr>
          <w:rFonts w:eastAsiaTheme="minorEastAsia" w:cs="Times New Roman"/>
          <w:noProof/>
        </w:rPr>
      </w:pPr>
      <w:r>
        <w:rPr>
          <w:noProof/>
        </w:rPr>
        <w:t>öka utbudet av kortvariga yrkeskurser på hög nivå som förvaltas av högskolor för polytekniska högskolor, i nära samarbete med offentliga och privata enheter.</w:t>
      </w:r>
    </w:p>
    <w:p w14:paraId="24C9D18C" w14:textId="77777777" w:rsidR="00E040FD" w:rsidRDefault="00740D64">
      <w:pPr>
        <w:pStyle w:val="P68B1DB1-Normal4"/>
        <w:keepNext/>
        <w:numPr>
          <w:ilvl w:val="1"/>
          <w:numId w:val="44"/>
        </w:numPr>
        <w:spacing w:before="40" w:after="160" w:line="259" w:lineRule="auto"/>
        <w:contextualSpacing/>
        <w:jc w:val="both"/>
        <w:rPr>
          <w:rFonts w:eastAsiaTheme="minorEastAsia" w:cs="Times New Roman"/>
          <w:noProof/>
        </w:rPr>
      </w:pPr>
      <w:r>
        <w:rPr>
          <w:noProof/>
        </w:rPr>
        <w:t>ytterligare utöka stödbasen för högre utbildning genom att underlätta tillgången till högskolor för gymnasieelever från yrkes- och konstnärliga områden.</w:t>
      </w:r>
    </w:p>
    <w:p w14:paraId="6D78B2EF" w14:textId="77777777" w:rsidR="00E040FD" w:rsidRDefault="00740D64">
      <w:pPr>
        <w:pStyle w:val="P68B1DB1-Normal4"/>
        <w:keepNext/>
        <w:numPr>
          <w:ilvl w:val="1"/>
          <w:numId w:val="44"/>
        </w:numPr>
        <w:spacing w:before="40" w:after="160" w:line="259" w:lineRule="auto"/>
        <w:contextualSpacing/>
        <w:jc w:val="both"/>
        <w:rPr>
          <w:rFonts w:eastAsiaTheme="minorEastAsia" w:cs="Times New Roman"/>
          <w:noProof/>
        </w:rPr>
      </w:pPr>
      <w:r>
        <w:rPr>
          <w:noProof/>
        </w:rPr>
        <w:t>stärka deltagandet i högre utbildningskurser på digitala områden, särskilt genom Portugals program Digital INCoDe2030, i nära samarbete med offentliga och privata enheter.</w:t>
      </w:r>
    </w:p>
    <w:p w14:paraId="4A757B2D" w14:textId="77777777" w:rsidR="00E040FD" w:rsidRDefault="00740D64">
      <w:pPr>
        <w:pStyle w:val="P68B1DB1-Normal4"/>
        <w:keepNext/>
        <w:numPr>
          <w:ilvl w:val="1"/>
          <w:numId w:val="44"/>
        </w:numPr>
        <w:spacing w:before="40" w:after="160" w:line="259" w:lineRule="auto"/>
        <w:contextualSpacing/>
        <w:jc w:val="both"/>
        <w:rPr>
          <w:rFonts w:eastAsiaTheme="minorEastAsia" w:cs="Times New Roman"/>
          <w:noProof/>
        </w:rPr>
      </w:pPr>
      <w:r>
        <w:rPr>
          <w:noProof/>
        </w:rPr>
        <w:t>stimulera modulär utbildning, som främjar kontinuerligt lärande och förvärvande av nya färdigheter med ”mikromeriter/mikroexamina”, i nära samarbete med offentliga och privata enheter,</w:t>
      </w:r>
    </w:p>
    <w:p w14:paraId="18034D09" w14:textId="77777777" w:rsidR="00E040FD" w:rsidRDefault="00740D64">
      <w:pPr>
        <w:pStyle w:val="P68B1DB1-Normal4"/>
        <w:keepNext/>
        <w:numPr>
          <w:ilvl w:val="1"/>
          <w:numId w:val="44"/>
        </w:numPr>
        <w:spacing w:before="40" w:after="160" w:line="259" w:lineRule="auto"/>
        <w:contextualSpacing/>
        <w:jc w:val="both"/>
        <w:rPr>
          <w:rFonts w:eastAsiaTheme="minorEastAsia" w:cs="Times New Roman"/>
          <w:noProof/>
        </w:rPr>
      </w:pPr>
      <w:r>
        <w:rPr>
          <w:noProof/>
        </w:rPr>
        <w:t>utvidga samarbetet mellan högre utbildningsanstalter och laboratorier och centrum för tekniskt gränssnitt,</w:t>
      </w:r>
    </w:p>
    <w:p w14:paraId="51AF0405" w14:textId="77777777" w:rsidR="00E040FD" w:rsidRDefault="00740D64">
      <w:pPr>
        <w:pStyle w:val="P68B1DB1-Normal4"/>
        <w:keepNext/>
        <w:numPr>
          <w:ilvl w:val="1"/>
          <w:numId w:val="42"/>
        </w:numPr>
        <w:spacing w:before="40" w:after="160" w:line="259" w:lineRule="auto"/>
        <w:contextualSpacing/>
        <w:jc w:val="both"/>
        <w:rPr>
          <w:rFonts w:eastAsiaTheme="minorEastAsia" w:cs="Times New Roman"/>
          <w:noProof/>
        </w:rPr>
      </w:pPr>
      <w:r>
        <w:rPr>
          <w:noProof/>
        </w:rPr>
        <w:t>ändring av den rättsliga ställningen för att klargöra villkoren för när en extern specialist får utföra undervisnings- eller ledningsuppgifter vid högre utbildningsanstalter, i syfte att främja rörligheten mellan den akademiska världen och näringslivet. och</w:t>
      </w:r>
    </w:p>
    <w:p w14:paraId="423A2509" w14:textId="77777777" w:rsidR="00E040FD" w:rsidRDefault="00740D64">
      <w:pPr>
        <w:pStyle w:val="P68B1DB1-Normal4"/>
        <w:keepNext/>
        <w:numPr>
          <w:ilvl w:val="1"/>
          <w:numId w:val="42"/>
        </w:numPr>
        <w:spacing w:before="40" w:after="160" w:line="259" w:lineRule="auto"/>
        <w:contextualSpacing/>
        <w:jc w:val="both"/>
        <w:rPr>
          <w:rFonts w:eastAsiaTheme="minorEastAsia" w:cs="Times New Roman"/>
          <w:noProof/>
        </w:rPr>
      </w:pPr>
      <w:r>
        <w:rPr>
          <w:noProof/>
        </w:rPr>
        <w:t>stärka den rättsliga ramen för konsortier med delad förvaltning mellan högskolor och företag.</w:t>
      </w:r>
    </w:p>
    <w:p w14:paraId="4BAB8F5A" w14:textId="77777777" w:rsidR="00E040FD" w:rsidRDefault="00740D64">
      <w:pPr>
        <w:pStyle w:val="P68B1DB1-Normal4"/>
        <w:keepNext/>
        <w:spacing w:before="40" w:after="0" w:line="259" w:lineRule="auto"/>
        <w:jc w:val="both"/>
        <w:rPr>
          <w:rFonts w:eastAsiaTheme="minorEastAsia" w:cs="Times New Roman"/>
          <w:noProof/>
        </w:rPr>
      </w:pPr>
      <w:r>
        <w:rPr>
          <w:noProof/>
        </w:rPr>
        <w:t>Genomförandet av reformen ska vara slutfört senast den 30 juni 2021.</w:t>
      </w:r>
    </w:p>
    <w:p w14:paraId="0FA75BAC"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Reform RE-r16: Minska restriktionerna för högreglerade yrken</w:t>
      </w:r>
    </w:p>
    <w:p w14:paraId="22747F26" w14:textId="77777777" w:rsidR="00E040FD" w:rsidRDefault="00740D64">
      <w:pPr>
        <w:pStyle w:val="P68B1DB1-Normal4"/>
        <w:spacing w:before="40" w:after="0" w:line="259" w:lineRule="auto"/>
        <w:jc w:val="both"/>
        <w:rPr>
          <w:rFonts w:eastAsiaTheme="minorEastAsia" w:cs="Times New Roman"/>
          <w:noProof/>
        </w:rPr>
      </w:pPr>
      <w:r>
        <w:rPr>
          <w:noProof/>
        </w:rPr>
        <w:t xml:space="preserve">Syftet med denna reform är att minska restriktionerna för starkt reglerade yrken, främst för att främja konkurrens vid tillhandahållandet av företagstjänster. </w:t>
      </w:r>
    </w:p>
    <w:p w14:paraId="6A3E87FA" w14:textId="77777777" w:rsidR="00E040FD" w:rsidRDefault="00740D64">
      <w:pPr>
        <w:pStyle w:val="P68B1DB1-Normal4"/>
        <w:spacing w:before="40" w:after="0" w:line="259" w:lineRule="auto"/>
        <w:jc w:val="both"/>
        <w:rPr>
          <w:rFonts w:eastAsiaTheme="minorEastAsia" w:cs="Times New Roman"/>
          <w:noProof/>
        </w:rPr>
      </w:pPr>
      <w:r>
        <w:rPr>
          <w:noProof/>
        </w:rPr>
        <w:t xml:space="preserve">År 2018 genomförde OECD, i samarbete med den portugisiska konkurrensmyndigheten (AdC), en bedömning för ett begränsat antal självreglerade yrken som advokater, solicitors, ingenjörer, arkitekter, revisorer, revisorer, ekonomer, farmaceuter och nutritionister. Utifrån den utvärdering som gjorts upprättades en förteckning över rekommendationer. Med denna reform ska Portugal följa rekommendationerna från OECD och AdC. </w:t>
      </w:r>
    </w:p>
    <w:p w14:paraId="7BF38458" w14:textId="5F5B573E" w:rsidR="00E040FD" w:rsidRDefault="00740D64">
      <w:pPr>
        <w:pStyle w:val="P68B1DB1-Normal4"/>
        <w:spacing w:before="40" w:after="0" w:line="259" w:lineRule="auto"/>
        <w:jc w:val="both"/>
        <w:rPr>
          <w:rFonts w:eastAsiaTheme="minorEastAsia" w:cs="Times New Roman"/>
          <w:noProof/>
        </w:rPr>
      </w:pPr>
      <w:r>
        <w:rPr>
          <w:noProof/>
        </w:rPr>
        <w:t xml:space="preserve">Reformen ska åtminstone i) särskilja reglerings- och representationsuppgifter i yrkessammanslutningar, II) minska förteckningen över förbehållna verksamheter (tillträdet till förbehållna verksamheter får begränsas endast för att skydda konstitutionella intressen, i enlighet med principerna om nödvändighet och proportionalitet), III) avskaffa begränsningarna för ägande och förvaltning av företag som tillhandahåller företagstjänster, förutsatt att cheferna respekterar de rättsliga reglerna för förebyggande av ”intressekonflikter”, och iv) tillåta tvärvetenskapliga företagstjänstföretag. </w:t>
      </w:r>
    </w:p>
    <w:p w14:paraId="48290DD8" w14:textId="77777777" w:rsidR="00E040FD" w:rsidRDefault="00740D64">
      <w:pPr>
        <w:pStyle w:val="P68B1DB1-Normal4"/>
        <w:spacing w:before="40" w:after="0" w:line="259" w:lineRule="auto"/>
        <w:jc w:val="both"/>
        <w:rPr>
          <w:rFonts w:eastAsiaTheme="minorEastAsia" w:cs="Times New Roman"/>
          <w:noProof/>
        </w:rPr>
      </w:pPr>
      <w:r>
        <w:rPr>
          <w:noProof/>
        </w:rPr>
        <w:t xml:space="preserve">AdC ska också ges i uppdrag att lägga fram en rapport om effektiviteten i den nya lagen om reglerade yrken. </w:t>
      </w:r>
    </w:p>
    <w:p w14:paraId="6A04E445" w14:textId="77777777" w:rsidR="00E040FD" w:rsidRDefault="00740D64">
      <w:pPr>
        <w:pStyle w:val="P68B1DB1-Normal4"/>
        <w:spacing w:before="40" w:after="0" w:line="259" w:lineRule="auto"/>
        <w:jc w:val="both"/>
        <w:rPr>
          <w:rFonts w:eastAsiaTheme="minorEastAsia" w:cs="Times New Roman"/>
          <w:noProof/>
        </w:rPr>
      </w:pPr>
      <w:r>
        <w:rPr>
          <w:noProof/>
        </w:rPr>
        <w:t>Genomförandet av reformen ska vara slutfört senast den 31 december 2022.</w:t>
      </w:r>
    </w:p>
    <w:p w14:paraId="58B60BDF"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Reform RE-r17: Agenda för främjande av anständigt arbete</w:t>
      </w:r>
    </w:p>
    <w:p w14:paraId="5AF25DED" w14:textId="77777777" w:rsidR="00E040FD" w:rsidRDefault="00740D64">
      <w:pPr>
        <w:pStyle w:val="P68B1DB1-Normal4"/>
        <w:spacing w:before="40" w:after="0" w:line="259" w:lineRule="auto"/>
        <w:jc w:val="both"/>
        <w:rPr>
          <w:rFonts w:eastAsiaTheme="minorEastAsia" w:cs="Times New Roman"/>
          <w:noProof/>
        </w:rPr>
      </w:pPr>
      <w:r>
        <w:rPr>
          <w:noProof/>
        </w:rPr>
        <w:t>Syftet med denna reform är att bygga vidare på åtgärder som antagits under de senaste åren (t.ex. åtgärder mot segmentering av arbetsmarknaden och främjande av kollektivförhandlingar) för att skydda arbetstagarnas rättigheter.</w:t>
      </w:r>
    </w:p>
    <w:p w14:paraId="1EF0875A" w14:textId="7D73539B" w:rsidR="00E040FD" w:rsidRDefault="00740D64">
      <w:pPr>
        <w:pStyle w:val="P68B1DB1-Normal4"/>
        <w:spacing w:before="40" w:after="0" w:line="259" w:lineRule="auto"/>
        <w:jc w:val="both"/>
        <w:rPr>
          <w:rFonts w:eastAsiaTheme="minorEastAsia" w:cs="Times New Roman"/>
          <w:noProof/>
        </w:rPr>
      </w:pPr>
      <w:r>
        <w:rPr>
          <w:noProof/>
        </w:rPr>
        <w:t xml:space="preserve">Efter presentationen av grönboken om det framtida arbetet av regeringen ska denna reform omfatta en lagstiftningsakt för att reglera plattformsarbete i syfte att ta itu med de nya utmaningar som orsakas av atypiska anställningsförhållanden, i enlighet med principerna i den europeiska pelaren för sociala rättigheter. Det ska stärka kvaliteten på relationerna mellan arbetsmarknadens parter och förbättra tillgången till rättigheter och socialt skydd. </w:t>
      </w:r>
    </w:p>
    <w:p w14:paraId="0255E56D" w14:textId="77777777" w:rsidR="00E040FD" w:rsidRDefault="00740D64">
      <w:pPr>
        <w:pStyle w:val="P68B1DB1-Normal4"/>
        <w:keepNext/>
        <w:spacing w:before="40" w:after="0" w:line="259" w:lineRule="auto"/>
        <w:jc w:val="both"/>
        <w:rPr>
          <w:rFonts w:eastAsiaTheme="minorEastAsia" w:cs="Times New Roman"/>
          <w:noProof/>
        </w:rPr>
      </w:pPr>
      <w:r>
        <w:rPr>
          <w:noProof/>
        </w:rPr>
        <w:t>Genomförandet av reformen ska vara slutfört senast den 31 mars 2023.</w:t>
      </w:r>
    </w:p>
    <w:p w14:paraId="344F2E16"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Reform RE-r18: Bekämpning av ojämlikhet mellan kvinnor och män</w:t>
      </w:r>
    </w:p>
    <w:p w14:paraId="5CA7D144" w14:textId="77777777" w:rsidR="00E040FD" w:rsidRDefault="00740D64">
      <w:pPr>
        <w:pStyle w:val="P68B1DB1-Normal4"/>
        <w:spacing w:before="40" w:after="0" w:line="259" w:lineRule="auto"/>
        <w:jc w:val="both"/>
        <w:rPr>
          <w:rFonts w:eastAsiaTheme="minorEastAsia" w:cs="Times New Roman"/>
          <w:noProof/>
        </w:rPr>
      </w:pPr>
      <w:r>
        <w:rPr>
          <w:noProof/>
        </w:rPr>
        <w:t>Syftet med denna reform är att främja jämställdhet i fråga om lön mellan könen, lika karriärmöjligheter och motverka könsstereotyper och segregering i valet av yrkeskarriär. Den bygger i stor utsträckning på befintlig lagstiftning, särskilt om lika lön (lag nr 60/2018) och på en balanserad representation i styrelserna (lagarna nr 62/2017 och nr 26/2019).</w:t>
      </w:r>
    </w:p>
    <w:p w14:paraId="6089F955" w14:textId="6C5F614E" w:rsidR="00E040FD" w:rsidRDefault="00740D64">
      <w:pPr>
        <w:pStyle w:val="P68B1DB1-Normal4"/>
        <w:spacing w:before="40" w:after="0" w:line="259" w:lineRule="auto"/>
        <w:jc w:val="both"/>
        <w:rPr>
          <w:rFonts w:eastAsiaTheme="minorEastAsia" w:cs="Times New Roman"/>
          <w:noProof/>
        </w:rPr>
      </w:pPr>
      <w:r>
        <w:rPr>
          <w:noProof/>
        </w:rPr>
        <w:t xml:space="preserve">Lagstiftningen om lika lön skapade mekanismer för att genomföra principen om lika lön för lika eller likvärdigt arbete, vilket tvingade företagen att ha en transparent ersättningspolicy. Från och med 2021 har en rapport om löneskillnader mellan könen tagits fram av en avdelning inom ministeriet för sysselsättning och social trygghet för varje företag med mer än 50 arbetstagare, som omfattar löneskillnader mellan könen. </w:t>
      </w:r>
    </w:p>
    <w:p w14:paraId="2D14154A" w14:textId="2BB01CB6" w:rsidR="00E040FD" w:rsidRDefault="00740D64">
      <w:pPr>
        <w:pStyle w:val="P68B1DB1-Normal4"/>
        <w:spacing w:before="40" w:after="0" w:line="259" w:lineRule="auto"/>
        <w:jc w:val="both"/>
        <w:rPr>
          <w:rFonts w:eastAsiaTheme="minorEastAsia" w:cs="Times New Roman"/>
          <w:noProof/>
        </w:rPr>
      </w:pPr>
      <w:r>
        <w:rPr>
          <w:noProof/>
        </w:rPr>
        <w:t xml:space="preserve">Från och med 2025 ska företag med mer än 50 arbetstagare som har betydande skillnader i lönenivåer mellan könen för samma arbeten vara skyldiga att lämna in en handlingsplan till yrkesinspektionsdirektoratet för att komma till rätta med dessa skillnader genom att genomföra handlingsplanen. </w:t>
      </w:r>
    </w:p>
    <w:p w14:paraId="76818DD3" w14:textId="77777777" w:rsidR="00E040FD" w:rsidRDefault="00740D64">
      <w:pPr>
        <w:pStyle w:val="P68B1DB1-Normal4"/>
        <w:spacing w:before="40" w:after="0" w:line="259" w:lineRule="auto"/>
        <w:jc w:val="both"/>
        <w:rPr>
          <w:rFonts w:eastAsiaTheme="minorEastAsia" w:cs="Times New Roman"/>
          <w:noProof/>
        </w:rPr>
      </w:pPr>
      <w:r>
        <w:rPr>
          <w:noProof/>
        </w:rPr>
        <w:t>Reformen ska också omfatta ett frivilligt system baserat på Island Norm ÍST 85: 2012, ge offentligt erkännande till företag som faktiskt har genomfört en politik för lika lön. Intyget ska utformas så att det bekräftas att när lönebeslut fattas grundas de helt och hållet på relevanta överväganden.</w:t>
      </w:r>
    </w:p>
    <w:p w14:paraId="632ABE9A" w14:textId="77777777" w:rsidR="00E040FD" w:rsidRDefault="00740D64">
      <w:pPr>
        <w:pStyle w:val="P68B1DB1-Normal4"/>
        <w:spacing w:before="40" w:after="0" w:line="259" w:lineRule="auto"/>
        <w:jc w:val="both"/>
        <w:rPr>
          <w:rFonts w:eastAsiaTheme="minorEastAsia" w:cs="Times New Roman"/>
          <w:noProof/>
        </w:rPr>
      </w:pPr>
      <w:r>
        <w:rPr>
          <w:noProof/>
        </w:rPr>
        <w:t>Genomförandet av reformen ska vara slutfört senast den 31 december 2024.</w:t>
      </w:r>
    </w:p>
    <w:p w14:paraId="79DF09F6" w14:textId="3D240655"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RE-C06-i01: Modernisering av yrkesutbildningsanstalter</w:t>
      </w:r>
    </w:p>
    <w:p w14:paraId="7C8E1168" w14:textId="2C3A9FEC" w:rsidR="00E040FD" w:rsidRDefault="00740D64">
      <w:pPr>
        <w:pStyle w:val="P68B1DB1-Normal4"/>
        <w:jc w:val="both"/>
        <w:rPr>
          <w:rFonts w:eastAsiaTheme="minorEastAsia" w:cs="Times New Roman"/>
          <w:noProof/>
        </w:rPr>
      </w:pPr>
      <w:r>
        <w:rPr>
          <w:noProof/>
        </w:rPr>
        <w:t xml:space="preserve">Syftet med denna investering är bland annat att installera och modernisera specialiserade teknikcentrum i offentliga gymnasieskolor med yrkesutbildningar och yrkesskolor samt i privata och kooperativa utbildningsanstalter som erbjuder yrkesutbildning. Dessutom omfattar målen att bredda och modernisera nätverket av yrkesutbildningscentrum för den offentliga arbetsförmedlingen (IEFP), nätverket av skolor inom den nationella turistmyndigheten (Turismo de Portugal) och för att göra utbildningen mer marknadsrelevant och anpassad till den miljömässiga, digitala, demografiska och industriella omvandlingen. </w:t>
      </w:r>
    </w:p>
    <w:p w14:paraId="713ECA79" w14:textId="77777777" w:rsidR="00E040FD" w:rsidRDefault="00740D64">
      <w:pPr>
        <w:pStyle w:val="P68B1DB1-Normal4"/>
        <w:spacing w:before="40" w:after="0" w:line="259" w:lineRule="auto"/>
        <w:jc w:val="both"/>
        <w:rPr>
          <w:rFonts w:eastAsiaTheme="minorEastAsia" w:cs="Times New Roman"/>
          <w:noProof/>
        </w:rPr>
      </w:pPr>
      <w:r>
        <w:rPr>
          <w:noProof/>
        </w:rPr>
        <w:t xml:space="preserve">Denna investering ska bestå av </w:t>
      </w:r>
    </w:p>
    <w:p w14:paraId="65A279D3" w14:textId="59E91174" w:rsidR="00E040FD" w:rsidRDefault="00740D64">
      <w:pPr>
        <w:pStyle w:val="P68B1DB1-Normal4"/>
        <w:numPr>
          <w:ilvl w:val="0"/>
          <w:numId w:val="43"/>
        </w:numPr>
        <w:spacing w:before="40" w:after="160" w:line="259" w:lineRule="auto"/>
        <w:ind w:left="714" w:hanging="357"/>
        <w:jc w:val="both"/>
        <w:rPr>
          <w:rFonts w:eastAsiaTheme="minorEastAsia" w:cs="Times New Roman"/>
          <w:noProof/>
        </w:rPr>
      </w:pPr>
      <w:r>
        <w:rPr>
          <w:noProof/>
        </w:rPr>
        <w:t>installation och modernisering av 365 specialiserade teknikcentrum i gymnasieskolor som erbjuder yrkesutbildningar och yrkesskolor, varav 115 (industricentrum), 30 (centrum för förnybar energi), 195 (centrum för datavetenskap) och 25 (Digitala centrum och multimediecenter). De specialiserade teknikcentrumen ska förvaltas av cheferna för det offentliga nätverkets skolor eller av privata enheter. Denna investering omfattar modernisering och upprustning av befintliga anläggningar och befintlig infrastruktur samt förvärv av tekniska utbildningsresurser (utrustning), utvidgning och modernisering av nätverket av centrum för yrkesutbildning inom den offentliga arbetsförmedlingen (IEFP), antingen direkt förvaltade eller genom koncessioner, och nätverket av skolor vid den nationella turistmyndigheten (Turismo de Portugal) i Portugal. Planen för modernisering av utrustningen i IEFP:s nätverk av yrkesutbildningscentrum omfattar inköp av följande typer av utrustning: i) förnybar energi, II) digitalisering av industrin. III) flygteknik. IV) digitalisering av handeln. och v) marksimulatorer. Denna delinvestering förväntas göra det möjligt att uppgradera 22 000 utbildningsplatser.</w:t>
      </w:r>
    </w:p>
    <w:p w14:paraId="5288888F" w14:textId="77777777" w:rsidR="00E040FD" w:rsidRDefault="00740D64">
      <w:pPr>
        <w:pStyle w:val="P68B1DB1-Normal4"/>
        <w:spacing w:before="120" w:after="0" w:line="259" w:lineRule="auto"/>
        <w:jc w:val="both"/>
        <w:rPr>
          <w:rFonts w:eastAsiaTheme="minorEastAsia" w:cs="Times New Roman"/>
          <w:noProof/>
        </w:rPr>
      </w:pPr>
      <w:r>
        <w:rPr>
          <w:noProof/>
        </w:rPr>
        <w:t>Investeringen ska vara genomförd senast den 31 december 2025.</w:t>
      </w:r>
    </w:p>
    <w:p w14:paraId="5AEBBD6D" w14:textId="0B50F649"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RE-C06-i02: Åtagande om hållbar sysselsättning</w:t>
      </w:r>
    </w:p>
    <w:p w14:paraId="20CED285" w14:textId="5D4F76FD" w:rsidR="00E040FD" w:rsidRDefault="00740D64">
      <w:pPr>
        <w:pStyle w:val="P68B1DB1-Normal4"/>
        <w:spacing w:before="40" w:after="0" w:line="259" w:lineRule="auto"/>
        <w:jc w:val="both"/>
        <w:rPr>
          <w:rFonts w:eastAsiaTheme="minorEastAsia" w:cs="Times New Roman"/>
          <w:noProof/>
        </w:rPr>
      </w:pPr>
      <w:r>
        <w:rPr>
          <w:noProof/>
        </w:rPr>
        <w:t>Syftet med denna investering är att skapa permanenta och högkvalitativa anställningsavtal inom ramen för programmet för åtaganden för hållbar sysselsättning och att minska segmenteringen av arbetsmarknaden bland alla grupper, inklusive ungdomar.</w:t>
      </w:r>
    </w:p>
    <w:p w14:paraId="396EFC94" w14:textId="3882AB7D" w:rsidR="00E040FD" w:rsidRDefault="00740D64">
      <w:pPr>
        <w:pStyle w:val="P68B1DB1-Normal4"/>
        <w:spacing w:before="40" w:after="0" w:line="259" w:lineRule="auto"/>
        <w:jc w:val="both"/>
        <w:rPr>
          <w:rFonts w:eastAsiaTheme="minorEastAsia" w:cs="Times New Roman"/>
          <w:noProof/>
        </w:rPr>
      </w:pPr>
      <w:r>
        <w:rPr>
          <w:noProof/>
        </w:rPr>
        <w:t xml:space="preserve">För att påskynda återgången till arbetsmarknaden får arbetsgivarna tillfälliga subventioner i utbyte mot att erbjuda tillsvidareanställningar med tillräckliga löner. Arbetsgivaren får minst 5 266 EUR (12 gånger det sociala stödindexet, som används som referens för beräkningen av olika socialförsäkringsförmåner) för varje arbetstillfälle som skapas. Detta belopp kan höjas beroende på utvecklingen och behoven på arbetsmarknaden, inbegripet olika målgrupper, särskilt ungdomar, enligt definitionen i åtagandet om hållbar sysselsättning (regeringsförordning nr 38/2022, i dess ändrade lydelse). Ökningarna är kumulativa enligt ovannämnda regeringsförordning. . Dessutom skulle det ekonomiska stödet kunna kompletteras för att anställa en person av det underrepresenterade könet inom detta yrke. Tilläggsbeloppen är kumulativa. Dessutom ska arbetsgivarna få stöd motsvarande 50 % av deras socialförsäkringsavgifter under en period av ett år (14 månader). Denna åtgärd förväntas stödja skapandet av 30 000 permanenta arbetstillfällen. Åtgärden förväntas pågå i ett år, men kan förlängas med ytterligare två. Med tanke på behovet av att säkerställa den privata sektorns deltagande i systemet ska dess genomförande inledas vid tidpunkten för den ekonomiska återhämtningen. </w:t>
      </w:r>
    </w:p>
    <w:p w14:paraId="71DC7F72" w14:textId="07F99994" w:rsidR="00E040FD" w:rsidRDefault="00740D64">
      <w:pPr>
        <w:pStyle w:val="P68B1DB1-Normal4"/>
        <w:spacing w:before="40" w:after="0" w:line="259" w:lineRule="auto"/>
        <w:jc w:val="both"/>
        <w:rPr>
          <w:rFonts w:eastAsiaTheme="minorEastAsia" w:cs="Times New Roman"/>
          <w:noProof/>
        </w:rPr>
      </w:pPr>
      <w:r>
        <w:rPr>
          <w:noProof/>
        </w:rPr>
        <w:t>Investeringen ska vara genomförd senast den 31 december 2024.</w:t>
      </w:r>
    </w:p>
    <w:p w14:paraId="331235C5"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RE-C06-i03: Incitament för vuxna</w:t>
      </w:r>
    </w:p>
    <w:p w14:paraId="5CA59C0F" w14:textId="0D857AF7" w:rsidR="00E040FD" w:rsidRDefault="00740D64">
      <w:pPr>
        <w:pStyle w:val="P68B1DB1-Normal4"/>
        <w:spacing w:before="40" w:after="0" w:line="259" w:lineRule="auto"/>
        <w:jc w:val="both"/>
        <w:rPr>
          <w:rFonts w:eastAsiaTheme="minorEastAsia" w:cs="Times New Roman"/>
          <w:noProof/>
        </w:rPr>
      </w:pPr>
      <w:r>
        <w:rPr>
          <w:noProof/>
        </w:rPr>
        <w:t xml:space="preserve">Syftet med denna investering är att genomföra en flerfaldig strategi för att öka kvalifikationerna hos den vuxna befolkningen som är 18 år eller äldre, vilket inbegriper följande: främja vuxenutbildning genom en uppskalning av den nationella planen för vuxnas läs- och skrivkunnighet för att förbättra grundläggande läs- och skrivkunnighet, räknefärdighet och digitala färdigheter, II) öka vuxnas deltagande och slutförandegrad i processerna för erkännande, validering och certifiering av kompetenser (RVCC). och iii) utveckla erbjudanden om högre utbildning för vuxna, t.ex. kortvariga kurser. </w:t>
      </w:r>
    </w:p>
    <w:p w14:paraId="5860CEF4" w14:textId="3F0B0075"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ska bestå av följande: </w:t>
      </w:r>
    </w:p>
    <w:p w14:paraId="14F048E0" w14:textId="77777777" w:rsidR="00E040FD" w:rsidRDefault="00740D64">
      <w:pPr>
        <w:pStyle w:val="P68B1DB1-Normal4"/>
        <w:keepNext/>
        <w:numPr>
          <w:ilvl w:val="0"/>
          <w:numId w:val="45"/>
        </w:numPr>
        <w:spacing w:before="40" w:after="160" w:line="259" w:lineRule="auto"/>
        <w:contextualSpacing/>
        <w:jc w:val="both"/>
        <w:rPr>
          <w:rFonts w:eastAsiaTheme="minorEastAsia" w:cs="Times New Roman"/>
          <w:noProof/>
        </w:rPr>
      </w:pPr>
      <w:r>
        <w:rPr>
          <w:noProof/>
        </w:rPr>
        <w:t xml:space="preserve">inom ramen för kvalificeringsprogrammet </w:t>
      </w:r>
      <w:r>
        <w:rPr>
          <w:i/>
          <w:noProof/>
        </w:rPr>
        <w:t>ska</w:t>
      </w:r>
      <w:r>
        <w:rPr>
          <w:noProof/>
        </w:rPr>
        <w:t xml:space="preserve"> den nationella planen för läs- och skrivkunnighet för vuxna utökas med 225 lokala projekt som leder till nivåerna B1/B2/B3. Denna åtgärd ska förvaltas av den nationella byrån för kvalifikationer och yrkesutbildning (ANQEP). Varje projekt har kapacitet att öppna 100 lediga tjänster, vilket ger totalt cirka 22 500 deltagare. Förutom inköp av pedagogisk utrustning och förbrukningsmateriel och betalning av utbildningspersonal ska denna delinvestering vid behov ge vissa subventioner till deltagarna, deras arbetsgivare och lokala medlare.</w:t>
      </w:r>
    </w:p>
    <w:p w14:paraId="612871DF" w14:textId="0B0AB797" w:rsidR="00E040FD" w:rsidRDefault="00740D64">
      <w:pPr>
        <w:pStyle w:val="P68B1DB1-Normal4"/>
        <w:keepNext/>
        <w:numPr>
          <w:ilvl w:val="0"/>
          <w:numId w:val="45"/>
        </w:numPr>
        <w:spacing w:before="40" w:after="160" w:line="259" w:lineRule="auto"/>
        <w:contextualSpacing/>
        <w:jc w:val="both"/>
        <w:rPr>
          <w:rFonts w:eastAsiaTheme="minorEastAsia" w:cs="Times New Roman"/>
          <w:noProof/>
        </w:rPr>
      </w:pPr>
      <w:r>
        <w:rPr>
          <w:noProof/>
        </w:rPr>
        <w:t xml:space="preserve">inom ramen för </w:t>
      </w:r>
      <w:r>
        <w:rPr>
          <w:i/>
          <w:noProof/>
        </w:rPr>
        <w:t>Qualifica-programmet</w:t>
      </w:r>
      <w:r>
        <w:rPr>
          <w:noProof/>
        </w:rPr>
        <w:t xml:space="preserve"> är acelerador qualifica </w:t>
      </w:r>
      <w:r>
        <w:rPr>
          <w:i/>
          <w:noProof/>
        </w:rPr>
        <w:t>en ny</w:t>
      </w:r>
      <w:r>
        <w:rPr>
          <w:noProof/>
        </w:rPr>
        <w:t>åtgärd för att ge ekonomiskt stöd till vuxna under deras RVCC-processer. Denna åtgärd ska förvaltas av den nationella byrån för kvalifikationer och yrkesutbildning (ANQEP). Varje vuxen som deltar ska få ekonomiskt stöd upp till 1,25 IAS. Det totala antalet deltagare i RVCC-processer uppskattas till 100 000 personer.</w:t>
      </w:r>
    </w:p>
    <w:p w14:paraId="67A55033" w14:textId="77777777" w:rsidR="00E040FD" w:rsidRDefault="00740D64">
      <w:pPr>
        <w:pStyle w:val="P68B1DB1-Normal4"/>
        <w:keepNext/>
        <w:numPr>
          <w:ilvl w:val="0"/>
          <w:numId w:val="45"/>
        </w:numPr>
        <w:spacing w:before="40" w:after="160" w:line="259" w:lineRule="auto"/>
        <w:contextualSpacing/>
        <w:jc w:val="both"/>
        <w:rPr>
          <w:rFonts w:eastAsiaTheme="minorEastAsia" w:cs="Times New Roman"/>
          <w:noProof/>
        </w:rPr>
      </w:pPr>
      <w:r>
        <w:rPr>
          <w:noProof/>
        </w:rPr>
        <w:t>främja samarbetsnätverk mellan högre utbildningsanstalter, företag och andra intressenter genom stöd från nya forskarskolor/program/allianser, i form av gemensamma samarbetsprogram som omfattar utbildnings-, forsknings- och innovationsverksamhet och initiativ för att utveckla korta kurser inom högre utbildning som syftar till att främja livslångt lärande (omskolning och kompetenshöjning). Investeringen ska bestå av bidrag för genomförandet av integrerade program som omfattar totalt 23 000 studenter under perioden 2021–2025, inklusive installations- och utrustningskostnader, studentstöd och högre utbildningsanstalters utgifter i samband med tillhandahållandet av kurserna. Konsortier ska väljas ut genom ett öppet anbudsförfarande.</w:t>
      </w:r>
    </w:p>
    <w:p w14:paraId="4C02ACB6" w14:textId="77777777" w:rsidR="00E040FD" w:rsidRDefault="00740D64">
      <w:pPr>
        <w:pStyle w:val="P68B1DB1-Normal4"/>
        <w:spacing w:before="40" w:after="0" w:line="259" w:lineRule="auto"/>
        <w:jc w:val="both"/>
        <w:rPr>
          <w:rFonts w:eastAsiaTheme="minorEastAsia" w:cs="Times New Roman"/>
          <w:noProof/>
        </w:rPr>
      </w:pPr>
      <w:r>
        <w:rPr>
          <w:noProof/>
        </w:rPr>
        <w:t>Investeringen ska vara genomförd senast den 31 december 2025.</w:t>
      </w:r>
    </w:p>
    <w:p w14:paraId="1DA8A972" w14:textId="293B4D84"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RE-C06-i04: Ungas impuls – STEAM</w:t>
      </w:r>
    </w:p>
    <w:p w14:paraId="6A794065" w14:textId="77777777" w:rsidR="00E040FD" w:rsidRDefault="00740D64">
      <w:pPr>
        <w:pStyle w:val="P68B1DB1-Normal4"/>
        <w:spacing w:before="40" w:after="0" w:line="259" w:lineRule="auto"/>
        <w:jc w:val="both"/>
        <w:rPr>
          <w:rFonts w:eastAsiaTheme="minorEastAsia" w:cs="Times New Roman"/>
          <w:noProof/>
        </w:rPr>
      </w:pPr>
      <w:r>
        <w:rPr>
          <w:noProof/>
        </w:rPr>
        <w:t xml:space="preserve">Syftet med denna investering är att </w:t>
      </w:r>
    </w:p>
    <w:p w14:paraId="48A8558E" w14:textId="77777777" w:rsidR="00E040FD" w:rsidRDefault="00740D64">
      <w:pPr>
        <w:pStyle w:val="P68B1DB1-Normal4"/>
        <w:keepNext/>
        <w:numPr>
          <w:ilvl w:val="0"/>
          <w:numId w:val="46"/>
        </w:numPr>
        <w:spacing w:before="40" w:after="160" w:line="259" w:lineRule="auto"/>
        <w:contextualSpacing/>
        <w:jc w:val="both"/>
        <w:rPr>
          <w:rFonts w:eastAsiaTheme="minorEastAsia" w:cs="Times New Roman"/>
          <w:noProof/>
        </w:rPr>
      </w:pPr>
      <w:r>
        <w:rPr>
          <w:noProof/>
        </w:rPr>
        <w:t>att öka inskrivningsgraden inom naturvetenskap, teknik, ingenjörsvetenskap, humaniora och matematik (STEAM), inbegripet i it-kurser. och</w:t>
      </w:r>
    </w:p>
    <w:p w14:paraId="7CE713E1" w14:textId="77777777" w:rsidR="00E040FD" w:rsidRDefault="00740D64">
      <w:pPr>
        <w:pStyle w:val="P68B1DB1-Normal4"/>
        <w:keepNext/>
        <w:numPr>
          <w:ilvl w:val="0"/>
          <w:numId w:val="46"/>
        </w:numPr>
        <w:spacing w:before="40" w:after="160" w:line="259" w:lineRule="auto"/>
        <w:contextualSpacing/>
        <w:jc w:val="both"/>
        <w:rPr>
          <w:rFonts w:eastAsiaTheme="minorEastAsia" w:cs="Times New Roman"/>
          <w:noProof/>
        </w:rPr>
      </w:pPr>
      <w:r>
        <w:rPr>
          <w:noProof/>
        </w:rPr>
        <w:t>att tillhandahålla lämpliga anläggningar för vetenskaplig utbildning i andra skolor än högskolor för att öka intresset för naturvetenskapliga ämnen.</w:t>
      </w:r>
    </w:p>
    <w:p w14:paraId="42904022" w14:textId="6ABF32E6" w:rsidR="00E040FD" w:rsidRDefault="00740D64">
      <w:pPr>
        <w:pStyle w:val="P68B1DB1-Normal4"/>
        <w:spacing w:before="40" w:after="0" w:line="259" w:lineRule="auto"/>
        <w:jc w:val="both"/>
        <w:rPr>
          <w:rFonts w:eastAsiaTheme="minorEastAsia" w:cs="Times New Roman"/>
          <w:noProof/>
        </w:rPr>
      </w:pPr>
      <w:r>
        <w:rPr>
          <w:noProof/>
        </w:rPr>
        <w:t>Denna åtgärd ska inriktas på högskolor (både universitet och högskolor). Tilldelningen av medel ska ske genom ett öppet anbudsförfarande. Denna investering ska bestå i att högre utbildningsanstalter genomför program i partnerskap med offentliga och/eller privata arbetsgivare och andra intressenter, inbegripet gymnasieskolor. De kan ta formen av skolor/program/allianser, i form av gemensamma samarbetsprogram som omfattar verksamhet och initiativ för utbildning, forskning och innovation, som syftar till att förbättra den grundläggande högre utbildningen och öka antalet utexaminerade inom naturvetenskap, teknik, ingenjörsvetenskap, ingenjörsvetenskap och matematik, genom att erbjuda grundutbildning och andra grundkurser för högre utbildning (t.ex. högre tekniska yrkeskurser när det gäller tekniska högskolor). Programmen ska omfatta modernisering och utvidgning av anläggningar för att ta hänsyn till det ökade antalet studenter, studentincitament och andra utgifter för lärosäten i samband med tillhandahållandet av kurserna.</w:t>
      </w:r>
    </w:p>
    <w:p w14:paraId="1D9CCCC0" w14:textId="4B6ACEC1" w:rsidR="00E040FD" w:rsidRDefault="00740D64">
      <w:pPr>
        <w:pStyle w:val="P68B1DB1-Normal4"/>
        <w:keepNext/>
        <w:spacing w:before="40" w:after="0" w:line="259" w:lineRule="auto"/>
        <w:jc w:val="both"/>
        <w:rPr>
          <w:rFonts w:eastAsiaTheme="minorEastAsia" w:cs="Times New Roman"/>
          <w:noProof/>
        </w:rPr>
      </w:pPr>
      <w:r>
        <w:rPr>
          <w:noProof/>
        </w:rPr>
        <w:t>Investeringarna ska också förbättra kompetensen inom STEAM-områdena genom utvidgningen av nätverket av klubbar ”Ciência Viva”, klubbar vid skolor (från grundskola till gymnasium), med huvudsaklig inriktning på STEAM-områden, digitalt innehåll och digitalt material. främja partnerskap mellan skolor och det civila samhället, universitet och forskningscentrum samt anordna seminarier och workshoppar. Det förväntas stödja minst 650 projekt.</w:t>
      </w:r>
    </w:p>
    <w:p w14:paraId="3B7F9040" w14:textId="77777777" w:rsidR="00E040FD" w:rsidRDefault="00740D64">
      <w:pPr>
        <w:pStyle w:val="P68B1DB1-Normal4"/>
        <w:keepNext/>
        <w:spacing w:before="40" w:after="0" w:line="259" w:lineRule="auto"/>
        <w:contextualSpacing/>
        <w:jc w:val="both"/>
        <w:rPr>
          <w:rFonts w:eastAsiaTheme="minorEastAsia" w:cs="Times New Roman"/>
          <w:noProof/>
        </w:rPr>
      </w:pPr>
      <w:r>
        <w:rPr>
          <w:noProof/>
        </w:rPr>
        <w:t>Investeringen ska vara genomförd senast den 31 december 2025.</w:t>
      </w:r>
    </w:p>
    <w:p w14:paraId="27CDA957"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RE-C06-i05-RAA: Kvalifikationer för vuxna och livslångt lärande (ARA)</w:t>
      </w:r>
    </w:p>
    <w:p w14:paraId="17E62A07" w14:textId="604971D4" w:rsidR="00E040FD" w:rsidRDefault="00740D64">
      <w:pPr>
        <w:pStyle w:val="P68B1DB1-Normal4"/>
        <w:spacing w:before="40" w:after="0" w:line="259" w:lineRule="auto"/>
        <w:jc w:val="both"/>
        <w:rPr>
          <w:rFonts w:eastAsiaTheme="minorEastAsia" w:cs="Times New Roman"/>
          <w:noProof/>
        </w:rPr>
      </w:pPr>
      <w:r>
        <w:rPr>
          <w:noProof/>
        </w:rPr>
        <w:t>Syftet med denna investering är att ta itu med det allvarliga problemet med låga kvalifikationsnivåer i den autonoma regionen Azorerna jämfört med både Portugal som helhet och med Europeiska unionen. De låga kvalifikationsnivåerna utgör en stor flaskhals för framväxten och diversifieringen av nya företag och för hållbar utveckling, eftersom de hänger samman med låg produktivitet och låga löner och bristande motståndskraft under den ekonomiska krisen. Investeringar för att tillgodose särskilda utbildningsbehov i den autonoma regionen Azorerna ska komplettera åtgärder inom ramen för ESF + som återspeglas i det relevanta operativa program som håller på att förhandlas fram för den fleråriga budgetramen 2021–2027.</w:t>
      </w:r>
    </w:p>
    <w:p w14:paraId="73E70397" w14:textId="77777777" w:rsidR="00E040FD" w:rsidRDefault="00740D64">
      <w:pPr>
        <w:pStyle w:val="P68B1DB1-Normal4"/>
        <w:spacing w:before="40" w:after="0" w:line="259" w:lineRule="auto"/>
        <w:jc w:val="both"/>
        <w:rPr>
          <w:rFonts w:eastAsiaTheme="minorEastAsia" w:cs="Times New Roman"/>
          <w:noProof/>
        </w:rPr>
      </w:pPr>
      <w:r>
        <w:rPr>
          <w:noProof/>
        </w:rPr>
        <w:t xml:space="preserve">Investeringen ska bestå av följande: </w:t>
      </w:r>
    </w:p>
    <w:p w14:paraId="0081A8C7" w14:textId="6B92010D" w:rsidR="00E040FD" w:rsidRDefault="00740D64">
      <w:pPr>
        <w:pStyle w:val="P68B1DB1-Normal4"/>
        <w:keepNext/>
        <w:numPr>
          <w:ilvl w:val="0"/>
          <w:numId w:val="47"/>
        </w:numPr>
        <w:spacing w:before="40" w:after="160" w:line="259" w:lineRule="auto"/>
        <w:contextualSpacing/>
        <w:jc w:val="both"/>
        <w:rPr>
          <w:rFonts w:eastAsiaTheme="minorEastAsia" w:cs="Times New Roman"/>
          <w:noProof/>
        </w:rPr>
      </w:pPr>
      <w:r>
        <w:rPr>
          <w:noProof/>
        </w:rPr>
        <w:t xml:space="preserve">en ökning av antalet vuxna som deltar i eftergymnasial utbildning och högre utbildning. och </w:t>
      </w:r>
    </w:p>
    <w:p w14:paraId="09348395" w14:textId="5B3F3D0B" w:rsidR="00E040FD" w:rsidRDefault="00740D64">
      <w:pPr>
        <w:pStyle w:val="P68B1DB1-Normal4"/>
        <w:keepNext/>
        <w:numPr>
          <w:ilvl w:val="0"/>
          <w:numId w:val="47"/>
        </w:numPr>
        <w:spacing w:before="40" w:after="160" w:line="259" w:lineRule="auto"/>
        <w:contextualSpacing/>
        <w:jc w:val="both"/>
        <w:rPr>
          <w:rFonts w:eastAsiaTheme="minorEastAsia" w:cs="Times New Roman"/>
          <w:noProof/>
        </w:rPr>
      </w:pPr>
      <w:r>
        <w:rPr>
          <w:noProof/>
        </w:rPr>
        <w:t xml:space="preserve">modernisering av 16 yrkesskolor och ett offentligt utbildningsinstitut med </w:t>
      </w:r>
      <w:r>
        <w:rPr>
          <w:noProof/>
          <w:shd w:val="clear" w:color="auto" w:fill="E6E6E6"/>
        </w:rPr>
        <w:t>strukturer</w:t>
      </w:r>
      <w:r>
        <w:rPr>
          <w:noProof/>
        </w:rPr>
        <w:t xml:space="preserve">och utrustning i linje med den tekniska utvecklingen för att renovera verkstäder, laboratorier och datorrum och därmed möjliggöra anpassning till efterfrågan på arbetsmarknaden och ytterligare ökning av antalet praktikanter. </w:t>
      </w:r>
    </w:p>
    <w:p w14:paraId="3EA8A1D4" w14:textId="77777777" w:rsidR="00E040FD" w:rsidRDefault="00740D64">
      <w:pPr>
        <w:pStyle w:val="P68B1DB1-Normal4"/>
        <w:spacing w:before="40" w:after="0" w:line="259" w:lineRule="auto"/>
        <w:jc w:val="both"/>
        <w:rPr>
          <w:rFonts w:eastAsiaTheme="minorEastAsia" w:cs="Times New Roman"/>
          <w:noProof/>
        </w:rPr>
      </w:pPr>
      <w:r>
        <w:rPr>
          <w:noProof/>
        </w:rPr>
        <w:t>Investeringen ska vara genomförd senast den 31 december 2025.</w:t>
      </w:r>
    </w:p>
    <w:p w14:paraId="73AE8E57" w14:textId="266C243F" w:rsidR="00E040FD" w:rsidRDefault="00740D64">
      <w:pPr>
        <w:pStyle w:val="P68B1DB1-Normal5"/>
        <w:keepNext/>
        <w:spacing w:before="240" w:after="0" w:line="259" w:lineRule="auto"/>
        <w:ind w:left="851"/>
        <w:jc w:val="both"/>
        <w:outlineLvl w:val="3"/>
        <w:rPr>
          <w:rFonts w:eastAsiaTheme="minorEastAsia" w:cs="Times New Roman"/>
          <w:noProof/>
        </w:rPr>
      </w:pPr>
      <w:bookmarkStart w:id="16" w:name="_Toc137472452"/>
      <w:r>
        <w:rPr>
          <w:noProof/>
        </w:rPr>
        <w:t>Investering RE-C06-i06: Kapacitet inom vetenskap</w:t>
      </w:r>
      <w:bookmarkEnd w:id="16"/>
    </w:p>
    <w:p w14:paraId="37AD389E" w14:textId="3AE8A3DE" w:rsidR="00E040FD" w:rsidRDefault="00740D64">
      <w:pPr>
        <w:pStyle w:val="P68B1DB1-Normal4"/>
        <w:spacing w:after="0" w:line="259" w:lineRule="auto"/>
        <w:jc w:val="both"/>
        <w:rPr>
          <w:rFonts w:eastAsia="Symbol" w:cs="Times New Roman"/>
          <w:noProof/>
        </w:rPr>
      </w:pPr>
      <w:r>
        <w:rPr>
          <w:noProof/>
        </w:rPr>
        <w:t>Denna investering syftar till att främja utvecklingen av ekosystemet för innovation och entreprenörskap vid högre utbildningsanstalter genom att stödja grundforskning, främja kunskapsöverföring, internationalisering, minska otrygghet för forskare och stärka kopplingen mellan företag och samhälle.</w:t>
      </w:r>
    </w:p>
    <w:p w14:paraId="75DA99F1" w14:textId="77777777" w:rsidR="00E040FD" w:rsidRDefault="00740D64">
      <w:pPr>
        <w:pStyle w:val="P68B1DB1-Normal4"/>
        <w:spacing w:after="0" w:line="259" w:lineRule="auto"/>
        <w:jc w:val="both"/>
        <w:rPr>
          <w:rFonts w:cs="Times New Roman"/>
          <w:noProof/>
        </w:rPr>
      </w:pPr>
      <w:r>
        <w:rPr>
          <w:noProof/>
        </w:rPr>
        <w:t>Investeringen ska bestå av följande delåtgärder:</w:t>
      </w:r>
    </w:p>
    <w:p w14:paraId="5E50B945" w14:textId="77777777" w:rsidR="00E040FD" w:rsidRDefault="00740D64">
      <w:pPr>
        <w:pStyle w:val="ListParagraph"/>
        <w:keepNext w:val="0"/>
        <w:numPr>
          <w:ilvl w:val="0"/>
          <w:numId w:val="74"/>
        </w:numPr>
        <w:spacing w:after="120" w:line="259" w:lineRule="auto"/>
        <w:rPr>
          <w:noProof/>
        </w:rPr>
      </w:pPr>
      <w:r>
        <w:rPr>
          <w:noProof/>
        </w:rPr>
        <w:t xml:space="preserve">Program för förvärv och lagring av talanger, ERC-Portugal och FCT-Tenure: </w:t>
      </w:r>
    </w:p>
    <w:p w14:paraId="59E07CAF" w14:textId="08745C36" w:rsidR="00E040FD" w:rsidRDefault="00740D64">
      <w:pPr>
        <w:pStyle w:val="ListParagraph"/>
        <w:keepNext w:val="0"/>
        <w:numPr>
          <w:ilvl w:val="1"/>
          <w:numId w:val="74"/>
        </w:numPr>
        <w:spacing w:before="120" w:after="120" w:line="259" w:lineRule="auto"/>
        <w:rPr>
          <w:noProof/>
        </w:rPr>
      </w:pPr>
      <w:r>
        <w:rPr>
          <w:noProof/>
        </w:rPr>
        <w:t xml:space="preserve">FCT-upplåtelse: detta program ska stödja rekrytering av 230 doktorander till fasta tjänster som väljs ut genom uttagningsprov. </w:t>
      </w:r>
    </w:p>
    <w:p w14:paraId="141C1FA4" w14:textId="77777777" w:rsidR="00E040FD" w:rsidRDefault="00740D64">
      <w:pPr>
        <w:pStyle w:val="ListParagraph"/>
        <w:keepNext w:val="0"/>
        <w:numPr>
          <w:ilvl w:val="1"/>
          <w:numId w:val="74"/>
        </w:numPr>
        <w:spacing w:before="120" w:after="120" w:line="259" w:lineRule="auto"/>
        <w:rPr>
          <w:noProof/>
        </w:rPr>
      </w:pPr>
      <w:r>
        <w:rPr>
          <w:noProof/>
        </w:rPr>
        <w:t xml:space="preserve">ERC-Portugal: detta program ska stödja forskare vars projekt rekommenderas för finansiering på europeisk eller nationell nivå. Programmet ska också stödja forskare vars EFR-ansökningar rekommenderades för finansiering eller flyttades till den andra utvärderingsfasen men som slutligen inte finansierades. </w:t>
      </w:r>
    </w:p>
    <w:p w14:paraId="15F696CB" w14:textId="77777777" w:rsidR="00E040FD" w:rsidRDefault="00740D64">
      <w:pPr>
        <w:pStyle w:val="ListParagraph"/>
        <w:keepNext w:val="0"/>
        <w:numPr>
          <w:ilvl w:val="0"/>
          <w:numId w:val="74"/>
        </w:numPr>
        <w:spacing w:before="120" w:after="120" w:line="259" w:lineRule="auto"/>
        <w:rPr>
          <w:noProof/>
        </w:rPr>
      </w:pPr>
      <w:r>
        <w:rPr>
          <w:noProof/>
        </w:rPr>
        <w:t xml:space="preserve">Ökad finansiering av internationella partnerskap inom vetenskap, teknik och innovation: </w:t>
      </w:r>
    </w:p>
    <w:p w14:paraId="19879948" w14:textId="5E0AE6F1" w:rsidR="00E040FD" w:rsidRDefault="00740D64">
      <w:pPr>
        <w:pStyle w:val="ListParagraph"/>
        <w:keepNext w:val="0"/>
        <w:numPr>
          <w:ilvl w:val="1"/>
          <w:numId w:val="74"/>
        </w:numPr>
        <w:spacing w:before="120" w:after="120" w:line="259" w:lineRule="auto"/>
        <w:rPr>
          <w:noProof/>
        </w:rPr>
      </w:pPr>
      <w:r>
        <w:rPr>
          <w:noProof/>
        </w:rPr>
        <w:t xml:space="preserve">Främja Portugals deltagande i det europeiska ramprogrammet för forskning och innovation genom att stödja finansiering av projekt med nationellt deltagande som valts ut på europeisk nivå. </w:t>
      </w:r>
    </w:p>
    <w:p w14:paraId="02102059" w14:textId="7DD9AFD1" w:rsidR="00E040FD" w:rsidRDefault="00740D64">
      <w:pPr>
        <w:pStyle w:val="ListParagraph"/>
        <w:keepNext w:val="0"/>
        <w:numPr>
          <w:ilvl w:val="1"/>
          <w:numId w:val="74"/>
        </w:numPr>
        <w:spacing w:before="120" w:after="120" w:line="259" w:lineRule="auto"/>
        <w:rPr>
          <w:noProof/>
        </w:rPr>
      </w:pPr>
      <w:r>
        <w:rPr>
          <w:noProof/>
        </w:rPr>
        <w:t>Möjliggöra internationell rörlighet för 100 nationella forskare.</w:t>
      </w:r>
    </w:p>
    <w:p w14:paraId="3FB5AADB" w14:textId="17C1F357" w:rsidR="00E040FD" w:rsidRDefault="00740D64">
      <w:pPr>
        <w:pStyle w:val="P68B1DB1-Normal4"/>
        <w:spacing w:after="0" w:line="259" w:lineRule="auto"/>
        <w:jc w:val="both"/>
        <w:rPr>
          <w:rFonts w:cs="Times New Roman"/>
          <w:noProof/>
        </w:rPr>
      </w:pPr>
      <w:r>
        <w:rPr>
          <w:noProof/>
        </w:rPr>
        <w:t>Forskning, utveckling och innovation som rör förorenande aspekter (kol, brunkol, olja/petroleum, naturgas, fossilbaserad vätgas, förbränning, deponering, fordon/fartyg med förbränningsmotorer) får inte stödjas om de inte utvecklar (eller deras resultat tillämpas på) ett alternativ med låg påverkan.</w:t>
      </w:r>
    </w:p>
    <w:p w14:paraId="3E1F94E0" w14:textId="77777777" w:rsidR="00E040FD" w:rsidRDefault="00740D64">
      <w:pPr>
        <w:pStyle w:val="P68B1DB1-Normal4"/>
        <w:spacing w:line="259" w:lineRule="auto"/>
        <w:jc w:val="both"/>
        <w:rPr>
          <w:rFonts w:cs="Times New Roman"/>
          <w:noProof/>
        </w:rPr>
      </w:pPr>
      <w:r>
        <w:rPr>
          <w:noProof/>
        </w:rPr>
        <w:t xml:space="preserve">Investeringen ska vara genomförd senast den 31 mars 2026. </w:t>
      </w:r>
    </w:p>
    <w:p w14:paraId="1AD47C87" w14:textId="1DB744CE" w:rsidR="00E040FD" w:rsidRDefault="00740D64">
      <w:pPr>
        <w:pStyle w:val="P68B1DB1-Heading214"/>
        <w:rPr>
          <w:noProof/>
        </w:rPr>
      </w:pPr>
      <w:bookmarkStart w:id="17" w:name="_Toc137472453"/>
      <w:r>
        <w:rPr>
          <w:noProof/>
        </w:rPr>
        <w:t>Investering RE-C06-i07: Mer digital impuls</w:t>
      </w:r>
      <w:bookmarkEnd w:id="17"/>
    </w:p>
    <w:p w14:paraId="64BA1797" w14:textId="341EDAAE" w:rsidR="00E040FD" w:rsidRDefault="00740D64">
      <w:pPr>
        <w:pStyle w:val="P68B1DB1-Normal4"/>
        <w:spacing w:after="0" w:line="259" w:lineRule="auto"/>
        <w:jc w:val="both"/>
        <w:rPr>
          <w:rFonts w:cs="Times New Roman"/>
          <w:noProof/>
        </w:rPr>
      </w:pPr>
      <w:r>
        <w:rPr>
          <w:noProof/>
        </w:rPr>
        <w:t xml:space="preserve">Syftet med åtgärden är att öka jordbruksvetenskapens attraktionskraft för kommande generationer, stödja den medicinska vetenskapen när det gäller att ta till sig digitala och tekniska framsteg och bredda utbildningskapaciteten i digitala färdigheter även till andra områden än STEAM-områden (naturvetenskap, teknik, ingenjörsvetenskap, humaniora, matematik). främja pedagogisk innovation och modernisering och därigenom stimulera akademisk framgång. </w:t>
      </w:r>
    </w:p>
    <w:p w14:paraId="5227DFCF" w14:textId="77777777" w:rsidR="00E040FD" w:rsidRDefault="00740D64">
      <w:pPr>
        <w:pStyle w:val="P68B1DB1-Normal4"/>
        <w:spacing w:after="0" w:line="259" w:lineRule="auto"/>
        <w:jc w:val="both"/>
        <w:rPr>
          <w:rFonts w:cs="Times New Roman"/>
          <w:noProof/>
        </w:rPr>
      </w:pPr>
      <w:r>
        <w:rPr>
          <w:noProof/>
        </w:rPr>
        <w:t>Investeringen ska bestå av följande delåtgärder:</w:t>
      </w:r>
    </w:p>
    <w:p w14:paraId="5EC1EDE0" w14:textId="77777777" w:rsidR="00E040FD" w:rsidRDefault="00740D64">
      <w:pPr>
        <w:pStyle w:val="ListParagraph"/>
        <w:keepNext w:val="0"/>
        <w:numPr>
          <w:ilvl w:val="0"/>
          <w:numId w:val="74"/>
        </w:numPr>
        <w:spacing w:after="0" w:line="259" w:lineRule="auto"/>
        <w:rPr>
          <w:noProof/>
        </w:rPr>
      </w:pPr>
      <w:r>
        <w:rPr>
          <w:noProof/>
        </w:rPr>
        <w:t xml:space="preserve">Teknisk och digital modernisering av jordbruksvetenskaper. delåtgärden ska </w:t>
      </w:r>
    </w:p>
    <w:p w14:paraId="50CF96DF" w14:textId="65473118" w:rsidR="00E040FD" w:rsidRDefault="00740D64">
      <w:pPr>
        <w:pStyle w:val="ListParagraph"/>
        <w:keepNext w:val="0"/>
        <w:numPr>
          <w:ilvl w:val="1"/>
          <w:numId w:val="74"/>
        </w:numPr>
        <w:spacing w:before="120" w:after="0" w:line="259" w:lineRule="auto"/>
        <w:rPr>
          <w:noProof/>
        </w:rPr>
      </w:pPr>
      <w:r>
        <w:rPr>
          <w:noProof/>
        </w:rPr>
        <w:t xml:space="preserve">Reformera 20-examensprogrammen (kandidat-, master- eller bådadera) inom jordbruksvetenskap genom att stärka dess digitala och tekniska komponent, internationalisering och interinstitutionellt samarbete. </w:t>
      </w:r>
    </w:p>
    <w:p w14:paraId="46DBC373" w14:textId="2152DB4A" w:rsidR="00E040FD" w:rsidRDefault="00740D64">
      <w:pPr>
        <w:pStyle w:val="ListParagraph"/>
        <w:keepNext w:val="0"/>
        <w:numPr>
          <w:ilvl w:val="1"/>
          <w:numId w:val="74"/>
        </w:numPr>
        <w:spacing w:before="120" w:after="0" w:line="259" w:lineRule="auto"/>
        <w:rPr>
          <w:noProof/>
        </w:rPr>
      </w:pPr>
      <w:r>
        <w:rPr>
          <w:noProof/>
        </w:rPr>
        <w:t xml:space="preserve">Öppna jordbrukshögskolorna för blivande elever på högstadie- och gymnasienivå </w:t>
      </w:r>
    </w:p>
    <w:p w14:paraId="77E5F5D4" w14:textId="7CCB32EC" w:rsidR="00E040FD" w:rsidRDefault="00740D64">
      <w:pPr>
        <w:pStyle w:val="ListParagraph"/>
        <w:keepNext w:val="0"/>
        <w:numPr>
          <w:ilvl w:val="1"/>
          <w:numId w:val="74"/>
        </w:numPr>
        <w:spacing w:before="120" w:after="0" w:line="259" w:lineRule="auto"/>
        <w:rPr>
          <w:noProof/>
        </w:rPr>
      </w:pPr>
      <w:r>
        <w:rPr>
          <w:noProof/>
        </w:rPr>
        <w:t xml:space="preserve">Stödja omskolning av yrkesverksamma som redan arbetar inom sektorn genom att främja mikromeriter för kortare yrkesutbildning inom högre utbildning och yrkesmästare. </w:t>
      </w:r>
    </w:p>
    <w:p w14:paraId="4C14CB2A" w14:textId="77777777" w:rsidR="00E040FD" w:rsidRDefault="00740D64">
      <w:pPr>
        <w:pStyle w:val="ListParagraph"/>
        <w:keepNext w:val="0"/>
        <w:numPr>
          <w:ilvl w:val="0"/>
          <w:numId w:val="74"/>
        </w:numPr>
        <w:spacing w:before="120" w:after="0" w:line="259" w:lineRule="auto"/>
        <w:rPr>
          <w:noProof/>
        </w:rPr>
      </w:pPr>
      <w:r>
        <w:rPr>
          <w:noProof/>
        </w:rPr>
        <w:t xml:space="preserve">Modernisering av medicinen: delåtgärden ska stödja utbildning i digitala miljöer och medicinsk simulering som riktar sig till studenter och yrkesverksamma inom sektorn. </w:t>
      </w:r>
    </w:p>
    <w:p w14:paraId="54C2DB8E" w14:textId="4E548691" w:rsidR="00E040FD" w:rsidRDefault="00740D64">
      <w:pPr>
        <w:pStyle w:val="ListParagraph"/>
        <w:keepNext w:val="0"/>
        <w:numPr>
          <w:ilvl w:val="0"/>
          <w:numId w:val="74"/>
        </w:numPr>
        <w:spacing w:before="120" w:after="0" w:line="259" w:lineRule="auto"/>
        <w:rPr>
          <w:noProof/>
        </w:rPr>
      </w:pPr>
      <w:r>
        <w:rPr>
          <w:noProof/>
        </w:rPr>
        <w:t xml:space="preserve">Stärka de digitala färdigheterna: delåtgärden ska stödja stärkandet av digitala färdigheter för ungdomar och vuxna inom andra områden än naturvetenskap, teknik, ingenjörsvetenskap och matematik. </w:t>
      </w:r>
    </w:p>
    <w:p w14:paraId="526DB37F" w14:textId="29D44143" w:rsidR="00E040FD" w:rsidRDefault="00740D64">
      <w:pPr>
        <w:pStyle w:val="ListParagraph"/>
        <w:keepNext w:val="0"/>
        <w:numPr>
          <w:ilvl w:val="0"/>
          <w:numId w:val="74"/>
        </w:numPr>
        <w:spacing w:before="120" w:after="0" w:line="259" w:lineRule="auto"/>
        <w:rPr>
          <w:noProof/>
        </w:rPr>
      </w:pPr>
      <w:r>
        <w:rPr>
          <w:noProof/>
        </w:rPr>
        <w:t>Innovation och pedagogisk modernisering inom högre utbildning ska delåtgärden</w:t>
      </w:r>
    </w:p>
    <w:p w14:paraId="558BF1F7" w14:textId="3E15E716" w:rsidR="00E040FD" w:rsidRDefault="00740D64">
      <w:pPr>
        <w:pStyle w:val="ListParagraph"/>
        <w:keepNext w:val="0"/>
        <w:numPr>
          <w:ilvl w:val="1"/>
          <w:numId w:val="74"/>
        </w:numPr>
        <w:spacing w:before="120" w:after="0" w:line="259" w:lineRule="auto"/>
        <w:rPr>
          <w:noProof/>
        </w:rPr>
      </w:pPr>
      <w:r>
        <w:rPr>
          <w:noProof/>
        </w:rPr>
        <w:t xml:space="preserve"> inrätta spetsforskningscentrum </w:t>
      </w:r>
      <w:bookmarkStart w:id="18" w:name="_Hlk143777429"/>
      <w:r>
        <w:rPr>
          <w:noProof/>
        </w:rPr>
        <w:t>för pedagogisk innovation med en stark digital komponent, med fokus på icke-tekniska ämnesområden (samhällsvetenskap, humaniora och konst)</w:t>
      </w:r>
      <w:bookmarkEnd w:id="18"/>
      <w:r>
        <w:rPr>
          <w:noProof/>
        </w:rPr>
        <w:t>.</w:t>
      </w:r>
    </w:p>
    <w:p w14:paraId="74CE80F8" w14:textId="4912FB98" w:rsidR="00E040FD" w:rsidRDefault="00740D64">
      <w:pPr>
        <w:pStyle w:val="ListParagraph"/>
        <w:keepNext w:val="0"/>
        <w:numPr>
          <w:ilvl w:val="1"/>
          <w:numId w:val="74"/>
        </w:numPr>
        <w:spacing w:before="120" w:after="0" w:line="259" w:lineRule="auto"/>
        <w:rPr>
          <w:noProof/>
        </w:rPr>
      </w:pPr>
      <w:bookmarkStart w:id="19" w:name="_Hlk143777454"/>
      <w:r>
        <w:rPr>
          <w:noProof/>
        </w:rPr>
        <w:t>Förbättra finansieringsprogram som syftar till att minska andelen elever som lämnar skolan i förtid inom högre utbildning</w:t>
      </w:r>
      <w:bookmarkEnd w:id="19"/>
      <w:r>
        <w:rPr>
          <w:noProof/>
        </w:rPr>
        <w:t>.</w:t>
      </w:r>
    </w:p>
    <w:p w14:paraId="3136AE0B" w14:textId="77777777" w:rsidR="00E040FD" w:rsidRDefault="00740D64">
      <w:pPr>
        <w:pStyle w:val="P68B1DB1-Normal4"/>
        <w:spacing w:line="259" w:lineRule="auto"/>
        <w:jc w:val="both"/>
        <w:rPr>
          <w:rFonts w:cs="Times New Roman"/>
          <w:noProof/>
        </w:rPr>
      </w:pPr>
      <w:r>
        <w:rPr>
          <w:noProof/>
        </w:rPr>
        <w:t xml:space="preserve">Investeringen ska vara genomförd senast den 30 juni 2026. </w:t>
      </w:r>
    </w:p>
    <w:p w14:paraId="6E920860" w14:textId="1AD743FE" w:rsidR="00E040FD" w:rsidRDefault="00740D64">
      <w:pPr>
        <w:pStyle w:val="P68B1DB1-Heading214"/>
        <w:rPr>
          <w:noProof/>
        </w:rPr>
      </w:pPr>
      <w:bookmarkStart w:id="20" w:name="_Toc137472454"/>
      <w:r>
        <w:rPr>
          <w:noProof/>
        </w:rPr>
        <w:t>Investering RE-C06-i08-RAM: Utbyggnad av CITMA-byggnaden</w:t>
      </w:r>
      <w:bookmarkEnd w:id="20"/>
    </w:p>
    <w:p w14:paraId="73584109" w14:textId="1A6D9427" w:rsidR="00E040FD" w:rsidRDefault="00740D64">
      <w:pPr>
        <w:pStyle w:val="P68B1DB1-Normal4"/>
        <w:spacing w:after="0" w:line="259" w:lineRule="auto"/>
        <w:jc w:val="both"/>
        <w:rPr>
          <w:rFonts w:cs="Times New Roman"/>
          <w:noProof/>
        </w:rPr>
      </w:pPr>
      <w:r>
        <w:rPr>
          <w:noProof/>
        </w:rPr>
        <w:t>Syftet med åtgärden är att säkerställa att det vetenskapliga och tekniska centrumet på Madeira (CITMA) är tillräckligt stort för att tillgodose de nuvarande och framtida behoven vid Madeiras universitet (Uma), för att optimera Umas pedagogiska verksamhet och forskningsverksamhet, med tonvikt på infrastrukturen för polyteknisk utbildning. Detta syftar till att möjliggöra närmare förbindelser mellan den akademiska världen och näringslivet och göra det möjligt att utbyta erfarenheter och resurser.</w:t>
      </w:r>
    </w:p>
    <w:p w14:paraId="1BC3E158" w14:textId="54DD82ED" w:rsidR="00E040FD" w:rsidRDefault="00740D64">
      <w:pPr>
        <w:pStyle w:val="P68B1DB1-Normal4"/>
        <w:spacing w:after="0" w:line="259" w:lineRule="auto"/>
        <w:jc w:val="both"/>
        <w:rPr>
          <w:rFonts w:cs="Times New Roman"/>
          <w:noProof/>
        </w:rPr>
      </w:pPr>
      <w:r>
        <w:rPr>
          <w:noProof/>
        </w:rPr>
        <w:t>Investeringen ska bestå i att lägga till tre våningsplan till den nuvarande byggnaden och utvidga bottenvåningen. Byggnaden ska anpassas till behoven hos personer med nedsatt rörlighet. Vissa områden i byggnaden ska vara justerbara i storlek.</w:t>
      </w:r>
    </w:p>
    <w:p w14:paraId="44A8B62C" w14:textId="4FCC316F" w:rsidR="00E040FD" w:rsidRDefault="00740D64">
      <w:pPr>
        <w:pStyle w:val="P68B1DB1-Normal4"/>
        <w:spacing w:line="259" w:lineRule="auto"/>
        <w:jc w:val="both"/>
        <w:rPr>
          <w:rFonts w:cs="Times New Roman"/>
          <w:noProof/>
        </w:rPr>
      </w:pPr>
      <w:r>
        <w:rPr>
          <w:noProof/>
        </w:rPr>
        <w:t xml:space="preserve">Investeringen ska vara genomförd senast den 30 juni 2026. </w:t>
      </w:r>
    </w:p>
    <w:p w14:paraId="665517EB" w14:textId="77777777" w:rsidR="00E040FD" w:rsidRDefault="00E040FD">
      <w:pPr>
        <w:spacing w:before="40" w:after="0" w:line="259" w:lineRule="auto"/>
        <w:jc w:val="both"/>
        <w:rPr>
          <w:rFonts w:ascii="Times New Roman" w:eastAsiaTheme="minorEastAsia" w:hAnsi="Times New Roman" w:cs="Times New Roman"/>
          <w:noProof/>
          <w:sz w:val="24"/>
        </w:rPr>
      </w:pPr>
    </w:p>
    <w:p w14:paraId="6983890E" w14:textId="77777777" w:rsidR="00E040FD" w:rsidRDefault="00E040FD">
      <w:pPr>
        <w:spacing w:before="40" w:after="0" w:line="259" w:lineRule="auto"/>
        <w:jc w:val="both"/>
        <w:rPr>
          <w:rFonts w:ascii="Times New Roman" w:eastAsiaTheme="minorEastAsia" w:hAnsi="Times New Roman" w:cs="Times New Roman"/>
          <w:noProof/>
          <w:sz w:val="24"/>
        </w:rPr>
      </w:pPr>
    </w:p>
    <w:p w14:paraId="78B6531F" w14:textId="77777777" w:rsidR="00E040FD" w:rsidRDefault="00E040FD">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E040FD" w:rsidSect="00E00EDD">
          <w:headerReference w:type="even" r:id="rId120"/>
          <w:headerReference w:type="default" r:id="rId121"/>
          <w:footerReference w:type="even" r:id="rId122"/>
          <w:footerReference w:type="default" r:id="rId123"/>
          <w:headerReference w:type="first" r:id="rId124"/>
          <w:footerReference w:type="first" r:id="rId125"/>
          <w:pgSz w:w="11907" w:h="16839"/>
          <w:pgMar w:top="1134" w:right="1134" w:bottom="1134" w:left="1134" w:header="567" w:footer="567" w:gutter="0"/>
          <w:cols w:space="720"/>
          <w:docGrid w:linePitch="360"/>
        </w:sectPr>
      </w:pPr>
    </w:p>
    <w:p w14:paraId="059FBF21" w14:textId="77777777" w:rsidR="00E040FD" w:rsidRDefault="00740D64">
      <w:pPr>
        <w:pStyle w:val="P68B1DB1-Normal3"/>
        <w:keepNext/>
        <w:spacing w:before="40" w:after="120" w:line="259" w:lineRule="auto"/>
        <w:ind w:left="130" w:firstLine="720"/>
        <w:jc w:val="both"/>
        <w:outlineLvl w:val="2"/>
        <w:rPr>
          <w:rFonts w:eastAsiaTheme="minorEastAsia" w:cs="Times New Roman"/>
          <w:noProof/>
        </w:rPr>
      </w:pPr>
      <w:r>
        <w:rPr>
          <w:noProof/>
        </w:rPr>
        <w:t>F.2. Delmål, mål, indikatorer och tidsplan för övervakning och genomförande avseende icke återbetalningspliktigt ekonomiskt stöd</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567"/>
        <w:gridCol w:w="708"/>
        <w:gridCol w:w="4395"/>
      </w:tblGrid>
      <w:tr w:rsidR="00E040FD" w14:paraId="2F27C62F" w14:textId="77777777">
        <w:trPr>
          <w:trHeight w:val="910"/>
          <w:tblHeader/>
        </w:trPr>
        <w:tc>
          <w:tcPr>
            <w:tcW w:w="1135" w:type="dxa"/>
            <w:vMerge w:val="restart"/>
            <w:shd w:val="clear" w:color="auto" w:fill="BDD6EE"/>
            <w:vAlign w:val="center"/>
            <w:hideMark/>
          </w:tcPr>
          <w:p w14:paraId="6D1630A3"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vAlign w:val="center"/>
            <w:hideMark/>
          </w:tcPr>
          <w:p w14:paraId="0754D7BA"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vAlign w:val="center"/>
            <w:hideMark/>
          </w:tcPr>
          <w:p w14:paraId="5CE4AD72" w14:textId="5C42A0AE" w:rsidR="00E040FD" w:rsidRDefault="00740D64">
            <w:pPr>
              <w:pStyle w:val="P68B1DB1-Normal6"/>
              <w:spacing w:after="0" w:line="240" w:lineRule="auto"/>
              <w:jc w:val="center"/>
              <w:rPr>
                <w:rFonts w:eastAsia="Times New Roman" w:cs="Times New Roman"/>
                <w:noProof/>
              </w:rPr>
            </w:pPr>
            <w:r>
              <w:rPr>
                <w:noProof/>
              </w:rPr>
              <w:t>Delmål/mål</w:t>
            </w:r>
          </w:p>
        </w:tc>
        <w:tc>
          <w:tcPr>
            <w:tcW w:w="1701" w:type="dxa"/>
            <w:vMerge w:val="restart"/>
            <w:shd w:val="clear" w:color="auto" w:fill="BDD6EE"/>
            <w:vAlign w:val="center"/>
            <w:hideMark/>
          </w:tcPr>
          <w:p w14:paraId="4BDED511"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75" w:type="dxa"/>
            <w:vMerge w:val="restart"/>
            <w:shd w:val="clear" w:color="auto" w:fill="BDD6EE"/>
            <w:vAlign w:val="center"/>
            <w:hideMark/>
          </w:tcPr>
          <w:p w14:paraId="3EA0C12C"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835" w:type="dxa"/>
            <w:gridSpan w:val="3"/>
            <w:shd w:val="clear" w:color="auto" w:fill="BDD6EE"/>
            <w:vAlign w:val="center"/>
            <w:hideMark/>
          </w:tcPr>
          <w:p w14:paraId="381F8037"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vAlign w:val="center"/>
            <w:hideMark/>
          </w:tcPr>
          <w:p w14:paraId="2B867F8B"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4395" w:type="dxa"/>
            <w:vMerge w:val="restart"/>
            <w:shd w:val="clear" w:color="auto" w:fill="BDD6EE"/>
            <w:noWrap/>
            <w:vAlign w:val="center"/>
            <w:hideMark/>
          </w:tcPr>
          <w:p w14:paraId="61D7CEDC"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186265A2" w14:textId="77777777">
        <w:trPr>
          <w:trHeight w:val="470"/>
          <w:tblHeader/>
        </w:trPr>
        <w:tc>
          <w:tcPr>
            <w:tcW w:w="1135" w:type="dxa"/>
            <w:vMerge/>
            <w:vAlign w:val="center"/>
            <w:hideMark/>
          </w:tcPr>
          <w:p w14:paraId="23EAC102"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7FFB2B96"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vAlign w:val="center"/>
            <w:hideMark/>
          </w:tcPr>
          <w:p w14:paraId="61C40CBB" w14:textId="05DF786C" w:rsidR="00E040FD" w:rsidRDefault="00E040FD">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392949DC" w14:textId="77777777" w:rsidR="00E040FD" w:rsidRDefault="00E040FD">
            <w:pPr>
              <w:spacing w:after="0" w:line="240" w:lineRule="auto"/>
              <w:rPr>
                <w:rFonts w:ascii="Times New Roman" w:eastAsia="Times New Roman" w:hAnsi="Times New Roman" w:cs="Times New Roman"/>
                <w:b/>
                <w:noProof/>
                <w:sz w:val="18"/>
              </w:rPr>
            </w:pPr>
          </w:p>
        </w:tc>
        <w:tc>
          <w:tcPr>
            <w:tcW w:w="1275" w:type="dxa"/>
            <w:vMerge/>
            <w:vAlign w:val="center"/>
            <w:hideMark/>
          </w:tcPr>
          <w:p w14:paraId="0003544B" w14:textId="77777777" w:rsidR="00E040FD" w:rsidRDefault="00E040FD">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1AC56CC8"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vAlign w:val="center"/>
            <w:hideMark/>
          </w:tcPr>
          <w:p w14:paraId="22EAFC97"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850" w:type="dxa"/>
            <w:shd w:val="clear" w:color="auto" w:fill="BDD6EE"/>
            <w:vAlign w:val="center"/>
            <w:hideMark/>
          </w:tcPr>
          <w:p w14:paraId="2BE8FC8B"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7" w:type="dxa"/>
            <w:shd w:val="clear" w:color="auto" w:fill="BDD6EE"/>
            <w:vAlign w:val="center"/>
            <w:hideMark/>
          </w:tcPr>
          <w:p w14:paraId="242D2DDD"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74452C72" w14:textId="77777777" w:rsidR="00E040FD" w:rsidRDefault="00740D64">
            <w:pPr>
              <w:pStyle w:val="P68B1DB1-Normal6"/>
              <w:spacing w:after="0" w:line="240" w:lineRule="auto"/>
              <w:jc w:val="center"/>
              <w:rPr>
                <w:rFonts w:eastAsia="Times New Roman" w:cs="Times New Roman"/>
                <w:noProof/>
              </w:rPr>
            </w:pPr>
            <w:r>
              <w:rPr>
                <w:noProof/>
              </w:rPr>
              <w:t>Året</w:t>
            </w:r>
          </w:p>
        </w:tc>
        <w:tc>
          <w:tcPr>
            <w:tcW w:w="4395" w:type="dxa"/>
            <w:vMerge/>
            <w:vAlign w:val="center"/>
            <w:hideMark/>
          </w:tcPr>
          <w:p w14:paraId="1CC6F99B" w14:textId="77777777" w:rsidR="00E040FD" w:rsidRDefault="00E040FD">
            <w:pPr>
              <w:spacing w:after="0" w:line="240" w:lineRule="auto"/>
              <w:rPr>
                <w:rFonts w:ascii="Times New Roman" w:eastAsia="Times New Roman" w:hAnsi="Times New Roman" w:cs="Times New Roman"/>
                <w:b/>
                <w:noProof/>
                <w:sz w:val="18"/>
              </w:rPr>
            </w:pPr>
          </w:p>
        </w:tc>
      </w:tr>
      <w:tr w:rsidR="00E040FD" w14:paraId="79EA62E7" w14:textId="77777777">
        <w:trPr>
          <w:trHeight w:val="640"/>
        </w:trPr>
        <w:tc>
          <w:tcPr>
            <w:tcW w:w="1135" w:type="dxa"/>
            <w:shd w:val="clear" w:color="auto" w:fill="C5EFCE"/>
            <w:vAlign w:val="center"/>
            <w:hideMark/>
          </w:tcPr>
          <w:p w14:paraId="11E1C5C8" w14:textId="77777777" w:rsidR="00E040FD" w:rsidRDefault="00740D64">
            <w:pPr>
              <w:pStyle w:val="P68B1DB1-Normal7"/>
              <w:spacing w:after="0" w:line="240" w:lineRule="auto"/>
              <w:jc w:val="center"/>
              <w:rPr>
                <w:rFonts w:eastAsia="Times New Roman" w:cs="Calibri"/>
                <w:noProof/>
              </w:rPr>
            </w:pPr>
            <w:r>
              <w:rPr>
                <w:noProof/>
              </w:rPr>
              <w:t>6.1</w:t>
            </w:r>
          </w:p>
        </w:tc>
        <w:tc>
          <w:tcPr>
            <w:tcW w:w="1276" w:type="dxa"/>
            <w:shd w:val="clear" w:color="auto" w:fill="C4EFCE"/>
            <w:noWrap/>
            <w:vAlign w:val="center"/>
            <w:hideMark/>
          </w:tcPr>
          <w:p w14:paraId="1D6D398A" w14:textId="77777777" w:rsidR="00E040FD" w:rsidRDefault="00740D64">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0245193C"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FE5CBD2" w14:textId="77777777" w:rsidR="00E040FD" w:rsidRDefault="00740D64">
            <w:pPr>
              <w:pStyle w:val="P68B1DB1-Normal8"/>
              <w:spacing w:after="0" w:line="240" w:lineRule="auto"/>
              <w:jc w:val="center"/>
              <w:rPr>
                <w:rFonts w:eastAsia="Times New Roman" w:cs="Calibri"/>
                <w:noProof/>
              </w:rPr>
            </w:pPr>
            <w:r>
              <w:rPr>
                <w:noProof/>
              </w:rPr>
              <w:t>Renoverade eller byggda specialiserade teknikcentrum</w:t>
            </w:r>
          </w:p>
        </w:tc>
        <w:tc>
          <w:tcPr>
            <w:tcW w:w="1275" w:type="dxa"/>
            <w:shd w:val="clear" w:color="auto" w:fill="C4EFCE"/>
            <w:noWrap/>
            <w:vAlign w:val="center"/>
            <w:hideMark/>
          </w:tcPr>
          <w:p w14:paraId="1DC8F389"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1339ABF"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73C47244"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52609596" w14:textId="77777777" w:rsidR="00E040FD" w:rsidRDefault="00740D64">
            <w:pPr>
              <w:pStyle w:val="P68B1DB1-Normal8"/>
              <w:spacing w:after="0" w:line="240" w:lineRule="auto"/>
              <w:jc w:val="center"/>
              <w:rPr>
                <w:rFonts w:eastAsia="Times New Roman" w:cs="Calibri"/>
                <w:noProof/>
              </w:rPr>
            </w:pPr>
            <w:r>
              <w:rPr>
                <w:noProof/>
              </w:rPr>
              <w:t>310</w:t>
            </w:r>
          </w:p>
        </w:tc>
        <w:tc>
          <w:tcPr>
            <w:tcW w:w="567" w:type="dxa"/>
            <w:shd w:val="clear" w:color="auto" w:fill="C4EFCE"/>
            <w:noWrap/>
            <w:vAlign w:val="center"/>
            <w:hideMark/>
          </w:tcPr>
          <w:p w14:paraId="5E577122" w14:textId="77777777" w:rsidR="00E040FD" w:rsidRDefault="00740D64">
            <w:pPr>
              <w:pStyle w:val="P68B1DB1-Normal8"/>
              <w:spacing w:after="0" w:line="240" w:lineRule="auto"/>
              <w:jc w:val="center"/>
              <w:rPr>
                <w:rFonts w:eastAsia="Times New Roman" w:cs="Calibri"/>
                <w:noProof/>
              </w:rPr>
            </w:pPr>
            <w:r>
              <w:rPr>
                <w:noProof/>
              </w:rPr>
              <w:t>KVARTAL 1</w:t>
            </w:r>
          </w:p>
        </w:tc>
        <w:tc>
          <w:tcPr>
            <w:tcW w:w="708" w:type="dxa"/>
            <w:shd w:val="clear" w:color="auto" w:fill="C4EFCE"/>
            <w:noWrap/>
            <w:vAlign w:val="center"/>
            <w:hideMark/>
          </w:tcPr>
          <w:p w14:paraId="5B9C16CB" w14:textId="77777777" w:rsidR="00E040FD" w:rsidRDefault="00740D6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0E2343BD" w14:textId="77777777" w:rsidR="00E040FD" w:rsidRDefault="00740D64">
            <w:pPr>
              <w:pStyle w:val="P68B1DB1-Normal8"/>
              <w:spacing w:after="0" w:line="240" w:lineRule="auto"/>
              <w:jc w:val="both"/>
              <w:rPr>
                <w:rFonts w:eastAsia="Times New Roman" w:cs="Calibri"/>
                <w:noProof/>
              </w:rPr>
            </w:pPr>
            <w:r>
              <w:rPr>
                <w:noProof/>
              </w:rPr>
              <w:t xml:space="preserve">Antal specialiserade teknikcentrum som renoverats eller byggts för yrkesutbildningar inom sekundärutbildningen, inklusive finansieringsutrustning, teknisk infrastruktur och eventuell omskolning av utrymmen och verkstäder för anpassning till nya kurser. </w:t>
            </w:r>
          </w:p>
        </w:tc>
      </w:tr>
      <w:tr w:rsidR="00E040FD" w14:paraId="31C598A2" w14:textId="77777777">
        <w:trPr>
          <w:trHeight w:val="640"/>
        </w:trPr>
        <w:tc>
          <w:tcPr>
            <w:tcW w:w="1135" w:type="dxa"/>
            <w:shd w:val="clear" w:color="auto" w:fill="C5EFCE"/>
            <w:vAlign w:val="center"/>
            <w:hideMark/>
          </w:tcPr>
          <w:p w14:paraId="2FE12F6E" w14:textId="77777777" w:rsidR="00E040FD" w:rsidRDefault="00740D64">
            <w:pPr>
              <w:pStyle w:val="P68B1DB1-Normal7"/>
              <w:spacing w:after="0" w:line="240" w:lineRule="auto"/>
              <w:jc w:val="center"/>
              <w:rPr>
                <w:rFonts w:eastAsia="Times New Roman" w:cs="Calibri"/>
                <w:noProof/>
              </w:rPr>
            </w:pPr>
            <w:r>
              <w:rPr>
                <w:noProof/>
              </w:rPr>
              <w:t>6.2</w:t>
            </w:r>
          </w:p>
        </w:tc>
        <w:tc>
          <w:tcPr>
            <w:tcW w:w="1276" w:type="dxa"/>
            <w:shd w:val="clear" w:color="auto" w:fill="C4EFCE"/>
            <w:noWrap/>
            <w:vAlign w:val="center"/>
            <w:hideMark/>
          </w:tcPr>
          <w:p w14:paraId="6CE55E02" w14:textId="77777777" w:rsidR="00E040FD" w:rsidRDefault="00740D64">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365464C5"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EAA9EB9" w14:textId="77777777" w:rsidR="00E040FD" w:rsidRDefault="00740D64">
            <w:pPr>
              <w:pStyle w:val="P68B1DB1-Normal8"/>
              <w:spacing w:after="0" w:line="240" w:lineRule="auto"/>
              <w:jc w:val="center"/>
              <w:rPr>
                <w:rFonts w:eastAsia="Times New Roman" w:cs="Calibri"/>
                <w:noProof/>
              </w:rPr>
            </w:pPr>
            <w:r>
              <w:rPr>
                <w:noProof/>
              </w:rPr>
              <w:t>Renoverade eller byggda specialiserade teknikcentrum</w:t>
            </w:r>
          </w:p>
        </w:tc>
        <w:tc>
          <w:tcPr>
            <w:tcW w:w="1275" w:type="dxa"/>
            <w:shd w:val="clear" w:color="auto" w:fill="C4EFCE"/>
            <w:noWrap/>
            <w:vAlign w:val="center"/>
            <w:hideMark/>
          </w:tcPr>
          <w:p w14:paraId="52981225"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EFD07B5"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3C1D84AB" w14:textId="77777777" w:rsidR="00E040FD" w:rsidRDefault="00740D64">
            <w:pPr>
              <w:pStyle w:val="P68B1DB1-Normal8"/>
              <w:spacing w:after="0" w:line="240" w:lineRule="auto"/>
              <w:jc w:val="center"/>
              <w:rPr>
                <w:rFonts w:eastAsia="Times New Roman" w:cs="Calibri"/>
                <w:noProof/>
              </w:rPr>
            </w:pPr>
            <w:r>
              <w:rPr>
                <w:noProof/>
              </w:rPr>
              <w:t>310</w:t>
            </w:r>
          </w:p>
        </w:tc>
        <w:tc>
          <w:tcPr>
            <w:tcW w:w="850" w:type="dxa"/>
            <w:shd w:val="clear" w:color="auto" w:fill="C4EFCE"/>
            <w:noWrap/>
            <w:vAlign w:val="center"/>
            <w:hideMark/>
          </w:tcPr>
          <w:p w14:paraId="53776CC3" w14:textId="77777777" w:rsidR="00E040FD" w:rsidRDefault="00740D64">
            <w:pPr>
              <w:pStyle w:val="P68B1DB1-Normal8"/>
              <w:spacing w:after="0" w:line="240" w:lineRule="auto"/>
              <w:jc w:val="center"/>
              <w:rPr>
                <w:rFonts w:eastAsia="Times New Roman" w:cs="Calibri"/>
                <w:noProof/>
              </w:rPr>
            </w:pPr>
            <w:r>
              <w:rPr>
                <w:noProof/>
              </w:rPr>
              <w:t>365</w:t>
            </w:r>
          </w:p>
        </w:tc>
        <w:tc>
          <w:tcPr>
            <w:tcW w:w="567" w:type="dxa"/>
            <w:shd w:val="clear" w:color="auto" w:fill="C4EFCE"/>
            <w:noWrap/>
            <w:vAlign w:val="center"/>
            <w:hideMark/>
          </w:tcPr>
          <w:p w14:paraId="27944A1C"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7EEBE2C5" w14:textId="77777777" w:rsidR="00E040FD" w:rsidRDefault="00740D6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A678E29" w14:textId="77777777" w:rsidR="00E040FD" w:rsidRDefault="00740D64">
            <w:pPr>
              <w:pStyle w:val="P68B1DB1-Normal8"/>
              <w:spacing w:after="0" w:line="240" w:lineRule="auto"/>
              <w:jc w:val="both"/>
              <w:rPr>
                <w:rFonts w:eastAsia="Times New Roman" w:cs="Calibri"/>
                <w:noProof/>
              </w:rPr>
            </w:pPr>
            <w:r>
              <w:rPr>
                <w:noProof/>
              </w:rPr>
              <w:t>Antal specialiserade teknikcentrum som renoverats eller byggts för yrkesutbildningar på högstadie- och gymnasienivå, inklusive finansieringsutrustning, teknisk infrastruktur och eventuell omskolning av utrymmen och verkstäder för anpassning till nya kurser.</w:t>
            </w:r>
          </w:p>
        </w:tc>
      </w:tr>
      <w:tr w:rsidR="00E040FD" w14:paraId="3E90A23F" w14:textId="77777777">
        <w:trPr>
          <w:trHeight w:val="1270"/>
        </w:trPr>
        <w:tc>
          <w:tcPr>
            <w:tcW w:w="1135" w:type="dxa"/>
            <w:shd w:val="clear" w:color="auto" w:fill="C5EFCE"/>
            <w:vAlign w:val="center"/>
            <w:hideMark/>
          </w:tcPr>
          <w:p w14:paraId="047D3B3F" w14:textId="77777777" w:rsidR="00E040FD" w:rsidRDefault="00740D64">
            <w:pPr>
              <w:pStyle w:val="P68B1DB1-Normal7"/>
              <w:spacing w:after="0" w:line="240" w:lineRule="auto"/>
              <w:jc w:val="center"/>
              <w:rPr>
                <w:rFonts w:eastAsia="Times New Roman" w:cs="Calibri"/>
                <w:noProof/>
              </w:rPr>
            </w:pPr>
            <w:r>
              <w:rPr>
                <w:noProof/>
              </w:rPr>
              <w:t>6.3</w:t>
            </w:r>
          </w:p>
        </w:tc>
        <w:tc>
          <w:tcPr>
            <w:tcW w:w="1276" w:type="dxa"/>
            <w:shd w:val="clear" w:color="auto" w:fill="C4EFCE"/>
            <w:noWrap/>
            <w:vAlign w:val="center"/>
            <w:hideMark/>
          </w:tcPr>
          <w:p w14:paraId="5356A2CC" w14:textId="77777777" w:rsidR="00E040FD" w:rsidRDefault="00740D64">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3DB04DD1"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FA61F5F" w14:textId="77777777" w:rsidR="00E040FD" w:rsidRDefault="00740D64">
            <w:pPr>
              <w:pStyle w:val="P68B1DB1-Normal8"/>
              <w:spacing w:after="0" w:line="240" w:lineRule="auto"/>
              <w:jc w:val="center"/>
              <w:rPr>
                <w:rFonts w:eastAsia="Times New Roman" w:cs="Calibri"/>
                <w:noProof/>
              </w:rPr>
            </w:pPr>
            <w:r>
              <w:rPr>
                <w:noProof/>
              </w:rPr>
              <w:t xml:space="preserve">Uppgraderade utbildningsstationer </w:t>
            </w:r>
          </w:p>
        </w:tc>
        <w:tc>
          <w:tcPr>
            <w:tcW w:w="1275" w:type="dxa"/>
            <w:shd w:val="clear" w:color="auto" w:fill="C4EFCE"/>
            <w:noWrap/>
            <w:vAlign w:val="center"/>
            <w:hideMark/>
          </w:tcPr>
          <w:p w14:paraId="130E4E31"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6DA56A3"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213A84D5"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5D069C25" w14:textId="373C2310" w:rsidR="00E040FD" w:rsidRDefault="00740D64">
            <w:pPr>
              <w:pStyle w:val="P68B1DB1-Normal8"/>
              <w:spacing w:after="0" w:line="240" w:lineRule="auto"/>
              <w:jc w:val="center"/>
              <w:rPr>
                <w:rFonts w:eastAsia="Times New Roman" w:cs="Calibri"/>
                <w:noProof/>
              </w:rPr>
            </w:pPr>
            <w:r>
              <w:rPr>
                <w:noProof/>
              </w:rPr>
              <w:t>11 500</w:t>
            </w:r>
          </w:p>
        </w:tc>
        <w:tc>
          <w:tcPr>
            <w:tcW w:w="567" w:type="dxa"/>
            <w:shd w:val="clear" w:color="auto" w:fill="C4EFCE"/>
            <w:noWrap/>
            <w:vAlign w:val="center"/>
            <w:hideMark/>
          </w:tcPr>
          <w:p w14:paraId="61A11D31"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7CE9D443" w14:textId="77777777" w:rsidR="00E040FD" w:rsidRDefault="00740D64">
            <w:pPr>
              <w:pStyle w:val="P68B1DB1-Normal8"/>
              <w:spacing w:after="0" w:line="240" w:lineRule="auto"/>
              <w:jc w:val="center"/>
              <w:rPr>
                <w:rFonts w:eastAsia="Times New Roman" w:cs="Calibri"/>
                <w:noProof/>
              </w:rPr>
            </w:pPr>
            <w:r>
              <w:rPr>
                <w:noProof/>
              </w:rPr>
              <w:t>2023</w:t>
            </w:r>
          </w:p>
        </w:tc>
        <w:tc>
          <w:tcPr>
            <w:tcW w:w="4395" w:type="dxa"/>
            <w:shd w:val="clear" w:color="auto" w:fill="C4EFCE"/>
            <w:vAlign w:val="center"/>
            <w:hideMark/>
          </w:tcPr>
          <w:p w14:paraId="31810B06" w14:textId="42B3EDCA" w:rsidR="00E040FD" w:rsidRDefault="00740D64">
            <w:pPr>
              <w:pStyle w:val="P68B1DB1-Normal8"/>
              <w:spacing w:after="0" w:line="240" w:lineRule="auto"/>
              <w:jc w:val="both"/>
              <w:rPr>
                <w:rFonts w:eastAsia="Times New Roman" w:cs="Calibri"/>
                <w:noProof/>
              </w:rPr>
            </w:pPr>
            <w:r>
              <w:rPr>
                <w:noProof/>
              </w:rPr>
              <w:t>Antal yrkesutbildningsstationer i nätverket för offentliga arbetsförmedlingar (IEFP) och nätverket av skolor vid den nationella turistmyndigheten (Turismo de Portugal) (som antingen förvaltas direkt eller genom koncession) som renoverats eller byggts. Det omfattar renovering och uppförande av nya byggnader och inköp av olika typer av utrustning för utbildningsändamål. Nya byggnader ska ha ett primärenergibehov som är minst 20 % lägre än kraven för nära-nollenergibyggnader. Energieffektivitetsrenoveringar ska i genomsnitt leda till en renovering av minst medelstor omfattning enligt definitionen i kommissionens rekommendation om byggnadsrenovering (EU) 2019/786.</w:t>
            </w:r>
          </w:p>
        </w:tc>
      </w:tr>
      <w:tr w:rsidR="00E040FD" w14:paraId="4AB7F922" w14:textId="77777777">
        <w:trPr>
          <w:trHeight w:val="1270"/>
        </w:trPr>
        <w:tc>
          <w:tcPr>
            <w:tcW w:w="1135" w:type="dxa"/>
            <w:shd w:val="clear" w:color="auto" w:fill="C5EFCE"/>
            <w:vAlign w:val="center"/>
            <w:hideMark/>
          </w:tcPr>
          <w:p w14:paraId="4DAD2626" w14:textId="77777777" w:rsidR="00E040FD" w:rsidRDefault="00740D64">
            <w:pPr>
              <w:pStyle w:val="P68B1DB1-Normal7"/>
              <w:spacing w:after="0" w:line="240" w:lineRule="auto"/>
              <w:jc w:val="center"/>
              <w:rPr>
                <w:rFonts w:eastAsia="Times New Roman" w:cs="Calibri"/>
                <w:noProof/>
              </w:rPr>
            </w:pPr>
            <w:r>
              <w:rPr>
                <w:noProof/>
              </w:rPr>
              <w:t>6.4</w:t>
            </w:r>
          </w:p>
        </w:tc>
        <w:tc>
          <w:tcPr>
            <w:tcW w:w="1276" w:type="dxa"/>
            <w:shd w:val="clear" w:color="auto" w:fill="C4EFCE"/>
            <w:noWrap/>
            <w:vAlign w:val="center"/>
            <w:hideMark/>
          </w:tcPr>
          <w:p w14:paraId="069D62CA" w14:textId="77777777" w:rsidR="00E040FD" w:rsidRDefault="00740D64">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5EE390D5"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B383716" w14:textId="77777777" w:rsidR="00E040FD" w:rsidRDefault="00740D64">
            <w:pPr>
              <w:pStyle w:val="P68B1DB1-Normal8"/>
              <w:spacing w:after="0" w:line="240" w:lineRule="auto"/>
              <w:jc w:val="center"/>
              <w:rPr>
                <w:rFonts w:eastAsia="Times New Roman" w:cs="Calibri"/>
                <w:noProof/>
              </w:rPr>
            </w:pPr>
            <w:r>
              <w:rPr>
                <w:noProof/>
              </w:rPr>
              <w:t xml:space="preserve">Uppgraderade utbildningsstationer </w:t>
            </w:r>
          </w:p>
        </w:tc>
        <w:tc>
          <w:tcPr>
            <w:tcW w:w="1275" w:type="dxa"/>
            <w:shd w:val="clear" w:color="auto" w:fill="C4EFCE"/>
            <w:noWrap/>
            <w:vAlign w:val="center"/>
            <w:hideMark/>
          </w:tcPr>
          <w:p w14:paraId="16A61C90"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DA2846B"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5EBF0158" w14:textId="6B2FB681" w:rsidR="00E040FD" w:rsidRDefault="00740D64">
            <w:pPr>
              <w:pStyle w:val="P68B1DB1-Normal8"/>
              <w:spacing w:after="0" w:line="240" w:lineRule="auto"/>
              <w:jc w:val="center"/>
              <w:rPr>
                <w:rFonts w:eastAsia="Times New Roman" w:cs="Calibri"/>
                <w:noProof/>
              </w:rPr>
            </w:pPr>
            <w:r>
              <w:rPr>
                <w:noProof/>
              </w:rPr>
              <w:t>11 500</w:t>
            </w:r>
          </w:p>
        </w:tc>
        <w:tc>
          <w:tcPr>
            <w:tcW w:w="850" w:type="dxa"/>
            <w:shd w:val="clear" w:color="auto" w:fill="C4EFCE"/>
            <w:noWrap/>
            <w:vAlign w:val="center"/>
            <w:hideMark/>
          </w:tcPr>
          <w:p w14:paraId="60A36C33" w14:textId="77777777" w:rsidR="00E040FD" w:rsidRDefault="00740D64">
            <w:pPr>
              <w:pStyle w:val="P68B1DB1-Normal8"/>
              <w:spacing w:after="0" w:line="240" w:lineRule="auto"/>
              <w:jc w:val="center"/>
              <w:rPr>
                <w:rFonts w:eastAsia="Times New Roman" w:cs="Calibri"/>
                <w:noProof/>
              </w:rPr>
            </w:pPr>
            <w:r>
              <w:rPr>
                <w:noProof/>
              </w:rPr>
              <w:t>22 000</w:t>
            </w:r>
          </w:p>
        </w:tc>
        <w:tc>
          <w:tcPr>
            <w:tcW w:w="567" w:type="dxa"/>
            <w:shd w:val="clear" w:color="auto" w:fill="C4EFCE"/>
            <w:noWrap/>
            <w:vAlign w:val="center"/>
            <w:hideMark/>
          </w:tcPr>
          <w:p w14:paraId="787ADB8E"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1C45E088" w14:textId="77777777" w:rsidR="00E040FD" w:rsidRDefault="00740D6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FC38451" w14:textId="3C4E7288" w:rsidR="00E040FD" w:rsidRDefault="00740D64">
            <w:pPr>
              <w:pStyle w:val="P68B1DB1-Normal8"/>
              <w:spacing w:after="0" w:line="240" w:lineRule="auto"/>
              <w:jc w:val="both"/>
              <w:rPr>
                <w:rFonts w:eastAsia="Times New Roman" w:cs="Calibri"/>
                <w:noProof/>
              </w:rPr>
            </w:pPr>
            <w:r>
              <w:rPr>
                <w:noProof/>
              </w:rPr>
              <w:t>Antal yrkesutbildningsstationer i nätverket för offentliga arbetsförmedlingar (IEFP) och nätverket av skolor vid den nationella turistmyndigheten (Turismo de Portugal) (som antingen förvaltas direkt eller genom koncession) som renoverats eller byggts. Det omfattar renovering och uppförande av nya byggnader och inköp av olika typer av utrustning för utbildningsändamål. Nya byggnader ska ha ett primärenergibehov som är minst 20 % lägre än kraven för nära-nollenergibyggnader. Energieffektivitetsrenoveringar ska i genomsnitt leda till en renovering av minst medelstor omfattning enligt definitionen i kommissionens rekommendation om byggnadsrenovering (EU) 2019/786.</w:t>
            </w:r>
          </w:p>
        </w:tc>
      </w:tr>
      <w:tr w:rsidR="00E040FD" w14:paraId="6C12491B" w14:textId="77777777">
        <w:trPr>
          <w:trHeight w:val="430"/>
        </w:trPr>
        <w:tc>
          <w:tcPr>
            <w:tcW w:w="1135" w:type="dxa"/>
            <w:shd w:val="clear" w:color="auto" w:fill="C5EFCE"/>
            <w:vAlign w:val="center"/>
            <w:hideMark/>
          </w:tcPr>
          <w:p w14:paraId="0EDD61CD" w14:textId="77777777" w:rsidR="00E040FD" w:rsidRDefault="00740D64">
            <w:pPr>
              <w:pStyle w:val="P68B1DB1-Normal7"/>
              <w:spacing w:after="0" w:line="240" w:lineRule="auto"/>
              <w:jc w:val="center"/>
              <w:rPr>
                <w:rFonts w:eastAsia="Times New Roman" w:cs="Calibri"/>
                <w:noProof/>
              </w:rPr>
            </w:pPr>
            <w:r>
              <w:rPr>
                <w:noProof/>
              </w:rPr>
              <w:t>6.5</w:t>
            </w:r>
          </w:p>
        </w:tc>
        <w:tc>
          <w:tcPr>
            <w:tcW w:w="1276" w:type="dxa"/>
            <w:shd w:val="clear" w:color="auto" w:fill="C4EFCE"/>
            <w:noWrap/>
            <w:vAlign w:val="center"/>
            <w:hideMark/>
          </w:tcPr>
          <w:p w14:paraId="5DFD9DC8" w14:textId="77777777" w:rsidR="00E040FD" w:rsidRDefault="00740D64">
            <w:pPr>
              <w:pStyle w:val="P68B1DB1-Normal8"/>
              <w:spacing w:after="0" w:line="240" w:lineRule="auto"/>
              <w:jc w:val="center"/>
              <w:rPr>
                <w:rFonts w:eastAsia="Times New Roman" w:cs="Calibri"/>
                <w:noProof/>
              </w:rPr>
            </w:pPr>
            <w:r>
              <w:rPr>
                <w:noProof/>
              </w:rPr>
              <w:t>RE-C06-i02</w:t>
            </w:r>
          </w:p>
        </w:tc>
        <w:tc>
          <w:tcPr>
            <w:tcW w:w="1134" w:type="dxa"/>
            <w:shd w:val="clear" w:color="auto" w:fill="C4EFCE"/>
            <w:noWrap/>
            <w:vAlign w:val="center"/>
            <w:hideMark/>
          </w:tcPr>
          <w:p w14:paraId="659AF737"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50AF8F6" w14:textId="77777777" w:rsidR="00E040FD" w:rsidRDefault="00740D64">
            <w:pPr>
              <w:pStyle w:val="P68B1DB1-Normal8"/>
              <w:spacing w:after="0" w:line="240" w:lineRule="auto"/>
              <w:jc w:val="center"/>
              <w:rPr>
                <w:rFonts w:eastAsia="Times New Roman" w:cs="Calibri"/>
                <w:noProof/>
              </w:rPr>
            </w:pPr>
            <w:r>
              <w:rPr>
                <w:noProof/>
              </w:rPr>
              <w:t xml:space="preserve">Ekonomiskt stöd för tillsvidareanställningar </w:t>
            </w:r>
          </w:p>
        </w:tc>
        <w:tc>
          <w:tcPr>
            <w:tcW w:w="1275" w:type="dxa"/>
            <w:shd w:val="clear" w:color="auto" w:fill="C4EFCE"/>
            <w:noWrap/>
            <w:vAlign w:val="center"/>
            <w:hideMark/>
          </w:tcPr>
          <w:p w14:paraId="10FDB223"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A7A81A"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0DE8E0EA" w14:textId="77777777" w:rsidR="00E040FD" w:rsidRDefault="00740D6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3A09210A" w14:textId="77777777" w:rsidR="00E040FD" w:rsidRDefault="00740D64">
            <w:pPr>
              <w:pStyle w:val="P68B1DB1-Normal8"/>
              <w:spacing w:after="0" w:line="240" w:lineRule="auto"/>
              <w:jc w:val="center"/>
              <w:rPr>
                <w:rFonts w:eastAsia="Times New Roman" w:cs="Calibri"/>
                <w:noProof/>
              </w:rPr>
            </w:pPr>
            <w:r>
              <w:rPr>
                <w:noProof/>
              </w:rPr>
              <w:t>30 000</w:t>
            </w:r>
          </w:p>
        </w:tc>
        <w:tc>
          <w:tcPr>
            <w:tcW w:w="567" w:type="dxa"/>
            <w:shd w:val="clear" w:color="auto" w:fill="C4EFCE"/>
            <w:noWrap/>
            <w:vAlign w:val="center"/>
            <w:hideMark/>
          </w:tcPr>
          <w:p w14:paraId="0B4540AC"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7ACEB742" w14:textId="288C9D01" w:rsidR="00E040FD" w:rsidRDefault="00740D64">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675968B1" w14:textId="77777777" w:rsidR="00E040FD" w:rsidRDefault="00740D64">
            <w:pPr>
              <w:pStyle w:val="P68B1DB1-Normal8"/>
              <w:spacing w:after="0" w:line="240" w:lineRule="auto"/>
              <w:jc w:val="both"/>
              <w:rPr>
                <w:rFonts w:eastAsia="Times New Roman" w:cs="Calibri"/>
                <w:noProof/>
              </w:rPr>
            </w:pPr>
            <w:r>
              <w:rPr>
                <w:noProof/>
              </w:rPr>
              <w:t>Antal kontrakt som stöds av ekonomiskt stöd som beviljas arbetsgivare i utbyte mot att de erbjuder tillsvidareanställningar med tillräckliga löner på arbetsmarknaden inom ramen för åtagandet om hållbar sysselsättning.</w:t>
            </w:r>
          </w:p>
        </w:tc>
      </w:tr>
      <w:tr w:rsidR="00E040FD" w14:paraId="61E0EF86" w14:textId="77777777">
        <w:trPr>
          <w:trHeight w:val="1060"/>
        </w:trPr>
        <w:tc>
          <w:tcPr>
            <w:tcW w:w="1135" w:type="dxa"/>
            <w:shd w:val="clear" w:color="auto" w:fill="C5EFCE"/>
            <w:vAlign w:val="center"/>
            <w:hideMark/>
          </w:tcPr>
          <w:p w14:paraId="148B85D9" w14:textId="77777777" w:rsidR="00E040FD" w:rsidRDefault="00740D64">
            <w:pPr>
              <w:pStyle w:val="P68B1DB1-Normal7"/>
              <w:spacing w:after="0" w:line="240" w:lineRule="auto"/>
              <w:jc w:val="center"/>
              <w:rPr>
                <w:rFonts w:eastAsia="Times New Roman" w:cs="Calibri"/>
                <w:noProof/>
              </w:rPr>
            </w:pPr>
            <w:r>
              <w:rPr>
                <w:noProof/>
              </w:rPr>
              <w:t>6.6</w:t>
            </w:r>
          </w:p>
        </w:tc>
        <w:tc>
          <w:tcPr>
            <w:tcW w:w="1276" w:type="dxa"/>
            <w:shd w:val="clear" w:color="auto" w:fill="C4EFCE"/>
            <w:noWrap/>
            <w:vAlign w:val="center"/>
            <w:hideMark/>
          </w:tcPr>
          <w:p w14:paraId="479AA52E" w14:textId="77777777" w:rsidR="00E040FD" w:rsidRDefault="00740D64">
            <w:pPr>
              <w:pStyle w:val="P68B1DB1-Normal8"/>
              <w:spacing w:after="0" w:line="240" w:lineRule="auto"/>
              <w:jc w:val="center"/>
              <w:rPr>
                <w:rFonts w:eastAsia="Times New Roman" w:cs="Calibri"/>
                <w:noProof/>
              </w:rPr>
            </w:pPr>
            <w:r>
              <w:rPr>
                <w:noProof/>
              </w:rPr>
              <w:t>RE-C06-i03</w:t>
            </w:r>
          </w:p>
        </w:tc>
        <w:tc>
          <w:tcPr>
            <w:tcW w:w="1134" w:type="dxa"/>
            <w:shd w:val="clear" w:color="auto" w:fill="C4EFCE"/>
            <w:noWrap/>
            <w:vAlign w:val="center"/>
            <w:hideMark/>
          </w:tcPr>
          <w:p w14:paraId="12BFBD44"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0CC8E3A" w14:textId="77777777" w:rsidR="00E040FD" w:rsidRDefault="00740D64">
            <w:pPr>
              <w:pStyle w:val="P68B1DB1-Normal8"/>
              <w:spacing w:after="0" w:line="240" w:lineRule="auto"/>
              <w:jc w:val="center"/>
              <w:rPr>
                <w:rFonts w:eastAsia="Times New Roman" w:cs="Calibri"/>
                <w:noProof/>
              </w:rPr>
            </w:pPr>
            <w:r>
              <w:rPr>
                <w:noProof/>
              </w:rPr>
              <w:t>Ytterligare deltagare i åtgärder för att stödja kompetenshöjning för vuxna</w:t>
            </w:r>
          </w:p>
        </w:tc>
        <w:tc>
          <w:tcPr>
            <w:tcW w:w="1275" w:type="dxa"/>
            <w:shd w:val="clear" w:color="auto" w:fill="C4EFCE"/>
            <w:noWrap/>
            <w:vAlign w:val="center"/>
            <w:hideMark/>
          </w:tcPr>
          <w:p w14:paraId="22792D93"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DD62676"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3B8E5057" w14:textId="77777777" w:rsidR="00E040FD" w:rsidRDefault="00740D64">
            <w:pPr>
              <w:pStyle w:val="P68B1DB1-Normal8"/>
              <w:spacing w:after="0" w:line="240" w:lineRule="auto"/>
              <w:jc w:val="center"/>
              <w:rPr>
                <w:rFonts w:eastAsia="Times New Roman" w:cs="Calibri"/>
                <w:noProof/>
              </w:rPr>
            </w:pPr>
            <w:r>
              <w:rPr>
                <w:noProof/>
              </w:rPr>
              <w:t> 0</w:t>
            </w:r>
          </w:p>
        </w:tc>
        <w:tc>
          <w:tcPr>
            <w:tcW w:w="850" w:type="dxa"/>
            <w:shd w:val="clear" w:color="auto" w:fill="C4EFCE"/>
            <w:noWrap/>
            <w:vAlign w:val="center"/>
            <w:hideMark/>
          </w:tcPr>
          <w:p w14:paraId="5DACDA6B" w14:textId="25014E5E" w:rsidR="00E040FD" w:rsidRDefault="00740D64">
            <w:pPr>
              <w:pStyle w:val="P68B1DB1-Normal8"/>
              <w:spacing w:after="0" w:line="240" w:lineRule="auto"/>
              <w:jc w:val="center"/>
              <w:rPr>
                <w:rFonts w:eastAsia="Times New Roman" w:cs="Calibri"/>
                <w:noProof/>
              </w:rPr>
            </w:pPr>
            <w:r>
              <w:rPr>
                <w:noProof/>
              </w:rPr>
              <w:t>145 500</w:t>
            </w:r>
          </w:p>
        </w:tc>
        <w:tc>
          <w:tcPr>
            <w:tcW w:w="567" w:type="dxa"/>
            <w:shd w:val="clear" w:color="auto" w:fill="C4EFCE"/>
            <w:noWrap/>
            <w:vAlign w:val="center"/>
            <w:hideMark/>
          </w:tcPr>
          <w:p w14:paraId="4B441948"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0E8AB3E7" w14:textId="77777777" w:rsidR="00E040FD" w:rsidRDefault="00740D6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7A246919" w14:textId="27E7058B" w:rsidR="00E040FD" w:rsidRDefault="00740D64">
            <w:pPr>
              <w:pStyle w:val="P68B1DB1-Normal8"/>
              <w:spacing w:after="0" w:line="240" w:lineRule="auto"/>
              <w:jc w:val="both"/>
              <w:rPr>
                <w:rFonts w:eastAsia="Times New Roman" w:cs="Calibri"/>
                <w:noProof/>
              </w:rPr>
            </w:pPr>
            <w:r>
              <w:rPr>
                <w:noProof/>
              </w:rPr>
              <w:t>Ytterligare antal vuxna (18 +) deltagare som har deltagit i en av följande kurser: i) Grundutbildning för vuxna på nivå B1/B2/B3 som drivs av lokala projekt som omfattas av den nationella planen för läs- och skrivkunnighet hos vuxna. II) Utbildningsvägar för erkännande, validering och certifiering av kompetens för lågkvalificerade vuxna (RVCC). och iii) korta högskoleutbildningar som anordnas av konsortier av högre utbildningsanstalter och arbetsgivare.</w:t>
            </w:r>
          </w:p>
        </w:tc>
      </w:tr>
      <w:tr w:rsidR="00E040FD" w14:paraId="4D402638" w14:textId="77777777">
        <w:trPr>
          <w:trHeight w:val="640"/>
        </w:trPr>
        <w:tc>
          <w:tcPr>
            <w:tcW w:w="1135" w:type="dxa"/>
            <w:shd w:val="clear" w:color="auto" w:fill="C5EFCE"/>
            <w:vAlign w:val="center"/>
            <w:hideMark/>
          </w:tcPr>
          <w:p w14:paraId="0D51C2DF" w14:textId="77777777" w:rsidR="00E040FD" w:rsidRDefault="00740D64">
            <w:pPr>
              <w:pStyle w:val="P68B1DB1-Normal7"/>
              <w:spacing w:after="0" w:line="240" w:lineRule="auto"/>
              <w:jc w:val="center"/>
              <w:rPr>
                <w:rFonts w:eastAsia="Times New Roman" w:cs="Calibri"/>
                <w:noProof/>
              </w:rPr>
            </w:pPr>
            <w:r>
              <w:rPr>
                <w:noProof/>
              </w:rPr>
              <w:t>6.7</w:t>
            </w:r>
          </w:p>
        </w:tc>
        <w:tc>
          <w:tcPr>
            <w:tcW w:w="1276" w:type="dxa"/>
            <w:shd w:val="clear" w:color="auto" w:fill="C4EFCE"/>
            <w:noWrap/>
            <w:vAlign w:val="center"/>
            <w:hideMark/>
          </w:tcPr>
          <w:p w14:paraId="14AD9AAA" w14:textId="77777777" w:rsidR="00E040FD" w:rsidRDefault="00740D64">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63132154"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FF28ED8" w14:textId="77777777" w:rsidR="00E040FD" w:rsidRDefault="00740D64">
            <w:pPr>
              <w:pStyle w:val="P68B1DB1-Normal8"/>
              <w:spacing w:after="0" w:line="240" w:lineRule="auto"/>
              <w:jc w:val="center"/>
              <w:rPr>
                <w:rFonts w:eastAsia="Times New Roman" w:cs="Calibri"/>
                <w:noProof/>
              </w:rPr>
            </w:pPr>
            <w:r>
              <w:rPr>
                <w:noProof/>
              </w:rPr>
              <w:t xml:space="preserve">Ytterligare </w:t>
            </w:r>
            <w:r>
              <w:rPr>
                <w:i/>
                <w:noProof/>
              </w:rPr>
              <w:t>Ciência Viva</w:t>
            </w:r>
            <w:r>
              <w:rPr>
                <w:noProof/>
              </w:rPr>
              <w:t xml:space="preserve"> klubbar</w:t>
            </w:r>
          </w:p>
        </w:tc>
        <w:tc>
          <w:tcPr>
            <w:tcW w:w="1275" w:type="dxa"/>
            <w:shd w:val="clear" w:color="auto" w:fill="C4EFCE"/>
            <w:noWrap/>
            <w:vAlign w:val="center"/>
            <w:hideMark/>
          </w:tcPr>
          <w:p w14:paraId="475EF3EC"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0C07D87"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139C60E3"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13DAAD2" w14:textId="77777777" w:rsidR="00E040FD" w:rsidRDefault="00740D64">
            <w:pPr>
              <w:pStyle w:val="P68B1DB1-Normal8"/>
              <w:spacing w:after="0" w:line="240" w:lineRule="auto"/>
              <w:jc w:val="center"/>
              <w:rPr>
                <w:rFonts w:eastAsia="Times New Roman" w:cs="Calibri"/>
                <w:noProof/>
              </w:rPr>
            </w:pPr>
            <w:r>
              <w:rPr>
                <w:noProof/>
              </w:rPr>
              <w:t>650</w:t>
            </w:r>
          </w:p>
        </w:tc>
        <w:tc>
          <w:tcPr>
            <w:tcW w:w="567" w:type="dxa"/>
            <w:shd w:val="clear" w:color="auto" w:fill="C4EFCE"/>
            <w:noWrap/>
            <w:vAlign w:val="center"/>
            <w:hideMark/>
          </w:tcPr>
          <w:p w14:paraId="65CF29A1"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577D02B1" w14:textId="77777777" w:rsidR="00E040FD" w:rsidRDefault="00740D6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71DD2E25" w14:textId="77777777" w:rsidR="00E040FD" w:rsidRDefault="00740D64">
            <w:pPr>
              <w:pStyle w:val="P68B1DB1-Normal8"/>
              <w:spacing w:after="0" w:line="240" w:lineRule="auto"/>
              <w:jc w:val="both"/>
              <w:rPr>
                <w:rFonts w:eastAsia="Times New Roman" w:cs="Calibri"/>
                <w:noProof/>
              </w:rPr>
            </w:pPr>
            <w:r>
              <w:rPr>
                <w:noProof/>
              </w:rPr>
              <w:t xml:space="preserve">Antal nya klubbar som lagts till i nätverket av klubbar </w:t>
            </w:r>
            <w:r>
              <w:rPr>
                <w:i/>
                <w:noProof/>
              </w:rPr>
              <w:t>Ciência Viva</w:t>
            </w:r>
            <w:r>
              <w:rPr>
                <w:noProof/>
              </w:rPr>
              <w:t>, med inriktning på STEAM-områden, som syftar till att sprida vetenskapliga värderingar i nätverket av gymnasieskolor, bland annat genom partnerskap med universitet och forskningscentrum samt anordnande av seminarier och workshoppar.</w:t>
            </w:r>
          </w:p>
        </w:tc>
      </w:tr>
      <w:tr w:rsidR="00E040FD" w14:paraId="49C0C904" w14:textId="77777777">
        <w:trPr>
          <w:trHeight w:val="430"/>
        </w:trPr>
        <w:tc>
          <w:tcPr>
            <w:tcW w:w="1135" w:type="dxa"/>
            <w:shd w:val="clear" w:color="auto" w:fill="C5EFCE"/>
            <w:vAlign w:val="center"/>
            <w:hideMark/>
          </w:tcPr>
          <w:p w14:paraId="31071806" w14:textId="77777777" w:rsidR="00E040FD" w:rsidRDefault="00740D64">
            <w:pPr>
              <w:pStyle w:val="P68B1DB1-Normal7"/>
              <w:spacing w:after="0" w:line="240" w:lineRule="auto"/>
              <w:jc w:val="center"/>
              <w:rPr>
                <w:rFonts w:eastAsia="Times New Roman" w:cs="Calibri"/>
                <w:noProof/>
              </w:rPr>
            </w:pPr>
            <w:r>
              <w:rPr>
                <w:noProof/>
              </w:rPr>
              <w:t>6.8</w:t>
            </w:r>
          </w:p>
        </w:tc>
        <w:tc>
          <w:tcPr>
            <w:tcW w:w="1276" w:type="dxa"/>
            <w:shd w:val="clear" w:color="auto" w:fill="C4EFCE"/>
            <w:noWrap/>
            <w:vAlign w:val="center"/>
            <w:hideMark/>
          </w:tcPr>
          <w:p w14:paraId="7831644F" w14:textId="77777777" w:rsidR="00E040FD" w:rsidRDefault="00740D64">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19E22B81"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4ABB0A2" w14:textId="77777777" w:rsidR="00E040FD" w:rsidRDefault="00740D64">
            <w:pPr>
              <w:pStyle w:val="P68B1DB1-Normal8"/>
              <w:spacing w:after="0" w:line="240" w:lineRule="auto"/>
              <w:jc w:val="center"/>
              <w:rPr>
                <w:rFonts w:eastAsia="Times New Roman" w:cs="Calibri"/>
                <w:noProof/>
              </w:rPr>
            </w:pPr>
            <w:r>
              <w:rPr>
                <w:noProof/>
              </w:rPr>
              <w:t>Ytterligare antal studenter som tagit examen i högre utbildning inom naturvetenskap, teknik, ingenjörsvetenskap och matematik</w:t>
            </w:r>
          </w:p>
        </w:tc>
        <w:tc>
          <w:tcPr>
            <w:tcW w:w="1275" w:type="dxa"/>
            <w:shd w:val="clear" w:color="auto" w:fill="C4EFCE"/>
            <w:noWrap/>
            <w:vAlign w:val="center"/>
            <w:hideMark/>
          </w:tcPr>
          <w:p w14:paraId="19A3F63E"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2A75A0"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71EF5171"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05143F7C" w14:textId="77777777" w:rsidR="00E040FD" w:rsidRDefault="00740D64">
            <w:pPr>
              <w:pStyle w:val="P68B1DB1-Normal8"/>
              <w:spacing w:after="0" w:line="240" w:lineRule="auto"/>
              <w:jc w:val="right"/>
              <w:rPr>
                <w:rFonts w:eastAsia="Times New Roman" w:cs="Calibri"/>
                <w:noProof/>
              </w:rPr>
            </w:pPr>
            <w:r>
              <w:rPr>
                <w:noProof/>
              </w:rPr>
              <w:t>7500</w:t>
            </w:r>
          </w:p>
        </w:tc>
        <w:tc>
          <w:tcPr>
            <w:tcW w:w="567" w:type="dxa"/>
            <w:shd w:val="clear" w:color="auto" w:fill="C4EFCE"/>
            <w:noWrap/>
            <w:vAlign w:val="center"/>
            <w:hideMark/>
          </w:tcPr>
          <w:p w14:paraId="74D42D05" w14:textId="77777777" w:rsidR="00E040FD" w:rsidRDefault="00740D64">
            <w:pPr>
              <w:pStyle w:val="P68B1DB1-Normal8"/>
              <w:spacing w:after="0" w:line="240" w:lineRule="auto"/>
              <w:jc w:val="center"/>
              <w:rPr>
                <w:rFonts w:eastAsia="Times New Roman" w:cs="Calibri"/>
                <w:noProof/>
              </w:rPr>
            </w:pPr>
            <w:r>
              <w:rPr>
                <w:noProof/>
              </w:rPr>
              <w:t>KVARTAL 1</w:t>
            </w:r>
          </w:p>
        </w:tc>
        <w:tc>
          <w:tcPr>
            <w:tcW w:w="708" w:type="dxa"/>
            <w:shd w:val="clear" w:color="auto" w:fill="C4EFCE"/>
            <w:noWrap/>
            <w:vAlign w:val="center"/>
            <w:hideMark/>
          </w:tcPr>
          <w:p w14:paraId="0AD002C5" w14:textId="77777777" w:rsidR="00E040FD" w:rsidRDefault="00740D6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6906ED0C" w14:textId="1A58018F" w:rsidR="00E040FD" w:rsidRDefault="00740D64">
            <w:pPr>
              <w:pStyle w:val="P68B1DB1-Normal8"/>
              <w:spacing w:after="0" w:line="240" w:lineRule="auto"/>
              <w:jc w:val="both"/>
              <w:rPr>
                <w:rFonts w:eastAsia="Times New Roman" w:cs="Calibri"/>
                <w:noProof/>
              </w:rPr>
            </w:pPr>
            <w:r>
              <w:rPr>
                <w:noProof/>
              </w:rPr>
              <w:t>Ytterligare antal utexaminerade från högre utbildning inom naturvetenskap, teknik, ingenjörsvetenskap, humaniora och matematik (dvs. naturvetenskap, teknik, ingenjörsvetenskap, humaniora och matematik): högskoleutbildade från korta och inledande högre utbildningsprogram och korta kurser. (upp till 2 år), jämfört med 2020.</w:t>
            </w:r>
          </w:p>
        </w:tc>
      </w:tr>
      <w:tr w:rsidR="00E040FD" w14:paraId="41A35489" w14:textId="77777777">
        <w:trPr>
          <w:trHeight w:val="430"/>
        </w:trPr>
        <w:tc>
          <w:tcPr>
            <w:tcW w:w="1135" w:type="dxa"/>
            <w:shd w:val="clear" w:color="auto" w:fill="C5EFCE"/>
            <w:vAlign w:val="center"/>
            <w:hideMark/>
          </w:tcPr>
          <w:p w14:paraId="03EC6843" w14:textId="77777777" w:rsidR="00E040FD" w:rsidRDefault="00740D64">
            <w:pPr>
              <w:pStyle w:val="P68B1DB1-Normal7"/>
              <w:spacing w:after="0" w:line="240" w:lineRule="auto"/>
              <w:jc w:val="center"/>
              <w:rPr>
                <w:rFonts w:eastAsia="Times New Roman" w:cs="Calibri"/>
                <w:noProof/>
              </w:rPr>
            </w:pPr>
            <w:r>
              <w:rPr>
                <w:noProof/>
              </w:rPr>
              <w:t>6.9</w:t>
            </w:r>
          </w:p>
        </w:tc>
        <w:tc>
          <w:tcPr>
            <w:tcW w:w="1276" w:type="dxa"/>
            <w:shd w:val="clear" w:color="auto" w:fill="C4EFCE"/>
            <w:noWrap/>
            <w:vAlign w:val="center"/>
            <w:hideMark/>
          </w:tcPr>
          <w:p w14:paraId="1F688299" w14:textId="77777777" w:rsidR="00E040FD" w:rsidRDefault="00740D64">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0766DA2A"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FCC21AD" w14:textId="77777777" w:rsidR="00E040FD" w:rsidRDefault="00740D64">
            <w:pPr>
              <w:pStyle w:val="P68B1DB1-Normal8"/>
              <w:spacing w:after="0" w:line="240" w:lineRule="auto"/>
              <w:jc w:val="center"/>
              <w:rPr>
                <w:rFonts w:eastAsia="Times New Roman" w:cs="Calibri"/>
                <w:noProof/>
              </w:rPr>
            </w:pPr>
            <w:r>
              <w:rPr>
                <w:noProof/>
              </w:rPr>
              <w:t xml:space="preserve">Ytterligare antal studenter som tagit examen i högre utbildning i naturvetenskap, teknik, ingenjörsvetenskap och matematik </w:t>
            </w:r>
          </w:p>
        </w:tc>
        <w:tc>
          <w:tcPr>
            <w:tcW w:w="1275" w:type="dxa"/>
            <w:shd w:val="clear" w:color="auto" w:fill="C4EFCE"/>
            <w:noWrap/>
            <w:vAlign w:val="center"/>
            <w:hideMark/>
          </w:tcPr>
          <w:p w14:paraId="2534A7F7"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01C7875"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0F461685" w14:textId="77777777" w:rsidR="00E040FD" w:rsidRDefault="00740D64">
            <w:pPr>
              <w:pStyle w:val="P68B1DB1-Normal8"/>
              <w:spacing w:after="0" w:line="240" w:lineRule="auto"/>
              <w:jc w:val="center"/>
              <w:rPr>
                <w:rFonts w:eastAsia="Times New Roman" w:cs="Calibri"/>
                <w:noProof/>
              </w:rPr>
            </w:pPr>
            <w:r>
              <w:rPr>
                <w:noProof/>
              </w:rPr>
              <w:t>7 500</w:t>
            </w:r>
          </w:p>
        </w:tc>
        <w:tc>
          <w:tcPr>
            <w:tcW w:w="850" w:type="dxa"/>
            <w:shd w:val="clear" w:color="auto" w:fill="C4EFCE"/>
            <w:noWrap/>
            <w:vAlign w:val="center"/>
            <w:hideMark/>
          </w:tcPr>
          <w:p w14:paraId="0EDAA318" w14:textId="77777777" w:rsidR="00E040FD" w:rsidRDefault="00740D64">
            <w:pPr>
              <w:pStyle w:val="P68B1DB1-Normal8"/>
              <w:spacing w:after="0" w:line="240" w:lineRule="auto"/>
              <w:jc w:val="center"/>
              <w:rPr>
                <w:rFonts w:eastAsia="Times New Roman" w:cs="Calibri"/>
                <w:noProof/>
              </w:rPr>
            </w:pPr>
            <w:r>
              <w:rPr>
                <w:noProof/>
              </w:rPr>
              <w:t>10 000</w:t>
            </w:r>
          </w:p>
        </w:tc>
        <w:tc>
          <w:tcPr>
            <w:tcW w:w="567" w:type="dxa"/>
            <w:shd w:val="clear" w:color="auto" w:fill="C4EFCE"/>
            <w:noWrap/>
            <w:vAlign w:val="center"/>
            <w:hideMark/>
          </w:tcPr>
          <w:p w14:paraId="74AF7ABA"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0B041574" w14:textId="77777777" w:rsidR="00E040FD" w:rsidRDefault="00740D6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6B7BB90" w14:textId="6491F048" w:rsidR="00E040FD" w:rsidRDefault="00740D64">
            <w:pPr>
              <w:pStyle w:val="P68B1DB1-Normal8"/>
              <w:spacing w:after="0" w:line="240" w:lineRule="auto"/>
              <w:jc w:val="both"/>
              <w:rPr>
                <w:rFonts w:eastAsia="Times New Roman" w:cs="Calibri"/>
                <w:noProof/>
              </w:rPr>
            </w:pPr>
            <w:r>
              <w:rPr>
                <w:noProof/>
              </w:rPr>
              <w:t>Ytterligare antal utexaminerade från högre utbildning inom naturvetenskap, teknik, ingenjörsvetenskap, humaniora och matematik (dvs. naturvetenskap, teknik, ingenjörsvetenskap, humaniora och matematik): högskoleutbildade från korta och inledande högre utbildningsprogram och korta kurser. (upp till 2 år) jämfört med 2020.</w:t>
            </w:r>
          </w:p>
        </w:tc>
      </w:tr>
      <w:tr w:rsidR="00E040FD" w14:paraId="7BCA29C4" w14:textId="77777777">
        <w:trPr>
          <w:trHeight w:val="430"/>
        </w:trPr>
        <w:tc>
          <w:tcPr>
            <w:tcW w:w="1135" w:type="dxa"/>
            <w:shd w:val="clear" w:color="auto" w:fill="C5EFCE"/>
            <w:vAlign w:val="center"/>
            <w:hideMark/>
          </w:tcPr>
          <w:p w14:paraId="31EEE1B7" w14:textId="77777777" w:rsidR="00E040FD" w:rsidRDefault="00740D64">
            <w:pPr>
              <w:pStyle w:val="P68B1DB1-Normal7"/>
              <w:spacing w:after="0" w:line="240" w:lineRule="auto"/>
              <w:jc w:val="center"/>
              <w:rPr>
                <w:rFonts w:eastAsia="Times New Roman" w:cs="Calibri"/>
                <w:noProof/>
              </w:rPr>
            </w:pPr>
            <w:r>
              <w:rPr>
                <w:noProof/>
              </w:rPr>
              <w:t>6.10</w:t>
            </w:r>
          </w:p>
        </w:tc>
        <w:tc>
          <w:tcPr>
            <w:tcW w:w="1276" w:type="dxa"/>
            <w:shd w:val="clear" w:color="auto" w:fill="C4EFCE"/>
            <w:noWrap/>
            <w:vAlign w:val="center"/>
            <w:hideMark/>
          </w:tcPr>
          <w:p w14:paraId="3455EA12" w14:textId="77777777" w:rsidR="00E040FD" w:rsidRDefault="00740D64">
            <w:pPr>
              <w:pStyle w:val="P68B1DB1-Normal8"/>
              <w:spacing w:after="0" w:line="240" w:lineRule="auto"/>
              <w:jc w:val="center"/>
              <w:rPr>
                <w:rFonts w:eastAsia="Times New Roman" w:cs="Calibri"/>
                <w:noProof/>
              </w:rPr>
            </w:pPr>
            <w:r>
              <w:rPr>
                <w:noProof/>
              </w:rPr>
              <w:t>RE-C06-i05-RAA</w:t>
            </w:r>
          </w:p>
        </w:tc>
        <w:tc>
          <w:tcPr>
            <w:tcW w:w="1134" w:type="dxa"/>
            <w:shd w:val="clear" w:color="auto" w:fill="C4EFCE"/>
            <w:noWrap/>
            <w:vAlign w:val="center"/>
            <w:hideMark/>
          </w:tcPr>
          <w:p w14:paraId="5F017E0B"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74D4D1A" w14:textId="77777777" w:rsidR="00E040FD" w:rsidRDefault="00740D64">
            <w:pPr>
              <w:pStyle w:val="P68B1DB1-Normal8"/>
              <w:spacing w:after="0" w:line="240" w:lineRule="auto"/>
              <w:jc w:val="center"/>
              <w:rPr>
                <w:rFonts w:eastAsia="Times New Roman" w:cs="Calibri"/>
                <w:noProof/>
              </w:rPr>
            </w:pPr>
            <w:r>
              <w:rPr>
                <w:noProof/>
              </w:rPr>
              <w:t>Ytterligare antal vuxna som deltar i eftergymnasial utbildning och högre utbildning i den autonoma regionen Azorerna</w:t>
            </w:r>
          </w:p>
        </w:tc>
        <w:tc>
          <w:tcPr>
            <w:tcW w:w="1275" w:type="dxa"/>
            <w:shd w:val="clear" w:color="auto" w:fill="C4EFCE"/>
            <w:noWrap/>
            <w:vAlign w:val="center"/>
            <w:hideMark/>
          </w:tcPr>
          <w:p w14:paraId="4B93C7DE"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F677F4A"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408B2C73"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36350747" w14:textId="77777777" w:rsidR="00E040FD" w:rsidRDefault="00740D64">
            <w:pPr>
              <w:pStyle w:val="P68B1DB1-Normal8"/>
              <w:spacing w:after="0" w:line="240" w:lineRule="auto"/>
              <w:jc w:val="center"/>
              <w:rPr>
                <w:rFonts w:eastAsia="Times New Roman" w:cs="Calibri"/>
                <w:noProof/>
              </w:rPr>
            </w:pPr>
            <w:r>
              <w:rPr>
                <w:noProof/>
              </w:rPr>
              <w:t>1 145</w:t>
            </w:r>
          </w:p>
        </w:tc>
        <w:tc>
          <w:tcPr>
            <w:tcW w:w="567" w:type="dxa"/>
            <w:shd w:val="clear" w:color="auto" w:fill="C4EFCE"/>
            <w:noWrap/>
            <w:vAlign w:val="center"/>
            <w:hideMark/>
          </w:tcPr>
          <w:p w14:paraId="2B64FDEB"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5C6DF304" w14:textId="77777777" w:rsidR="00E040FD" w:rsidRDefault="00740D6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0110C7B5" w14:textId="77777777" w:rsidR="00E040FD" w:rsidRDefault="00740D64">
            <w:pPr>
              <w:pStyle w:val="P68B1DB1-Normal8"/>
              <w:spacing w:after="0" w:line="240" w:lineRule="auto"/>
              <w:jc w:val="both"/>
              <w:rPr>
                <w:rFonts w:eastAsia="Times New Roman" w:cs="Calibri"/>
                <w:noProof/>
              </w:rPr>
            </w:pPr>
            <w:r>
              <w:rPr>
                <w:noProof/>
              </w:rPr>
              <w:t>Ytterligare antal vuxna som deltar i eftergymnasial utbildning och högre utbildning i den autonoma regionen Azorerna.</w:t>
            </w:r>
          </w:p>
        </w:tc>
      </w:tr>
      <w:tr w:rsidR="00E040FD" w14:paraId="750BEA35" w14:textId="77777777">
        <w:trPr>
          <w:trHeight w:val="1060"/>
        </w:trPr>
        <w:tc>
          <w:tcPr>
            <w:tcW w:w="1135" w:type="dxa"/>
            <w:shd w:val="clear" w:color="auto" w:fill="C5EFCE"/>
            <w:vAlign w:val="center"/>
            <w:hideMark/>
          </w:tcPr>
          <w:p w14:paraId="15B13B31" w14:textId="77777777" w:rsidR="00E040FD" w:rsidRDefault="00740D64">
            <w:pPr>
              <w:pStyle w:val="P68B1DB1-Normal7"/>
              <w:spacing w:after="0" w:line="240" w:lineRule="auto"/>
              <w:jc w:val="center"/>
              <w:rPr>
                <w:rFonts w:eastAsia="Times New Roman" w:cs="Calibri"/>
                <w:noProof/>
              </w:rPr>
            </w:pPr>
            <w:r>
              <w:rPr>
                <w:noProof/>
              </w:rPr>
              <w:t>6.11</w:t>
            </w:r>
          </w:p>
        </w:tc>
        <w:tc>
          <w:tcPr>
            <w:tcW w:w="1276" w:type="dxa"/>
            <w:shd w:val="clear" w:color="auto" w:fill="C4EFCE"/>
            <w:noWrap/>
            <w:vAlign w:val="center"/>
            <w:hideMark/>
          </w:tcPr>
          <w:p w14:paraId="4B3896E6" w14:textId="77777777" w:rsidR="00E040FD" w:rsidRDefault="00740D64">
            <w:pPr>
              <w:pStyle w:val="P68B1DB1-Normal8"/>
              <w:spacing w:after="0" w:line="240" w:lineRule="auto"/>
              <w:jc w:val="center"/>
              <w:rPr>
                <w:rFonts w:eastAsia="Times New Roman" w:cs="Calibri"/>
                <w:noProof/>
              </w:rPr>
            </w:pPr>
            <w:r>
              <w:rPr>
                <w:noProof/>
              </w:rPr>
              <w:t>RE-C06-i05-RAA</w:t>
            </w:r>
          </w:p>
        </w:tc>
        <w:tc>
          <w:tcPr>
            <w:tcW w:w="1134" w:type="dxa"/>
            <w:shd w:val="clear" w:color="auto" w:fill="C4EFCE"/>
            <w:noWrap/>
            <w:vAlign w:val="center"/>
            <w:hideMark/>
          </w:tcPr>
          <w:p w14:paraId="5501D610"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27DFBDA" w14:textId="77777777" w:rsidR="00E040FD" w:rsidRDefault="00740D64">
            <w:pPr>
              <w:pStyle w:val="P68B1DB1-Normal8"/>
              <w:spacing w:after="0" w:line="240" w:lineRule="auto"/>
              <w:jc w:val="center"/>
              <w:rPr>
                <w:rFonts w:eastAsia="Times New Roman" w:cs="Calibri"/>
                <w:noProof/>
              </w:rPr>
            </w:pPr>
            <w:r>
              <w:rPr>
                <w:noProof/>
              </w:rPr>
              <w:t>Uppgraderade yrkesskolor i den autonoma regionen Azorerna</w:t>
            </w:r>
          </w:p>
        </w:tc>
        <w:tc>
          <w:tcPr>
            <w:tcW w:w="1275" w:type="dxa"/>
            <w:shd w:val="clear" w:color="auto" w:fill="C4EFCE"/>
            <w:noWrap/>
            <w:vAlign w:val="center"/>
            <w:hideMark/>
          </w:tcPr>
          <w:p w14:paraId="7633C471"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B04129F"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264B2313"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2B8D440E" w14:textId="77777777" w:rsidR="00E040FD" w:rsidRDefault="00740D64">
            <w:pPr>
              <w:pStyle w:val="P68B1DB1-Normal8"/>
              <w:spacing w:after="0" w:line="240" w:lineRule="auto"/>
              <w:jc w:val="center"/>
              <w:rPr>
                <w:rFonts w:eastAsia="Times New Roman" w:cs="Calibri"/>
                <w:noProof/>
              </w:rPr>
            </w:pPr>
            <w:r>
              <w:rPr>
                <w:noProof/>
              </w:rPr>
              <w:t>17</w:t>
            </w:r>
          </w:p>
        </w:tc>
        <w:tc>
          <w:tcPr>
            <w:tcW w:w="567" w:type="dxa"/>
            <w:shd w:val="clear" w:color="auto" w:fill="C4EFCE"/>
            <w:noWrap/>
            <w:vAlign w:val="center"/>
            <w:hideMark/>
          </w:tcPr>
          <w:p w14:paraId="657890BF"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5D55CA0C" w14:textId="77777777" w:rsidR="00E040FD" w:rsidRDefault="00740D6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F352652" w14:textId="60266876" w:rsidR="00E040FD" w:rsidRDefault="00740D64">
            <w:pPr>
              <w:pStyle w:val="P68B1DB1-Normal8"/>
              <w:spacing w:after="0" w:line="240" w:lineRule="auto"/>
              <w:jc w:val="both"/>
              <w:rPr>
                <w:rFonts w:eastAsia="Times New Roman" w:cs="Calibri"/>
                <w:noProof/>
              </w:rPr>
            </w:pPr>
            <w:r>
              <w:rPr>
                <w:noProof/>
              </w:rPr>
              <w:t>Antal yrkesskolor och offentliga utbildningsinstitut som gynnades av renovering av verkstäder, laboratorier och datorrum och inköp av ny utrustning i linje med den tekniska utvecklingen. När uppgraderingen av infrastrukturen inbegriper renovering av byggnader ska energieffektivitetsrenoveringarna i genomsnitt leda till en renovering av minst medelstor omfattning enligt definitionen i kommissionens rekommendation om byggnadsrenovering (EU) 2019/786.</w:t>
            </w:r>
          </w:p>
        </w:tc>
      </w:tr>
      <w:tr w:rsidR="00E040FD" w14:paraId="55F947BE" w14:textId="77777777">
        <w:trPr>
          <w:trHeight w:val="1171"/>
        </w:trPr>
        <w:tc>
          <w:tcPr>
            <w:tcW w:w="1135" w:type="dxa"/>
            <w:shd w:val="clear" w:color="auto" w:fill="C5EFCE"/>
            <w:vAlign w:val="center"/>
            <w:hideMark/>
          </w:tcPr>
          <w:p w14:paraId="6524EBF6" w14:textId="77777777" w:rsidR="00E040FD" w:rsidRDefault="00740D64">
            <w:pPr>
              <w:pStyle w:val="P68B1DB1-Normal7"/>
              <w:spacing w:after="0" w:line="240" w:lineRule="auto"/>
              <w:jc w:val="center"/>
              <w:rPr>
                <w:rFonts w:eastAsia="Times New Roman" w:cs="Calibri"/>
                <w:noProof/>
              </w:rPr>
            </w:pPr>
            <w:r>
              <w:rPr>
                <w:noProof/>
              </w:rPr>
              <w:t>6.12</w:t>
            </w:r>
          </w:p>
        </w:tc>
        <w:tc>
          <w:tcPr>
            <w:tcW w:w="1276" w:type="dxa"/>
            <w:shd w:val="clear" w:color="auto" w:fill="C4EFCE"/>
            <w:noWrap/>
            <w:vAlign w:val="center"/>
            <w:hideMark/>
          </w:tcPr>
          <w:p w14:paraId="547D2E2F" w14:textId="77777777" w:rsidR="00E040FD" w:rsidRDefault="00740D64">
            <w:pPr>
              <w:pStyle w:val="P68B1DB1-Normal8"/>
              <w:spacing w:after="0" w:line="240" w:lineRule="auto"/>
              <w:jc w:val="center"/>
              <w:rPr>
                <w:rFonts w:eastAsia="Times New Roman" w:cs="Calibri"/>
                <w:noProof/>
              </w:rPr>
            </w:pPr>
            <w:r>
              <w:rPr>
                <w:noProof/>
              </w:rPr>
              <w:t>RE-C06-r14</w:t>
            </w:r>
          </w:p>
        </w:tc>
        <w:tc>
          <w:tcPr>
            <w:tcW w:w="1134" w:type="dxa"/>
            <w:shd w:val="clear" w:color="auto" w:fill="C4EFCE"/>
            <w:noWrap/>
            <w:vAlign w:val="center"/>
            <w:hideMark/>
          </w:tcPr>
          <w:p w14:paraId="6161978A"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7FF7A7F" w14:textId="77777777" w:rsidR="00E040FD" w:rsidRDefault="00740D64">
            <w:pPr>
              <w:pStyle w:val="P68B1DB1-Normal8"/>
              <w:spacing w:after="0" w:line="240" w:lineRule="auto"/>
              <w:jc w:val="center"/>
              <w:rPr>
                <w:rFonts w:eastAsia="Times New Roman" w:cs="Calibri"/>
                <w:noProof/>
              </w:rPr>
            </w:pPr>
            <w:r>
              <w:rPr>
                <w:noProof/>
              </w:rPr>
              <w:t>Öppnande av lediga platser för utbildning</w:t>
            </w:r>
          </w:p>
        </w:tc>
        <w:tc>
          <w:tcPr>
            <w:tcW w:w="1275" w:type="dxa"/>
            <w:shd w:val="clear" w:color="auto" w:fill="C4EFCE"/>
            <w:noWrap/>
            <w:vAlign w:val="center"/>
            <w:hideMark/>
          </w:tcPr>
          <w:p w14:paraId="1F0B5386"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08FF90D"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7E521221"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2D8E74D9" w14:textId="77777777" w:rsidR="00E040FD" w:rsidRDefault="00740D64">
            <w:pPr>
              <w:pStyle w:val="P68B1DB1-Normal8"/>
              <w:spacing w:after="0" w:line="240" w:lineRule="auto"/>
              <w:jc w:val="center"/>
              <w:rPr>
                <w:rFonts w:eastAsia="Times New Roman" w:cs="Calibri"/>
                <w:noProof/>
              </w:rPr>
            </w:pPr>
            <w:r>
              <w:rPr>
                <w:noProof/>
              </w:rPr>
              <w:t>20 000</w:t>
            </w:r>
          </w:p>
        </w:tc>
        <w:tc>
          <w:tcPr>
            <w:tcW w:w="567" w:type="dxa"/>
            <w:shd w:val="clear" w:color="auto" w:fill="C4EFCE"/>
            <w:noWrap/>
            <w:vAlign w:val="center"/>
            <w:hideMark/>
          </w:tcPr>
          <w:p w14:paraId="4D258239"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330192EF" w14:textId="77777777" w:rsidR="00E040FD" w:rsidRDefault="00740D6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5E6EA693" w14:textId="77777777" w:rsidR="00E040FD" w:rsidRDefault="00740D64">
            <w:pPr>
              <w:pStyle w:val="P68B1DB1-Normal8"/>
              <w:spacing w:after="0" w:line="240" w:lineRule="auto"/>
              <w:jc w:val="both"/>
              <w:rPr>
                <w:rFonts w:eastAsia="Times New Roman" w:cs="Calibri"/>
                <w:noProof/>
              </w:rPr>
            </w:pPr>
            <w:r>
              <w:rPr>
                <w:noProof/>
              </w:rPr>
              <w:t>Antal nya lediga platser som öppnats inom yrkesutbildningar efter uppgraderingen av den nationella kvalifikationskatalogen (CNQ) inom framväxande områden baserat på diagnos av kompetensprognoser (SANQ).</w:t>
            </w:r>
          </w:p>
        </w:tc>
      </w:tr>
      <w:tr w:rsidR="00E040FD" w14:paraId="4D68171D" w14:textId="77777777">
        <w:trPr>
          <w:trHeight w:val="430"/>
        </w:trPr>
        <w:tc>
          <w:tcPr>
            <w:tcW w:w="1135" w:type="dxa"/>
            <w:shd w:val="clear" w:color="auto" w:fill="C5EFCE"/>
            <w:vAlign w:val="center"/>
            <w:hideMark/>
          </w:tcPr>
          <w:p w14:paraId="574224E8" w14:textId="77777777" w:rsidR="00E040FD" w:rsidRDefault="00740D64">
            <w:pPr>
              <w:pStyle w:val="P68B1DB1-Normal7"/>
              <w:spacing w:after="0" w:line="240" w:lineRule="auto"/>
              <w:jc w:val="center"/>
              <w:rPr>
                <w:rFonts w:eastAsia="Times New Roman" w:cs="Calibri"/>
                <w:noProof/>
              </w:rPr>
            </w:pPr>
            <w:r>
              <w:rPr>
                <w:noProof/>
              </w:rPr>
              <w:t>6.13</w:t>
            </w:r>
          </w:p>
        </w:tc>
        <w:tc>
          <w:tcPr>
            <w:tcW w:w="1276" w:type="dxa"/>
            <w:shd w:val="clear" w:color="auto" w:fill="C4EFCE"/>
            <w:noWrap/>
            <w:vAlign w:val="center"/>
            <w:hideMark/>
          </w:tcPr>
          <w:p w14:paraId="1F8EACCD" w14:textId="77777777" w:rsidR="00E040FD" w:rsidRDefault="00740D64">
            <w:pPr>
              <w:pStyle w:val="P68B1DB1-Normal8"/>
              <w:spacing w:after="0" w:line="240" w:lineRule="auto"/>
              <w:jc w:val="center"/>
              <w:rPr>
                <w:rFonts w:eastAsia="Times New Roman" w:cs="Calibri"/>
                <w:noProof/>
              </w:rPr>
            </w:pPr>
            <w:r>
              <w:rPr>
                <w:noProof/>
              </w:rPr>
              <w:t>RE-C06-r15</w:t>
            </w:r>
          </w:p>
        </w:tc>
        <w:tc>
          <w:tcPr>
            <w:tcW w:w="1134" w:type="dxa"/>
            <w:shd w:val="clear" w:color="auto" w:fill="C4EFCE"/>
            <w:noWrap/>
            <w:vAlign w:val="center"/>
            <w:hideMark/>
          </w:tcPr>
          <w:p w14:paraId="3F880A1E"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0F8EBFA" w14:textId="77777777" w:rsidR="00E040FD" w:rsidRDefault="00740D64">
            <w:pPr>
              <w:pStyle w:val="P68B1DB1-Normal8"/>
              <w:spacing w:after="0" w:line="240" w:lineRule="auto"/>
              <w:jc w:val="center"/>
              <w:rPr>
                <w:rFonts w:eastAsia="Times New Roman" w:cs="Calibri"/>
                <w:noProof/>
              </w:rPr>
            </w:pPr>
            <w:r>
              <w:rPr>
                <w:noProof/>
              </w:rPr>
              <w:t>Lagen om särskilda uttagningsprov för tillträde till högre utbildning träder i kraft</w:t>
            </w:r>
          </w:p>
        </w:tc>
        <w:tc>
          <w:tcPr>
            <w:tcW w:w="1275" w:type="dxa"/>
            <w:shd w:val="clear" w:color="auto" w:fill="C4EFCE"/>
            <w:noWrap/>
            <w:vAlign w:val="center"/>
            <w:hideMark/>
          </w:tcPr>
          <w:p w14:paraId="4881AFCF" w14:textId="77777777" w:rsidR="00E040FD" w:rsidRDefault="00740D64">
            <w:pPr>
              <w:pStyle w:val="P68B1DB1-Normal8"/>
              <w:spacing w:after="0" w:line="240" w:lineRule="auto"/>
              <w:jc w:val="center"/>
              <w:rPr>
                <w:rFonts w:eastAsia="Times New Roman" w:cs="Calibri"/>
                <w:noProof/>
              </w:rPr>
            </w:pPr>
            <w:r>
              <w:rPr>
                <w:noProof/>
              </w:rPr>
              <w:t xml:space="preserve">Lagen om särskilda uttagningsprov för tillträde till högre utbildning träder i kraft </w:t>
            </w:r>
          </w:p>
        </w:tc>
        <w:tc>
          <w:tcPr>
            <w:tcW w:w="993" w:type="dxa"/>
            <w:shd w:val="clear" w:color="auto" w:fill="C4EFCE"/>
            <w:noWrap/>
            <w:vAlign w:val="center"/>
            <w:hideMark/>
          </w:tcPr>
          <w:p w14:paraId="324277CF"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AFB1159" w14:textId="77777777" w:rsidR="00E040FD" w:rsidRDefault="00740D6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CD5524E"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EC36569" w14:textId="77777777"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19163647" w14:textId="77777777" w:rsidR="00E040FD" w:rsidRDefault="00740D64">
            <w:pPr>
              <w:pStyle w:val="P68B1DB1-Normal8"/>
              <w:spacing w:after="0" w:line="240" w:lineRule="auto"/>
              <w:jc w:val="center"/>
              <w:rPr>
                <w:rFonts w:eastAsia="Times New Roman" w:cs="Calibri"/>
                <w:noProof/>
              </w:rPr>
            </w:pPr>
            <w:r>
              <w:rPr>
                <w:noProof/>
              </w:rPr>
              <w:t>2020</w:t>
            </w:r>
          </w:p>
        </w:tc>
        <w:tc>
          <w:tcPr>
            <w:tcW w:w="4395" w:type="dxa"/>
            <w:shd w:val="clear" w:color="auto" w:fill="C4EFCE"/>
            <w:vAlign w:val="center"/>
            <w:hideMark/>
          </w:tcPr>
          <w:p w14:paraId="042D0010" w14:textId="77777777" w:rsidR="00E040FD" w:rsidRDefault="00740D64">
            <w:pPr>
              <w:pStyle w:val="P68B1DB1-Normal8"/>
              <w:spacing w:after="0" w:line="240" w:lineRule="auto"/>
              <w:jc w:val="both"/>
              <w:rPr>
                <w:rFonts w:eastAsia="Times New Roman" w:cs="Calibri"/>
                <w:noProof/>
              </w:rPr>
            </w:pPr>
            <w:r>
              <w:rPr>
                <w:noProof/>
              </w:rPr>
              <w:t>Ikraftträdande av lagen om särskilda uttagningsprov för tillträde till högre utbildning för studenter som har avslutat gymnasieutbildning genom professionella kanaler och specialiserade konstnärliga kurser.</w:t>
            </w:r>
          </w:p>
        </w:tc>
      </w:tr>
      <w:tr w:rsidR="00E040FD" w14:paraId="5C350BC5" w14:textId="77777777">
        <w:trPr>
          <w:trHeight w:val="1480"/>
        </w:trPr>
        <w:tc>
          <w:tcPr>
            <w:tcW w:w="1135" w:type="dxa"/>
            <w:shd w:val="clear" w:color="auto" w:fill="C5EFCE"/>
            <w:vAlign w:val="center"/>
            <w:hideMark/>
          </w:tcPr>
          <w:p w14:paraId="2D4BA14E" w14:textId="77777777" w:rsidR="00E040FD" w:rsidRDefault="00740D64">
            <w:pPr>
              <w:pStyle w:val="P68B1DB1-Normal7"/>
              <w:spacing w:after="0" w:line="240" w:lineRule="auto"/>
              <w:jc w:val="center"/>
              <w:rPr>
                <w:rFonts w:eastAsia="Times New Roman" w:cs="Calibri"/>
                <w:noProof/>
              </w:rPr>
            </w:pPr>
            <w:r>
              <w:rPr>
                <w:noProof/>
              </w:rPr>
              <w:t>6.14</w:t>
            </w:r>
          </w:p>
        </w:tc>
        <w:tc>
          <w:tcPr>
            <w:tcW w:w="1276" w:type="dxa"/>
            <w:shd w:val="clear" w:color="auto" w:fill="C4EFCE"/>
            <w:noWrap/>
            <w:vAlign w:val="center"/>
            <w:hideMark/>
          </w:tcPr>
          <w:p w14:paraId="49780B25" w14:textId="77777777" w:rsidR="00E040FD" w:rsidRDefault="00740D64">
            <w:pPr>
              <w:pStyle w:val="P68B1DB1-Normal8"/>
              <w:spacing w:after="0" w:line="240" w:lineRule="auto"/>
              <w:jc w:val="center"/>
              <w:rPr>
                <w:rFonts w:eastAsia="Times New Roman" w:cs="Calibri"/>
                <w:noProof/>
              </w:rPr>
            </w:pPr>
            <w:r>
              <w:rPr>
                <w:noProof/>
              </w:rPr>
              <w:t>RE-C06-r15</w:t>
            </w:r>
          </w:p>
        </w:tc>
        <w:tc>
          <w:tcPr>
            <w:tcW w:w="1134" w:type="dxa"/>
            <w:shd w:val="clear" w:color="auto" w:fill="C4EFCE"/>
            <w:noWrap/>
            <w:vAlign w:val="center"/>
            <w:hideMark/>
          </w:tcPr>
          <w:p w14:paraId="1D50742B"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285546A" w14:textId="77777777" w:rsidR="00E040FD" w:rsidRDefault="00740D64">
            <w:pPr>
              <w:pStyle w:val="P68B1DB1-Normal8"/>
              <w:spacing w:after="0" w:line="240" w:lineRule="auto"/>
              <w:jc w:val="center"/>
              <w:rPr>
                <w:rFonts w:eastAsia="Times New Roman" w:cs="Calibri"/>
                <w:noProof/>
              </w:rPr>
            </w:pPr>
            <w:r>
              <w:rPr>
                <w:noProof/>
              </w:rPr>
              <w:t>Ikraftträdande av den nya rättsliga ramen för högre utbildningsanstalters samarbete med offentlig förvaltning och företag</w:t>
            </w:r>
          </w:p>
        </w:tc>
        <w:tc>
          <w:tcPr>
            <w:tcW w:w="1275" w:type="dxa"/>
            <w:shd w:val="clear" w:color="auto" w:fill="C4EFCE"/>
            <w:noWrap/>
            <w:vAlign w:val="center"/>
            <w:hideMark/>
          </w:tcPr>
          <w:p w14:paraId="4004223A" w14:textId="77777777" w:rsidR="00E040FD" w:rsidRDefault="00740D64">
            <w:pPr>
              <w:pStyle w:val="P68B1DB1-Normal8"/>
              <w:spacing w:after="0" w:line="240" w:lineRule="auto"/>
              <w:jc w:val="center"/>
              <w:rPr>
                <w:rFonts w:eastAsia="Times New Roman" w:cs="Calibri"/>
                <w:noProof/>
              </w:rPr>
            </w:pPr>
            <w:r>
              <w:rPr>
                <w:noProof/>
              </w:rPr>
              <w:t>Ikraftträdande av den nya rättsliga ramen för högre utbildningsanstalters samarbete med offentlig förvaltning och företag</w:t>
            </w:r>
          </w:p>
        </w:tc>
        <w:tc>
          <w:tcPr>
            <w:tcW w:w="993" w:type="dxa"/>
            <w:shd w:val="clear" w:color="auto" w:fill="C4EFCE"/>
            <w:noWrap/>
            <w:vAlign w:val="center"/>
            <w:hideMark/>
          </w:tcPr>
          <w:p w14:paraId="79A1DBFD"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1817FB5" w14:textId="77777777" w:rsidR="00E040FD" w:rsidRDefault="00740D6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700D13E6"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0C153E5" w14:textId="77777777"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53BC3D0D" w14:textId="77777777" w:rsidR="00E040FD" w:rsidRDefault="00740D64">
            <w:pPr>
              <w:pStyle w:val="P68B1DB1-Normal8"/>
              <w:spacing w:after="0" w:line="240" w:lineRule="auto"/>
              <w:jc w:val="center"/>
              <w:rPr>
                <w:rFonts w:eastAsia="Times New Roman" w:cs="Calibri"/>
                <w:noProof/>
              </w:rPr>
            </w:pPr>
            <w:r>
              <w:rPr>
                <w:noProof/>
              </w:rPr>
              <w:t>2021</w:t>
            </w:r>
          </w:p>
        </w:tc>
        <w:tc>
          <w:tcPr>
            <w:tcW w:w="4395" w:type="dxa"/>
            <w:shd w:val="clear" w:color="auto" w:fill="C4EFCE"/>
            <w:vAlign w:val="center"/>
            <w:hideMark/>
          </w:tcPr>
          <w:p w14:paraId="777EF2C9" w14:textId="77777777" w:rsidR="00E040FD" w:rsidRDefault="00740D64">
            <w:pPr>
              <w:pStyle w:val="P68B1DB1-Normal8"/>
              <w:spacing w:after="0" w:line="240" w:lineRule="auto"/>
              <w:jc w:val="both"/>
              <w:rPr>
                <w:rFonts w:eastAsia="Times New Roman" w:cs="Calibri"/>
                <w:noProof/>
              </w:rPr>
            </w:pPr>
            <w:r>
              <w:rPr>
                <w:noProof/>
              </w:rPr>
              <w:t>Ikraftträdande av den nya rättsliga ramen för högre utbildningsanstalters samarbete med offentlig förvaltning och företag, bland annat följande: inrättande av nätverk för samarbete mellan högre utbildningsanstalter i samarbete med arbetsgivare, bland annat för att främja grundläggande högre utbildning, innovationsprojekt och företagstjänster, ii) ändring av den rättsliga ställningen för att klargöra villkoren för när en extern specialist får utföra undervisnings- eller ledningsuppgifter vid högre utbildningsanstalter, i syfte att främja rörligheten mellan den akademiska världen och näringslivet. III) Stärka konsortier med delad förvaltning mellan högskolor och företag.</w:t>
            </w:r>
          </w:p>
        </w:tc>
      </w:tr>
      <w:tr w:rsidR="00E040FD" w14:paraId="6B6D1913" w14:textId="77777777">
        <w:trPr>
          <w:trHeight w:val="1060"/>
        </w:trPr>
        <w:tc>
          <w:tcPr>
            <w:tcW w:w="1135" w:type="dxa"/>
            <w:shd w:val="clear" w:color="auto" w:fill="C5EFCE"/>
            <w:vAlign w:val="center"/>
            <w:hideMark/>
          </w:tcPr>
          <w:p w14:paraId="7A115D0E" w14:textId="77777777" w:rsidR="00E040FD" w:rsidRDefault="00740D64">
            <w:pPr>
              <w:pStyle w:val="P68B1DB1-Normal7"/>
              <w:spacing w:after="0" w:line="240" w:lineRule="auto"/>
              <w:jc w:val="center"/>
              <w:rPr>
                <w:rFonts w:eastAsia="Times New Roman" w:cs="Calibri"/>
                <w:noProof/>
              </w:rPr>
            </w:pPr>
            <w:r>
              <w:rPr>
                <w:noProof/>
              </w:rPr>
              <w:t>6.15</w:t>
            </w:r>
          </w:p>
        </w:tc>
        <w:tc>
          <w:tcPr>
            <w:tcW w:w="1276" w:type="dxa"/>
            <w:shd w:val="clear" w:color="auto" w:fill="C4EFCE"/>
            <w:noWrap/>
            <w:vAlign w:val="center"/>
            <w:hideMark/>
          </w:tcPr>
          <w:p w14:paraId="072BCFC9" w14:textId="77777777" w:rsidR="00E040FD" w:rsidRDefault="00740D64">
            <w:pPr>
              <w:pStyle w:val="P68B1DB1-Normal8"/>
              <w:spacing w:after="0" w:line="240" w:lineRule="auto"/>
              <w:jc w:val="center"/>
              <w:rPr>
                <w:rFonts w:eastAsia="Times New Roman" w:cs="Calibri"/>
                <w:noProof/>
              </w:rPr>
            </w:pPr>
            <w:r>
              <w:rPr>
                <w:noProof/>
              </w:rPr>
              <w:t>RE-C06-r16</w:t>
            </w:r>
          </w:p>
        </w:tc>
        <w:tc>
          <w:tcPr>
            <w:tcW w:w="1134" w:type="dxa"/>
            <w:shd w:val="clear" w:color="auto" w:fill="C4EFCE"/>
            <w:noWrap/>
            <w:vAlign w:val="center"/>
            <w:hideMark/>
          </w:tcPr>
          <w:p w14:paraId="36CF0280"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E9FAFFB" w14:textId="77777777" w:rsidR="00E040FD" w:rsidRDefault="00740D64">
            <w:pPr>
              <w:pStyle w:val="P68B1DB1-Normal8"/>
              <w:spacing w:after="0" w:line="240" w:lineRule="auto"/>
              <w:jc w:val="center"/>
              <w:rPr>
                <w:rFonts w:eastAsia="Times New Roman" w:cs="Calibri"/>
                <w:noProof/>
              </w:rPr>
            </w:pPr>
            <w:r>
              <w:rPr>
                <w:noProof/>
              </w:rPr>
              <w:t>Lagen om reglerade yrken träder i kraft</w:t>
            </w:r>
          </w:p>
        </w:tc>
        <w:tc>
          <w:tcPr>
            <w:tcW w:w="1275" w:type="dxa"/>
            <w:shd w:val="clear" w:color="auto" w:fill="C4EFCE"/>
            <w:noWrap/>
            <w:vAlign w:val="center"/>
            <w:hideMark/>
          </w:tcPr>
          <w:p w14:paraId="0F2F14F7" w14:textId="77777777" w:rsidR="00E040FD" w:rsidRDefault="00740D64">
            <w:pPr>
              <w:pStyle w:val="P68B1DB1-Normal8"/>
              <w:spacing w:after="0" w:line="240" w:lineRule="auto"/>
              <w:jc w:val="center"/>
              <w:rPr>
                <w:rFonts w:eastAsia="Times New Roman" w:cs="Calibri"/>
                <w:noProof/>
              </w:rPr>
            </w:pPr>
            <w:r>
              <w:rPr>
                <w:noProof/>
              </w:rPr>
              <w:t>Lagen om reglerade yrken träder i kraft</w:t>
            </w:r>
          </w:p>
        </w:tc>
        <w:tc>
          <w:tcPr>
            <w:tcW w:w="993" w:type="dxa"/>
            <w:shd w:val="clear" w:color="auto" w:fill="C4EFCE"/>
            <w:noWrap/>
            <w:vAlign w:val="center"/>
            <w:hideMark/>
          </w:tcPr>
          <w:p w14:paraId="1C4406F9"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8CC3D9E" w14:textId="77777777" w:rsidR="00E040FD" w:rsidRDefault="00740D6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E64DB52"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0E3EBB9F"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17B08CA5" w14:textId="77777777" w:rsidR="00E040FD" w:rsidRDefault="00740D64">
            <w:pPr>
              <w:pStyle w:val="P68B1DB1-Normal8"/>
              <w:spacing w:after="0" w:line="240" w:lineRule="auto"/>
              <w:jc w:val="center"/>
              <w:rPr>
                <w:rFonts w:eastAsia="Times New Roman" w:cs="Calibri"/>
                <w:noProof/>
              </w:rPr>
            </w:pPr>
            <w:r>
              <w:rPr>
                <w:noProof/>
              </w:rPr>
              <w:t>2022</w:t>
            </w:r>
          </w:p>
        </w:tc>
        <w:tc>
          <w:tcPr>
            <w:tcW w:w="4395" w:type="dxa"/>
            <w:shd w:val="clear" w:color="auto" w:fill="C4EFCE"/>
            <w:vAlign w:val="center"/>
            <w:hideMark/>
          </w:tcPr>
          <w:p w14:paraId="6B104D29" w14:textId="61D2CBCD" w:rsidR="00E040FD" w:rsidRDefault="00740D64">
            <w:pPr>
              <w:pStyle w:val="P68B1DB1-Normal8"/>
              <w:spacing w:after="0" w:line="240" w:lineRule="auto"/>
              <w:jc w:val="both"/>
              <w:rPr>
                <w:rFonts w:eastAsia="Times New Roman" w:cs="Calibri"/>
                <w:noProof/>
              </w:rPr>
            </w:pPr>
            <w:r>
              <w:rPr>
                <w:noProof/>
              </w:rPr>
              <w:t>Ikraftträdande av lagen som bland annat syftar till att i) särskilja reglerings- och representationsuppgifter i yrkessammanslutningar, minska förteckningen över förbehållna verksamheter. Tillträdet till verksamhet kan begränsas endast för att skydda konstitutionella intressen, i enlighet med principerna om nödvändighet och proportionalitet. III) avskaffa begränsningarna för ägande och förvaltning av företag som tillhandahåller företagstjänster, förutsatt att cheferna respekterar de rättsliga reglerna för förebyggande av ”intressekonflikter”, och iv) tillåta tvärvetenskapliga företagstjänster.</w:t>
            </w:r>
          </w:p>
        </w:tc>
      </w:tr>
      <w:tr w:rsidR="00E040FD" w14:paraId="23A0A514" w14:textId="77777777">
        <w:trPr>
          <w:trHeight w:val="640"/>
        </w:trPr>
        <w:tc>
          <w:tcPr>
            <w:tcW w:w="1135" w:type="dxa"/>
            <w:shd w:val="clear" w:color="auto" w:fill="C5EFCE"/>
            <w:vAlign w:val="center"/>
            <w:hideMark/>
          </w:tcPr>
          <w:p w14:paraId="5367DF6B" w14:textId="77777777" w:rsidR="00E040FD" w:rsidRDefault="00740D64">
            <w:pPr>
              <w:pStyle w:val="P68B1DB1-Normal7"/>
              <w:spacing w:after="0" w:line="240" w:lineRule="auto"/>
              <w:jc w:val="center"/>
              <w:rPr>
                <w:rFonts w:eastAsia="Times New Roman" w:cs="Calibri"/>
                <w:noProof/>
              </w:rPr>
            </w:pPr>
            <w:r>
              <w:rPr>
                <w:noProof/>
              </w:rPr>
              <w:t>6.16</w:t>
            </w:r>
          </w:p>
        </w:tc>
        <w:tc>
          <w:tcPr>
            <w:tcW w:w="1276" w:type="dxa"/>
            <w:shd w:val="clear" w:color="auto" w:fill="C4EFCE"/>
            <w:noWrap/>
            <w:vAlign w:val="center"/>
            <w:hideMark/>
          </w:tcPr>
          <w:p w14:paraId="52F2ECE7" w14:textId="77777777" w:rsidR="00E040FD" w:rsidRDefault="00740D64">
            <w:pPr>
              <w:pStyle w:val="P68B1DB1-Normal8"/>
              <w:spacing w:after="0" w:line="240" w:lineRule="auto"/>
              <w:jc w:val="center"/>
              <w:rPr>
                <w:rFonts w:eastAsia="Times New Roman" w:cs="Calibri"/>
                <w:noProof/>
              </w:rPr>
            </w:pPr>
            <w:r>
              <w:rPr>
                <w:noProof/>
              </w:rPr>
              <w:t>RE-C06-r17</w:t>
            </w:r>
          </w:p>
        </w:tc>
        <w:tc>
          <w:tcPr>
            <w:tcW w:w="1134" w:type="dxa"/>
            <w:shd w:val="clear" w:color="auto" w:fill="C4EFCE"/>
            <w:noWrap/>
            <w:vAlign w:val="center"/>
            <w:hideMark/>
          </w:tcPr>
          <w:p w14:paraId="4C773C60"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553FC47" w14:textId="77777777" w:rsidR="00E040FD" w:rsidRDefault="00740D64">
            <w:pPr>
              <w:pStyle w:val="P68B1DB1-Normal8"/>
              <w:spacing w:after="0" w:line="240" w:lineRule="auto"/>
              <w:jc w:val="center"/>
              <w:rPr>
                <w:rFonts w:eastAsia="Times New Roman" w:cs="Calibri"/>
                <w:noProof/>
              </w:rPr>
            </w:pPr>
            <w:r>
              <w:rPr>
                <w:noProof/>
              </w:rPr>
              <w:t>Ikraftträdande av lagen om plattformsarbete</w:t>
            </w:r>
          </w:p>
        </w:tc>
        <w:tc>
          <w:tcPr>
            <w:tcW w:w="1275" w:type="dxa"/>
            <w:shd w:val="clear" w:color="auto" w:fill="C4EFCE"/>
            <w:noWrap/>
            <w:vAlign w:val="center"/>
            <w:hideMark/>
          </w:tcPr>
          <w:p w14:paraId="5201FB9F" w14:textId="77777777" w:rsidR="00E040FD" w:rsidRDefault="00740D64">
            <w:pPr>
              <w:pStyle w:val="P68B1DB1-Normal8"/>
              <w:spacing w:after="0" w:line="240" w:lineRule="auto"/>
              <w:jc w:val="center"/>
              <w:rPr>
                <w:rFonts w:eastAsia="Times New Roman" w:cs="Calibri"/>
                <w:noProof/>
              </w:rPr>
            </w:pPr>
            <w:r>
              <w:rPr>
                <w:noProof/>
              </w:rPr>
              <w:t>Ikraftträdande av lagen om plattformsarbete</w:t>
            </w:r>
          </w:p>
        </w:tc>
        <w:tc>
          <w:tcPr>
            <w:tcW w:w="993" w:type="dxa"/>
            <w:shd w:val="clear" w:color="auto" w:fill="C4EFCE"/>
            <w:noWrap/>
            <w:vAlign w:val="center"/>
            <w:hideMark/>
          </w:tcPr>
          <w:p w14:paraId="311ED5B5"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06F95D85" w14:textId="77777777" w:rsidR="00E040FD" w:rsidRDefault="00740D6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278565D9"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3A107F4" w14:textId="77777777" w:rsidR="00E040FD" w:rsidRDefault="00740D64">
            <w:pPr>
              <w:pStyle w:val="P68B1DB1-Normal8"/>
              <w:spacing w:after="0" w:line="240" w:lineRule="auto"/>
              <w:jc w:val="center"/>
              <w:rPr>
                <w:rFonts w:eastAsia="Times New Roman" w:cs="Calibri"/>
                <w:noProof/>
              </w:rPr>
            </w:pPr>
            <w:r>
              <w:rPr>
                <w:noProof/>
              </w:rPr>
              <w:t>KVARTAL 1</w:t>
            </w:r>
          </w:p>
        </w:tc>
        <w:tc>
          <w:tcPr>
            <w:tcW w:w="708" w:type="dxa"/>
            <w:shd w:val="clear" w:color="auto" w:fill="C4EFCE"/>
            <w:noWrap/>
            <w:vAlign w:val="center"/>
            <w:hideMark/>
          </w:tcPr>
          <w:p w14:paraId="13BAF87B" w14:textId="77777777" w:rsidR="00E040FD" w:rsidRDefault="00740D64">
            <w:pPr>
              <w:pStyle w:val="P68B1DB1-Normal8"/>
              <w:spacing w:after="0" w:line="240" w:lineRule="auto"/>
              <w:jc w:val="center"/>
              <w:rPr>
                <w:rFonts w:eastAsia="Times New Roman" w:cs="Calibri"/>
                <w:noProof/>
              </w:rPr>
            </w:pPr>
            <w:r>
              <w:rPr>
                <w:noProof/>
              </w:rPr>
              <w:t>2023</w:t>
            </w:r>
          </w:p>
        </w:tc>
        <w:tc>
          <w:tcPr>
            <w:tcW w:w="4395" w:type="dxa"/>
            <w:shd w:val="clear" w:color="auto" w:fill="C4EFCE"/>
            <w:vAlign w:val="center"/>
            <w:hideMark/>
          </w:tcPr>
          <w:p w14:paraId="06DB3C30" w14:textId="77777777" w:rsidR="00E040FD" w:rsidRDefault="00740D64">
            <w:pPr>
              <w:pStyle w:val="P68B1DB1-Normal8"/>
              <w:spacing w:after="0" w:line="240" w:lineRule="auto"/>
              <w:jc w:val="both"/>
              <w:rPr>
                <w:rFonts w:eastAsia="Times New Roman" w:cs="Calibri"/>
                <w:noProof/>
              </w:rPr>
            </w:pPr>
            <w:r>
              <w:rPr>
                <w:noProof/>
              </w:rPr>
              <w:t xml:space="preserve">Ikraftträdande av lagen om reglering av plattformsarbete för att ta itu med de nya utmaningar som orsakas av atypiska anställningsförhållanden, i enlighet med principerna i den europeiska pelaren för sociala rättigheter. Den ska syfta till att stärka relationerna mellan arbetsmarknadens parter och tillgången till rättigheter. </w:t>
            </w:r>
          </w:p>
        </w:tc>
      </w:tr>
      <w:tr w:rsidR="00E040FD" w14:paraId="673F5EE3" w14:textId="77777777">
        <w:trPr>
          <w:trHeight w:val="640"/>
        </w:trPr>
        <w:tc>
          <w:tcPr>
            <w:tcW w:w="1135" w:type="dxa"/>
            <w:shd w:val="clear" w:color="auto" w:fill="C5EFCE"/>
            <w:vAlign w:val="center"/>
            <w:hideMark/>
          </w:tcPr>
          <w:p w14:paraId="64E9A71C" w14:textId="77777777" w:rsidR="00E040FD" w:rsidRDefault="00740D64">
            <w:pPr>
              <w:pStyle w:val="P68B1DB1-Normal7"/>
              <w:spacing w:after="0" w:line="240" w:lineRule="auto"/>
              <w:jc w:val="center"/>
              <w:rPr>
                <w:rFonts w:eastAsia="Times New Roman" w:cs="Calibri"/>
                <w:noProof/>
              </w:rPr>
            </w:pPr>
            <w:r>
              <w:rPr>
                <w:noProof/>
              </w:rPr>
              <w:t>6.17</w:t>
            </w:r>
          </w:p>
        </w:tc>
        <w:tc>
          <w:tcPr>
            <w:tcW w:w="1276" w:type="dxa"/>
            <w:shd w:val="clear" w:color="auto" w:fill="C4EFCE"/>
            <w:noWrap/>
            <w:vAlign w:val="center"/>
            <w:hideMark/>
          </w:tcPr>
          <w:p w14:paraId="72BCDBDF" w14:textId="77777777" w:rsidR="00E040FD" w:rsidRDefault="00740D64">
            <w:pPr>
              <w:pStyle w:val="P68B1DB1-Normal8"/>
              <w:spacing w:after="0" w:line="240" w:lineRule="auto"/>
              <w:jc w:val="center"/>
              <w:rPr>
                <w:rFonts w:eastAsia="Times New Roman" w:cs="Calibri"/>
                <w:noProof/>
              </w:rPr>
            </w:pPr>
            <w:r>
              <w:rPr>
                <w:noProof/>
              </w:rPr>
              <w:t>RE-C06-r18</w:t>
            </w:r>
          </w:p>
        </w:tc>
        <w:tc>
          <w:tcPr>
            <w:tcW w:w="1134" w:type="dxa"/>
            <w:shd w:val="clear" w:color="auto" w:fill="C4EFCE"/>
            <w:noWrap/>
            <w:vAlign w:val="center"/>
            <w:hideMark/>
          </w:tcPr>
          <w:p w14:paraId="524C0022"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48ADF796" w14:textId="77777777" w:rsidR="00E040FD" w:rsidRDefault="00740D64">
            <w:pPr>
              <w:pStyle w:val="P68B1DB1-Normal8"/>
              <w:spacing w:after="0" w:line="240" w:lineRule="auto"/>
              <w:jc w:val="center"/>
              <w:rPr>
                <w:rFonts w:eastAsia="Times New Roman" w:cs="Calibri"/>
                <w:noProof/>
              </w:rPr>
            </w:pPr>
            <w:r>
              <w:rPr>
                <w:noProof/>
              </w:rPr>
              <w:t xml:space="preserve">Fastställa den portugisiska normen för ett förvaltningssystem för lika lön. </w:t>
            </w:r>
          </w:p>
        </w:tc>
        <w:tc>
          <w:tcPr>
            <w:tcW w:w="1275" w:type="dxa"/>
            <w:shd w:val="clear" w:color="auto" w:fill="C4EFCE"/>
            <w:noWrap/>
            <w:vAlign w:val="center"/>
            <w:hideMark/>
          </w:tcPr>
          <w:p w14:paraId="55000A29" w14:textId="77777777" w:rsidR="00E040FD" w:rsidRDefault="00740D64">
            <w:pPr>
              <w:pStyle w:val="P68B1DB1-Normal8"/>
              <w:spacing w:after="0" w:line="240" w:lineRule="auto"/>
              <w:jc w:val="center"/>
              <w:rPr>
                <w:rFonts w:eastAsia="Times New Roman" w:cs="Calibri"/>
                <w:noProof/>
              </w:rPr>
            </w:pPr>
            <w:r>
              <w:rPr>
                <w:noProof/>
              </w:rPr>
              <w:t>Offentliggörande av normen</w:t>
            </w:r>
          </w:p>
        </w:tc>
        <w:tc>
          <w:tcPr>
            <w:tcW w:w="993" w:type="dxa"/>
            <w:shd w:val="clear" w:color="auto" w:fill="C4EFCE"/>
            <w:noWrap/>
            <w:vAlign w:val="center"/>
            <w:hideMark/>
          </w:tcPr>
          <w:p w14:paraId="7D92AA79"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EA2CD27" w14:textId="77777777" w:rsidR="00E040FD" w:rsidRDefault="00740D6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6A55245"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F51F9B5"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16E56A06" w14:textId="77777777" w:rsidR="00E040FD" w:rsidRDefault="00740D64">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7A2136C7" w14:textId="77777777" w:rsidR="00E040FD" w:rsidRDefault="00740D64">
            <w:pPr>
              <w:pStyle w:val="P68B1DB1-Normal8"/>
              <w:spacing w:after="0" w:line="240" w:lineRule="auto"/>
              <w:jc w:val="both"/>
              <w:rPr>
                <w:rFonts w:eastAsia="Times New Roman" w:cs="Calibri"/>
                <w:noProof/>
              </w:rPr>
            </w:pPr>
            <w:r>
              <w:rPr>
                <w:noProof/>
              </w:rPr>
              <w:t>Normen ska vara ett frivilligt system baserat på Islands norm ÍST 85: 2012, ge offentligt erkännande till företag som faktiskt har genomfört en politik för lika lön. Intyg ska utfärdas för att bekräfta att beslut om löner helt och hållet grundar sig på relevanta överväganden.</w:t>
            </w:r>
          </w:p>
        </w:tc>
      </w:tr>
      <w:tr w:rsidR="00E040FD" w14:paraId="3DEAC6EC" w14:textId="77777777">
        <w:trPr>
          <w:trHeight w:val="640"/>
        </w:trPr>
        <w:tc>
          <w:tcPr>
            <w:tcW w:w="1135" w:type="dxa"/>
            <w:shd w:val="clear" w:color="auto" w:fill="C5EFCE"/>
            <w:vAlign w:val="center"/>
            <w:hideMark/>
          </w:tcPr>
          <w:p w14:paraId="05280834" w14:textId="77777777" w:rsidR="00E040FD" w:rsidRDefault="00740D64">
            <w:pPr>
              <w:pStyle w:val="P68B1DB1-Normal7"/>
              <w:spacing w:after="0" w:line="240" w:lineRule="auto"/>
              <w:jc w:val="center"/>
              <w:rPr>
                <w:rFonts w:eastAsia="Times New Roman" w:cs="Calibri"/>
                <w:noProof/>
              </w:rPr>
            </w:pPr>
            <w:r>
              <w:rPr>
                <w:noProof/>
              </w:rPr>
              <w:t>6.18</w:t>
            </w:r>
          </w:p>
        </w:tc>
        <w:tc>
          <w:tcPr>
            <w:tcW w:w="1276" w:type="dxa"/>
            <w:shd w:val="clear" w:color="auto" w:fill="C4EFCE"/>
            <w:noWrap/>
            <w:vAlign w:val="center"/>
            <w:hideMark/>
          </w:tcPr>
          <w:p w14:paraId="6BCF6F48" w14:textId="77777777" w:rsidR="00E040FD" w:rsidRDefault="00740D64">
            <w:pPr>
              <w:pStyle w:val="P68B1DB1-Normal8"/>
              <w:spacing w:after="0" w:line="240" w:lineRule="auto"/>
              <w:jc w:val="center"/>
              <w:rPr>
                <w:rFonts w:eastAsia="Times New Roman" w:cs="Calibri"/>
                <w:noProof/>
              </w:rPr>
            </w:pPr>
            <w:r>
              <w:rPr>
                <w:noProof/>
              </w:rPr>
              <w:t>RE-C06-r18</w:t>
            </w:r>
          </w:p>
        </w:tc>
        <w:tc>
          <w:tcPr>
            <w:tcW w:w="1134" w:type="dxa"/>
            <w:shd w:val="clear" w:color="auto" w:fill="C4EFCE"/>
            <w:noWrap/>
            <w:vAlign w:val="center"/>
            <w:hideMark/>
          </w:tcPr>
          <w:p w14:paraId="0FED066F"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31C8BBF" w14:textId="77777777" w:rsidR="00E040FD" w:rsidRDefault="00740D64">
            <w:pPr>
              <w:pStyle w:val="P68B1DB1-Normal8"/>
              <w:spacing w:after="0" w:line="240" w:lineRule="auto"/>
              <w:jc w:val="center"/>
              <w:rPr>
                <w:rFonts w:eastAsia="Times New Roman" w:cs="Calibri"/>
                <w:noProof/>
              </w:rPr>
            </w:pPr>
            <w:r>
              <w:rPr>
                <w:noProof/>
              </w:rPr>
              <w:t>Anmälan av företag med mer än 50 arbetstagare som uppvisar betydande löneskillnader mellan könen</w:t>
            </w:r>
          </w:p>
        </w:tc>
        <w:tc>
          <w:tcPr>
            <w:tcW w:w="1275" w:type="dxa"/>
            <w:shd w:val="clear" w:color="auto" w:fill="C4EFCE"/>
            <w:noWrap/>
            <w:vAlign w:val="center"/>
            <w:hideMark/>
          </w:tcPr>
          <w:p w14:paraId="4929D370" w14:textId="77777777" w:rsidR="00E040FD" w:rsidRDefault="00740D64">
            <w:pPr>
              <w:pStyle w:val="P68B1DB1-Normal8"/>
              <w:spacing w:after="0" w:line="240" w:lineRule="auto"/>
              <w:jc w:val="center"/>
              <w:rPr>
                <w:rFonts w:eastAsia="Times New Roman" w:cs="Calibri"/>
                <w:noProof/>
              </w:rPr>
            </w:pPr>
            <w:r>
              <w:rPr>
                <w:noProof/>
              </w:rPr>
              <w:t>Anmälan av företag med mer än 50 arbetstagare som uppvisar betydande löneskillnader mellan könen</w:t>
            </w:r>
          </w:p>
        </w:tc>
        <w:tc>
          <w:tcPr>
            <w:tcW w:w="993" w:type="dxa"/>
            <w:shd w:val="clear" w:color="auto" w:fill="C4EFCE"/>
            <w:noWrap/>
            <w:vAlign w:val="center"/>
            <w:hideMark/>
          </w:tcPr>
          <w:p w14:paraId="64A13A3D"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8442C1A" w14:textId="77777777" w:rsidR="00E040FD" w:rsidRDefault="00740D6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0A5C912E"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1C3A39E0"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00CB07A4" w14:textId="77777777" w:rsidR="00E040FD" w:rsidRDefault="00740D64">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07F0DA13" w14:textId="77777777" w:rsidR="00E040FD" w:rsidRDefault="00740D64">
            <w:pPr>
              <w:pStyle w:val="P68B1DB1-Normal8"/>
              <w:spacing w:after="0" w:line="240" w:lineRule="auto"/>
              <w:jc w:val="both"/>
              <w:rPr>
                <w:rFonts w:eastAsia="Times New Roman" w:cs="Calibri"/>
                <w:noProof/>
              </w:rPr>
            </w:pPr>
            <w:r>
              <w:rPr>
                <w:noProof/>
              </w:rPr>
              <w:t>Anmälan till företag med mer än 50 arbetstagare som har betydande skillnader i lönenivåer mellan kvinnor och män för samma jobb om skyldigheten att lämna in en handlingsplan till yrkesinspektionens direktorat för att ta itu med löneskillnaderna mellan könen genom genomförandet av handlingsplanen</w:t>
            </w:r>
          </w:p>
        </w:tc>
      </w:tr>
      <w:tr w:rsidR="00E040FD" w14:paraId="7D8D557E" w14:textId="77777777">
        <w:trPr>
          <w:trHeight w:val="273"/>
        </w:trPr>
        <w:tc>
          <w:tcPr>
            <w:tcW w:w="1135" w:type="dxa"/>
            <w:shd w:val="clear" w:color="auto" w:fill="C5EFCE"/>
            <w:vAlign w:val="center"/>
          </w:tcPr>
          <w:p w14:paraId="6DB0713C" w14:textId="52D6D02F" w:rsidR="00E040FD" w:rsidRDefault="00740D64">
            <w:pPr>
              <w:pStyle w:val="P68B1DB1-Normal11"/>
              <w:spacing w:after="0" w:line="240" w:lineRule="auto"/>
              <w:jc w:val="center"/>
              <w:rPr>
                <w:rFonts w:eastAsia="Times New Roman"/>
                <w:noProof/>
              </w:rPr>
            </w:pPr>
            <w:r>
              <w:rPr>
                <w:noProof/>
              </w:rPr>
              <w:t>6.19</w:t>
            </w:r>
          </w:p>
        </w:tc>
        <w:tc>
          <w:tcPr>
            <w:tcW w:w="1276" w:type="dxa"/>
            <w:shd w:val="clear" w:color="auto" w:fill="C4EFCE"/>
            <w:noWrap/>
            <w:vAlign w:val="center"/>
          </w:tcPr>
          <w:p w14:paraId="24F4FD24" w14:textId="15FD8AA5" w:rsidR="00E040FD" w:rsidRDefault="00740D64">
            <w:pPr>
              <w:pStyle w:val="P68B1DB1-Normal12"/>
              <w:spacing w:after="0" w:line="240" w:lineRule="auto"/>
              <w:jc w:val="center"/>
              <w:rPr>
                <w:rFonts w:eastAsia="Times New Roman" w:cstheme="minorHAnsi"/>
                <w:noProof/>
              </w:rPr>
            </w:pPr>
            <w:r>
              <w:rPr>
                <w:noProof/>
              </w:rPr>
              <w:t>RE-C06-i06</w:t>
            </w:r>
          </w:p>
        </w:tc>
        <w:tc>
          <w:tcPr>
            <w:tcW w:w="1134" w:type="dxa"/>
            <w:shd w:val="clear" w:color="auto" w:fill="C4EFCE"/>
            <w:noWrap/>
            <w:vAlign w:val="center"/>
          </w:tcPr>
          <w:p w14:paraId="65A01FAC" w14:textId="3ABCA12D"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AEC0245" w14:textId="6EE157E7" w:rsidR="00E040FD" w:rsidRDefault="00740D64">
            <w:pPr>
              <w:pStyle w:val="P68B1DB1-Bodytext1013"/>
              <w:jc w:val="center"/>
              <w:rPr>
                <w:rFonts w:cstheme="minorBidi"/>
                <w:noProof/>
              </w:rPr>
            </w:pPr>
            <w:r>
              <w:rPr>
                <w:noProof/>
              </w:rPr>
              <w:t>Stöd till fasta kontrakt med doktorander inom ramen för FCT-Tenure och stöd till forskare inom ramen för EFR Portugal</w:t>
            </w:r>
          </w:p>
        </w:tc>
        <w:tc>
          <w:tcPr>
            <w:tcW w:w="1275" w:type="dxa"/>
            <w:shd w:val="clear" w:color="auto" w:fill="C4EFCE"/>
            <w:noWrap/>
            <w:vAlign w:val="center"/>
          </w:tcPr>
          <w:p w14:paraId="5B1FE369"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716424E2" w14:textId="6461DA4A" w:rsidR="00E040FD" w:rsidRDefault="00740D64">
            <w:pPr>
              <w:pStyle w:val="P68B1DB1-Normal12"/>
              <w:spacing w:after="0" w:line="240" w:lineRule="auto"/>
              <w:jc w:val="center"/>
              <w:rPr>
                <w:rFonts w:eastAsia="Times New Roman" w:cstheme="minorHAnsi"/>
                <w:noProof/>
              </w:rPr>
            </w:pPr>
            <w:r>
              <w:rPr>
                <w:noProof/>
              </w:rPr>
              <w:t>Antal kontrakt</w:t>
            </w:r>
          </w:p>
        </w:tc>
        <w:tc>
          <w:tcPr>
            <w:tcW w:w="992" w:type="dxa"/>
            <w:shd w:val="clear" w:color="auto" w:fill="C4EFCE"/>
            <w:noWrap/>
            <w:vAlign w:val="center"/>
          </w:tcPr>
          <w:p w14:paraId="29E7E7F7" w14:textId="77777777" w:rsidR="00E040FD" w:rsidRDefault="00E040FD">
            <w:pPr>
              <w:spacing w:after="0" w:line="240" w:lineRule="auto"/>
              <w:jc w:val="center"/>
              <w:rPr>
                <w:rFonts w:eastAsia="Times New Roman" w:cstheme="minorHAnsi"/>
                <w:noProof/>
                <w:sz w:val="16"/>
              </w:rPr>
            </w:pPr>
          </w:p>
        </w:tc>
        <w:tc>
          <w:tcPr>
            <w:tcW w:w="850" w:type="dxa"/>
            <w:shd w:val="clear" w:color="auto" w:fill="C4EFCE"/>
            <w:noWrap/>
            <w:vAlign w:val="center"/>
          </w:tcPr>
          <w:p w14:paraId="40BABDEE" w14:textId="58953BB8" w:rsidR="00E040FD" w:rsidRDefault="00740D64">
            <w:pPr>
              <w:pStyle w:val="P68B1DB1-Normal12"/>
              <w:spacing w:after="0" w:line="240" w:lineRule="auto"/>
              <w:jc w:val="center"/>
              <w:rPr>
                <w:noProof/>
              </w:rPr>
            </w:pPr>
            <w:r>
              <w:rPr>
                <w:noProof/>
              </w:rPr>
              <w:t>255</w:t>
            </w:r>
          </w:p>
        </w:tc>
        <w:tc>
          <w:tcPr>
            <w:tcW w:w="567" w:type="dxa"/>
            <w:shd w:val="clear" w:color="auto" w:fill="C4EFCE"/>
            <w:noWrap/>
            <w:vAlign w:val="center"/>
          </w:tcPr>
          <w:p w14:paraId="57152D13" w14:textId="3FC6943F" w:rsidR="00E040FD" w:rsidRDefault="00740D64">
            <w:pPr>
              <w:pStyle w:val="P68B1DB1-Normal12"/>
              <w:spacing w:after="0" w:line="240" w:lineRule="auto"/>
              <w:jc w:val="center"/>
              <w:rPr>
                <w:rFonts w:eastAsia="Times New Roman" w:cstheme="minorHAnsi"/>
                <w:noProof/>
              </w:rPr>
            </w:pPr>
            <w:r>
              <w:rPr>
                <w:noProof/>
              </w:rPr>
              <w:t>KVARTAL 1</w:t>
            </w:r>
          </w:p>
        </w:tc>
        <w:tc>
          <w:tcPr>
            <w:tcW w:w="708" w:type="dxa"/>
            <w:shd w:val="clear" w:color="auto" w:fill="C4EFCE"/>
            <w:noWrap/>
            <w:vAlign w:val="center"/>
          </w:tcPr>
          <w:p w14:paraId="626F1508" w14:textId="403213AC" w:rsidR="00E040FD" w:rsidRDefault="00740D64">
            <w:pPr>
              <w:pStyle w:val="P68B1DB1-Normal12"/>
              <w:spacing w:after="0" w:line="240" w:lineRule="auto"/>
              <w:jc w:val="center"/>
              <w:rPr>
                <w:rFonts w:eastAsia="Times New Roman" w:cstheme="minorHAnsi"/>
                <w:noProof/>
              </w:rPr>
            </w:pPr>
            <w:r>
              <w:rPr>
                <w:noProof/>
              </w:rPr>
              <w:t>2026</w:t>
            </w:r>
          </w:p>
        </w:tc>
        <w:tc>
          <w:tcPr>
            <w:tcW w:w="4395" w:type="dxa"/>
            <w:shd w:val="clear" w:color="auto" w:fill="C4EFCE"/>
          </w:tcPr>
          <w:p w14:paraId="3EEEBBB2" w14:textId="4A4F68FE" w:rsidR="00E040FD" w:rsidRDefault="00740D64">
            <w:pPr>
              <w:pStyle w:val="P68B1DB1-Bodytext1013"/>
              <w:spacing w:after="0" w:line="240" w:lineRule="auto"/>
              <w:jc w:val="both"/>
              <w:rPr>
                <w:rFonts w:cstheme="minorBidi"/>
                <w:noProof/>
              </w:rPr>
            </w:pPr>
            <w:r>
              <w:rPr>
                <w:noProof/>
              </w:rPr>
              <w:t>230 fasta kontrakt ska tecknas med doktorsforskare som valts ut genom uttagningsprov.</w:t>
            </w:r>
          </w:p>
          <w:p w14:paraId="5A86B9A8" w14:textId="3357027D" w:rsidR="00E040FD" w:rsidRDefault="00740D64">
            <w:pPr>
              <w:pStyle w:val="P68B1DB1-Bodytext1013"/>
              <w:spacing w:after="0" w:line="240" w:lineRule="auto"/>
              <w:jc w:val="both"/>
              <w:rPr>
                <w:rFonts w:cstheme="minorBidi"/>
                <w:noProof/>
              </w:rPr>
            </w:pPr>
            <w:r>
              <w:rPr>
                <w:noProof/>
              </w:rPr>
              <w:t>25 kontrakt ska ingås med forskare vars projekt rekommenderas för finansiering på europeisk eller nationell nivå och forskare vars EFR-ansökningar rekommenderades för finansiering eller vars ansökningar rekommenderades för finansiering men slutligen inte finansierades.</w:t>
            </w:r>
          </w:p>
        </w:tc>
      </w:tr>
      <w:tr w:rsidR="00E040FD" w14:paraId="6C354C45" w14:textId="77777777">
        <w:trPr>
          <w:trHeight w:val="640"/>
        </w:trPr>
        <w:tc>
          <w:tcPr>
            <w:tcW w:w="1135" w:type="dxa"/>
            <w:shd w:val="clear" w:color="auto" w:fill="C5EFCE"/>
            <w:vAlign w:val="center"/>
          </w:tcPr>
          <w:p w14:paraId="3122B51F" w14:textId="63A658E0" w:rsidR="00E040FD" w:rsidRDefault="00740D64">
            <w:pPr>
              <w:pStyle w:val="P68B1DB1-Normal11"/>
              <w:spacing w:after="0" w:line="240" w:lineRule="auto"/>
              <w:jc w:val="center"/>
              <w:rPr>
                <w:rFonts w:eastAsia="Times New Roman"/>
                <w:noProof/>
              </w:rPr>
            </w:pPr>
            <w:r>
              <w:rPr>
                <w:noProof/>
              </w:rPr>
              <w:t>6.20</w:t>
            </w:r>
          </w:p>
        </w:tc>
        <w:tc>
          <w:tcPr>
            <w:tcW w:w="1276" w:type="dxa"/>
            <w:shd w:val="clear" w:color="auto" w:fill="C4EFCE"/>
            <w:noWrap/>
            <w:vAlign w:val="center"/>
          </w:tcPr>
          <w:p w14:paraId="1B8B3816" w14:textId="7564BF5E" w:rsidR="00E040FD" w:rsidRDefault="00740D64">
            <w:pPr>
              <w:pStyle w:val="P68B1DB1-Normal12"/>
              <w:spacing w:after="0" w:line="240" w:lineRule="auto"/>
              <w:jc w:val="center"/>
              <w:rPr>
                <w:rFonts w:eastAsia="Times New Roman" w:cstheme="minorHAnsi"/>
                <w:noProof/>
              </w:rPr>
            </w:pPr>
            <w:r>
              <w:rPr>
                <w:noProof/>
              </w:rPr>
              <w:t>RE-C06-i06</w:t>
            </w:r>
          </w:p>
        </w:tc>
        <w:tc>
          <w:tcPr>
            <w:tcW w:w="1134" w:type="dxa"/>
            <w:shd w:val="clear" w:color="auto" w:fill="C4EFCE"/>
            <w:noWrap/>
            <w:vAlign w:val="center"/>
          </w:tcPr>
          <w:p w14:paraId="46F364F4" w14:textId="76B61AEE"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0274D0FE" w14:textId="05A036E6" w:rsidR="00E040FD" w:rsidRDefault="00740D64">
            <w:pPr>
              <w:pStyle w:val="P68B1DB1-Normal12"/>
              <w:spacing w:after="0" w:line="240" w:lineRule="auto"/>
              <w:jc w:val="center"/>
              <w:rPr>
                <w:rFonts w:eastAsia="Times New Roman" w:cstheme="minorHAnsi"/>
                <w:noProof/>
              </w:rPr>
            </w:pPr>
            <w:r>
              <w:rPr>
                <w:noProof/>
              </w:rPr>
              <w:t>Internationella partnerskap inom vetenskap, teknik och innovation: Stöd till internationella partnerskap, Stöd till forsknings- och innovationsprojekt. Stöd till internationell rörlighet</w:t>
            </w:r>
          </w:p>
        </w:tc>
        <w:tc>
          <w:tcPr>
            <w:tcW w:w="1275" w:type="dxa"/>
            <w:shd w:val="clear" w:color="auto" w:fill="C4EFCE"/>
            <w:noWrap/>
            <w:vAlign w:val="center"/>
          </w:tcPr>
          <w:p w14:paraId="56824669" w14:textId="4A80532A" w:rsidR="00E040FD" w:rsidRDefault="00740D64">
            <w:pPr>
              <w:pStyle w:val="P68B1DB1-Normal12"/>
              <w:spacing w:after="0" w:line="240" w:lineRule="auto"/>
              <w:jc w:val="center"/>
              <w:rPr>
                <w:rFonts w:eastAsia="Times New Roman"/>
                <w:noProof/>
              </w:rPr>
            </w:pPr>
            <w:r>
              <w:rPr>
                <w:noProof/>
              </w:rPr>
              <w:t>Internationella partnerskap inom vetenskap, teknik och innovation: Stöd till internationella partnerskap, Stöd till forsknings- och innovationsprojekt. Stöd till internationell rörlighet</w:t>
            </w:r>
          </w:p>
        </w:tc>
        <w:tc>
          <w:tcPr>
            <w:tcW w:w="993" w:type="dxa"/>
            <w:shd w:val="clear" w:color="auto" w:fill="C4EFCE"/>
            <w:noWrap/>
            <w:vAlign w:val="center"/>
          </w:tcPr>
          <w:p w14:paraId="5ED41571" w14:textId="1AF5D95C" w:rsidR="00E040FD" w:rsidRDefault="00E040FD">
            <w:pPr>
              <w:spacing w:after="0" w:line="240" w:lineRule="auto"/>
              <w:jc w:val="center"/>
              <w:rPr>
                <w:noProof/>
                <w:sz w:val="16"/>
              </w:rPr>
            </w:pPr>
          </w:p>
        </w:tc>
        <w:tc>
          <w:tcPr>
            <w:tcW w:w="992" w:type="dxa"/>
            <w:shd w:val="clear" w:color="auto" w:fill="C4EFCE"/>
            <w:noWrap/>
            <w:vAlign w:val="center"/>
          </w:tcPr>
          <w:p w14:paraId="09478518" w14:textId="77777777" w:rsidR="00E040FD" w:rsidRDefault="00E040FD">
            <w:pPr>
              <w:spacing w:after="0" w:line="240" w:lineRule="auto"/>
              <w:jc w:val="center"/>
              <w:rPr>
                <w:rFonts w:eastAsia="Times New Roman" w:cstheme="minorHAnsi"/>
                <w:noProof/>
                <w:sz w:val="16"/>
              </w:rPr>
            </w:pPr>
          </w:p>
        </w:tc>
        <w:tc>
          <w:tcPr>
            <w:tcW w:w="850" w:type="dxa"/>
            <w:shd w:val="clear" w:color="auto" w:fill="C4EFCE"/>
            <w:noWrap/>
            <w:vAlign w:val="center"/>
          </w:tcPr>
          <w:p w14:paraId="17C9928F"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2B082B34" w14:textId="23598E88" w:rsidR="00E040FD" w:rsidRDefault="00740D64">
            <w:pPr>
              <w:pStyle w:val="P68B1DB1-Normal12"/>
              <w:spacing w:after="0" w:line="240" w:lineRule="auto"/>
              <w:jc w:val="center"/>
              <w:rPr>
                <w:rFonts w:eastAsia="Times New Roman" w:cstheme="minorHAnsi"/>
                <w:noProof/>
              </w:rPr>
            </w:pPr>
            <w:r>
              <w:rPr>
                <w:noProof/>
              </w:rPr>
              <w:t>KVARTAL 1</w:t>
            </w:r>
          </w:p>
        </w:tc>
        <w:tc>
          <w:tcPr>
            <w:tcW w:w="708" w:type="dxa"/>
            <w:shd w:val="clear" w:color="auto" w:fill="C4EFCE"/>
            <w:noWrap/>
            <w:vAlign w:val="center"/>
          </w:tcPr>
          <w:p w14:paraId="736E26A8" w14:textId="3DBDCE66" w:rsidR="00E040FD" w:rsidRDefault="00740D64">
            <w:pPr>
              <w:pStyle w:val="P68B1DB1-Normal12"/>
              <w:spacing w:after="0" w:line="240" w:lineRule="auto"/>
              <w:jc w:val="center"/>
              <w:rPr>
                <w:rFonts w:eastAsia="Times New Roman" w:cstheme="minorHAnsi"/>
                <w:noProof/>
              </w:rPr>
            </w:pPr>
            <w:r>
              <w:rPr>
                <w:noProof/>
              </w:rPr>
              <w:t>2026</w:t>
            </w:r>
          </w:p>
        </w:tc>
        <w:tc>
          <w:tcPr>
            <w:tcW w:w="4395" w:type="dxa"/>
            <w:shd w:val="clear" w:color="auto" w:fill="C4EFCE"/>
            <w:vAlign w:val="center"/>
          </w:tcPr>
          <w:p w14:paraId="35A3F479" w14:textId="7E0BEAF8" w:rsidR="00E040FD" w:rsidRDefault="00740D64">
            <w:pPr>
              <w:pStyle w:val="P68B1DB1-Bodytext1013"/>
              <w:spacing w:after="0" w:line="240" w:lineRule="auto"/>
              <w:jc w:val="both"/>
              <w:rPr>
                <w:rFonts w:cstheme="minorBidi"/>
                <w:noProof/>
              </w:rPr>
            </w:pPr>
            <w:r>
              <w:rPr>
                <w:noProof/>
              </w:rPr>
              <w:t>Sex kontrakt ska undertecknas för internationella partnerskap inom vetenskap, teknik och innovation med de nationella värdinstitutionerna.</w:t>
            </w:r>
          </w:p>
          <w:p w14:paraId="1570EE45" w14:textId="77777777" w:rsidR="00E040FD" w:rsidRDefault="00E040FD">
            <w:pPr>
              <w:pStyle w:val="Bodytext10"/>
              <w:spacing w:after="0" w:line="240" w:lineRule="auto"/>
              <w:jc w:val="both"/>
              <w:rPr>
                <w:rFonts w:asciiTheme="minorHAnsi" w:hAnsiTheme="minorHAnsi" w:cstheme="minorBidi"/>
                <w:noProof/>
                <w:sz w:val="16"/>
              </w:rPr>
            </w:pPr>
          </w:p>
          <w:p w14:paraId="6DE6A27E" w14:textId="4F262688" w:rsidR="00E040FD" w:rsidRDefault="00740D64">
            <w:pPr>
              <w:pStyle w:val="P68B1DB1-Bodytext1013"/>
              <w:spacing w:after="0" w:line="240" w:lineRule="auto"/>
              <w:jc w:val="both"/>
              <w:rPr>
                <w:rFonts w:cstheme="minorBidi"/>
                <w:noProof/>
              </w:rPr>
            </w:pPr>
            <w:r>
              <w:rPr>
                <w:noProof/>
              </w:rPr>
              <w:t>30 projekt, allianser och infrastrukturer med nationellt deltagande som väljs ut på europeisk nivå ska stödjas.</w:t>
            </w:r>
          </w:p>
          <w:p w14:paraId="63CDE0C8" w14:textId="71BFC2F0" w:rsidR="00E040FD" w:rsidRDefault="00740D64">
            <w:pPr>
              <w:pStyle w:val="P68B1DB1-Bodytext1013"/>
              <w:spacing w:after="0" w:line="240" w:lineRule="auto"/>
              <w:jc w:val="both"/>
              <w:rPr>
                <w:rFonts w:cstheme="minorBidi"/>
                <w:noProof/>
              </w:rPr>
            </w:pPr>
            <w:r>
              <w:rPr>
                <w:noProof/>
              </w:rPr>
              <w:t>100 nationella forskares och lärares internationella rörlighet ska stödjas.</w:t>
            </w:r>
          </w:p>
        </w:tc>
      </w:tr>
      <w:tr w:rsidR="00E040FD" w14:paraId="66721075" w14:textId="77777777">
        <w:trPr>
          <w:trHeight w:val="640"/>
        </w:trPr>
        <w:tc>
          <w:tcPr>
            <w:tcW w:w="1135" w:type="dxa"/>
            <w:shd w:val="clear" w:color="auto" w:fill="C5EFCE"/>
            <w:vAlign w:val="center"/>
          </w:tcPr>
          <w:p w14:paraId="48CD17D8" w14:textId="27C11524" w:rsidR="00E040FD" w:rsidRDefault="00740D64">
            <w:pPr>
              <w:pStyle w:val="P68B1DB1-Normal11"/>
              <w:spacing w:after="0" w:line="240" w:lineRule="auto"/>
              <w:jc w:val="center"/>
              <w:rPr>
                <w:noProof/>
              </w:rPr>
            </w:pPr>
            <w:r>
              <w:rPr>
                <w:noProof/>
              </w:rPr>
              <w:t>6.21</w:t>
            </w:r>
          </w:p>
        </w:tc>
        <w:tc>
          <w:tcPr>
            <w:tcW w:w="1276" w:type="dxa"/>
            <w:shd w:val="clear" w:color="auto" w:fill="C4EFCE"/>
            <w:noWrap/>
            <w:vAlign w:val="center"/>
          </w:tcPr>
          <w:p w14:paraId="7F188F7C" w14:textId="66E53AF2" w:rsidR="00E040FD" w:rsidRDefault="00740D64">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6C4575F7" w14:textId="03133D2B" w:rsidR="00E040FD" w:rsidRDefault="00740D6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3FCB708D" w14:textId="3B3E8E18" w:rsidR="00E040FD" w:rsidRDefault="00740D64">
            <w:pPr>
              <w:pStyle w:val="P68B1DB1-Normal12"/>
              <w:spacing w:after="0" w:line="240" w:lineRule="auto"/>
              <w:jc w:val="center"/>
              <w:rPr>
                <w:noProof/>
              </w:rPr>
            </w:pPr>
            <w:r>
              <w:rPr>
                <w:noProof/>
              </w:rPr>
              <w:t xml:space="preserve">Teknisk och digital modernisering av jordbruksvetenskaper: Läroplansreform av jordbruksvetenskap, öppnande av jordbruksskolor för högstadie- och gymnasieelever och omskolning av yrkesverksamma  </w:t>
            </w:r>
          </w:p>
        </w:tc>
        <w:tc>
          <w:tcPr>
            <w:tcW w:w="1275" w:type="dxa"/>
            <w:shd w:val="clear" w:color="auto" w:fill="C4EFCE"/>
            <w:noWrap/>
            <w:vAlign w:val="center"/>
          </w:tcPr>
          <w:p w14:paraId="7AA9B9BF" w14:textId="42CE9F74" w:rsidR="00E040FD" w:rsidRDefault="00E040FD">
            <w:pPr>
              <w:spacing w:after="0" w:line="240" w:lineRule="auto"/>
              <w:jc w:val="center"/>
              <w:rPr>
                <w:noProof/>
                <w:sz w:val="16"/>
              </w:rPr>
            </w:pPr>
          </w:p>
        </w:tc>
        <w:tc>
          <w:tcPr>
            <w:tcW w:w="993" w:type="dxa"/>
            <w:shd w:val="clear" w:color="auto" w:fill="C4EFCE"/>
            <w:noWrap/>
            <w:vAlign w:val="center"/>
          </w:tcPr>
          <w:p w14:paraId="5C47BD23" w14:textId="71BE01C2" w:rsidR="00E040FD" w:rsidRDefault="00740D64">
            <w:pPr>
              <w:pStyle w:val="P68B1DB1-Normal12"/>
              <w:spacing w:after="0" w:line="240" w:lineRule="auto"/>
              <w:jc w:val="center"/>
              <w:rPr>
                <w:noProof/>
              </w:rPr>
            </w:pPr>
            <w:r>
              <w:rPr>
                <w:noProof/>
              </w:rPr>
              <w:t>Antal</w:t>
            </w:r>
          </w:p>
        </w:tc>
        <w:tc>
          <w:tcPr>
            <w:tcW w:w="992" w:type="dxa"/>
            <w:shd w:val="clear" w:color="auto" w:fill="C4EFCE"/>
            <w:noWrap/>
            <w:vAlign w:val="center"/>
          </w:tcPr>
          <w:p w14:paraId="472FBF28" w14:textId="2DD9CCA7" w:rsidR="00E040FD" w:rsidRDefault="00740D64">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0DC53A66" w14:textId="64A65D02" w:rsidR="00E040FD" w:rsidRDefault="00740D64">
            <w:pPr>
              <w:pStyle w:val="P68B1DB1-Normal12"/>
              <w:spacing w:after="0" w:line="240" w:lineRule="auto"/>
              <w:jc w:val="center"/>
              <w:rPr>
                <w:rFonts w:eastAsia="Times New Roman"/>
                <w:noProof/>
              </w:rPr>
            </w:pPr>
            <w:r>
              <w:rPr>
                <w:noProof/>
              </w:rPr>
              <w:t>7 020</w:t>
            </w:r>
          </w:p>
        </w:tc>
        <w:tc>
          <w:tcPr>
            <w:tcW w:w="567" w:type="dxa"/>
            <w:shd w:val="clear" w:color="auto" w:fill="C4EFCE"/>
            <w:noWrap/>
            <w:vAlign w:val="center"/>
          </w:tcPr>
          <w:p w14:paraId="625E1EDD" w14:textId="12420CA2" w:rsidR="00E040FD" w:rsidRDefault="00740D64">
            <w:pPr>
              <w:pStyle w:val="P68B1DB1-Normal12"/>
              <w:spacing w:after="0" w:line="240" w:lineRule="auto"/>
              <w:jc w:val="center"/>
              <w:rPr>
                <w:rFonts w:cstheme="minorHAnsi"/>
                <w:noProof/>
              </w:rPr>
            </w:pPr>
            <w:r>
              <w:rPr>
                <w:noProof/>
              </w:rPr>
              <w:t>KVARTAL 2</w:t>
            </w:r>
          </w:p>
        </w:tc>
        <w:tc>
          <w:tcPr>
            <w:tcW w:w="708" w:type="dxa"/>
            <w:shd w:val="clear" w:color="auto" w:fill="C4EFCE"/>
            <w:noWrap/>
            <w:vAlign w:val="center"/>
          </w:tcPr>
          <w:p w14:paraId="4FD2ECE2" w14:textId="0AEB54AF" w:rsidR="00E040FD" w:rsidRDefault="00740D64">
            <w:pPr>
              <w:pStyle w:val="P68B1DB1-Normal12"/>
              <w:spacing w:after="0" w:line="240" w:lineRule="auto"/>
              <w:jc w:val="center"/>
              <w:rPr>
                <w:rFonts w:cstheme="minorHAnsi"/>
                <w:noProof/>
              </w:rPr>
            </w:pPr>
            <w:r>
              <w:rPr>
                <w:noProof/>
              </w:rPr>
              <w:t>2026</w:t>
            </w:r>
          </w:p>
        </w:tc>
        <w:tc>
          <w:tcPr>
            <w:tcW w:w="4395" w:type="dxa"/>
            <w:shd w:val="clear" w:color="auto" w:fill="C4EFCE"/>
            <w:vAlign w:val="center"/>
          </w:tcPr>
          <w:p w14:paraId="5D0A3DF6" w14:textId="2108C601" w:rsidR="00E040FD" w:rsidRDefault="00740D64">
            <w:pPr>
              <w:pStyle w:val="P68B1DB1-Bodytext1013"/>
              <w:spacing w:after="0" w:line="240" w:lineRule="auto"/>
              <w:jc w:val="both"/>
              <w:rPr>
                <w:rFonts w:cstheme="minorBidi"/>
                <w:noProof/>
              </w:rPr>
            </w:pPr>
            <w:r>
              <w:rPr>
                <w:noProof/>
              </w:rPr>
              <w:t>Genomfört reform av 20 examensprogram (kandidat- eller masterprogram, eller båda) inom jordbruksvetenskap genom att</w:t>
            </w:r>
          </w:p>
          <w:p w14:paraId="6CF7E7C6" w14:textId="77777777" w:rsidR="00E040FD" w:rsidRDefault="00740D64">
            <w:pPr>
              <w:pStyle w:val="P68B1DB1-Bodytext1013"/>
              <w:spacing w:after="0" w:line="240" w:lineRule="auto"/>
              <w:jc w:val="both"/>
              <w:rPr>
                <w:rFonts w:cstheme="minorBidi"/>
                <w:noProof/>
              </w:rPr>
            </w:pPr>
            <w:r>
              <w:rPr>
                <w:noProof/>
              </w:rPr>
              <w:t>stärka den digitala och tekniska komponenten genom inköp av utrustning till utbildningsinstitutioner.</w:t>
            </w:r>
          </w:p>
          <w:p w14:paraId="7D8375DC" w14:textId="3010FE9E" w:rsidR="00E040FD" w:rsidRDefault="00740D64">
            <w:pPr>
              <w:pStyle w:val="P68B1DB1-Bodytext1013"/>
              <w:spacing w:after="0" w:line="240" w:lineRule="auto"/>
              <w:jc w:val="both"/>
              <w:rPr>
                <w:rFonts w:cstheme="minorBidi"/>
                <w:noProof/>
              </w:rPr>
            </w:pPr>
            <w:r>
              <w:rPr>
                <w:noProof/>
              </w:rPr>
              <w:t>internationalisering, inklusive anordnande av inbjudna ordförande</w:t>
            </w:r>
          </w:p>
          <w:p w14:paraId="1227FFF1" w14:textId="319AEAE0" w:rsidR="00E040FD" w:rsidRDefault="00740D64">
            <w:pPr>
              <w:pStyle w:val="P68B1DB1-Bodytext1013"/>
              <w:spacing w:after="0" w:line="240" w:lineRule="auto"/>
              <w:jc w:val="both"/>
              <w:rPr>
                <w:rFonts w:cstheme="minorBidi"/>
                <w:noProof/>
              </w:rPr>
            </w:pPr>
            <w:r>
              <w:rPr>
                <w:noProof/>
              </w:rPr>
              <w:t xml:space="preserve">— interinstitutionellt samarbete genom att genomföra strategin för internationalisering av jordbruksutbildningen i ett konsortium. </w:t>
            </w:r>
          </w:p>
          <w:p w14:paraId="53ABA183" w14:textId="319AEAE0" w:rsidR="00E040FD" w:rsidRDefault="00E040FD">
            <w:pPr>
              <w:pStyle w:val="Bodytext10"/>
              <w:spacing w:after="0" w:line="240" w:lineRule="auto"/>
              <w:jc w:val="both"/>
              <w:rPr>
                <w:rStyle w:val="Bodytext1"/>
                <w:rFonts w:asciiTheme="minorHAnsi" w:hAnsiTheme="minorHAnsi" w:cstheme="minorBidi"/>
                <w:noProof/>
                <w:sz w:val="16"/>
              </w:rPr>
            </w:pPr>
          </w:p>
          <w:p w14:paraId="496B7FD9" w14:textId="544DE159" w:rsidR="00E040FD" w:rsidRDefault="00740D64">
            <w:pPr>
              <w:pStyle w:val="P68B1DB1-Bodytext1013"/>
              <w:spacing w:after="0" w:line="240" w:lineRule="auto"/>
              <w:jc w:val="both"/>
              <w:rPr>
                <w:rFonts w:cstheme="minorBidi"/>
                <w:noProof/>
              </w:rPr>
            </w:pPr>
            <w:r>
              <w:rPr>
                <w:noProof/>
              </w:rPr>
              <w:t>6000 gymnasieelever ska få del av ett veckors program i jordbruksskolor som syftar till att göra jordbruksskolor mer attraktiva för potentiella sökande.</w:t>
            </w:r>
          </w:p>
          <w:p w14:paraId="1FC3030B" w14:textId="3C773367" w:rsidR="00E040FD" w:rsidRDefault="00E040FD">
            <w:pPr>
              <w:pStyle w:val="Bodytext10"/>
              <w:spacing w:after="0" w:line="240" w:lineRule="auto"/>
              <w:jc w:val="both"/>
              <w:rPr>
                <w:rFonts w:asciiTheme="minorHAnsi" w:hAnsiTheme="minorHAnsi" w:cstheme="minorBidi"/>
                <w:noProof/>
                <w:sz w:val="16"/>
              </w:rPr>
            </w:pPr>
          </w:p>
          <w:p w14:paraId="69D689D1" w14:textId="63B60CD2" w:rsidR="00E040FD" w:rsidRDefault="00740D64">
            <w:pPr>
              <w:pStyle w:val="P68B1DB1-Bodytext1013"/>
              <w:spacing w:after="0" w:line="240" w:lineRule="auto"/>
              <w:jc w:val="both"/>
              <w:rPr>
                <w:rStyle w:val="Bodytext1"/>
                <w:rFonts w:asciiTheme="minorHAnsi" w:hAnsiTheme="minorHAnsi" w:cstheme="minorBidi"/>
                <w:noProof/>
                <w:sz w:val="16"/>
              </w:rPr>
            </w:pPr>
            <w:r>
              <w:rPr>
                <w:noProof/>
              </w:rPr>
              <w:t>1000 yrkesverksamma inom jordbrukssektorn ska genomgå digital och teknisk utbildning genom mikromeriter eller kortare yrkesutbildning inom högre utbildning eller yrkesmästare.</w:t>
            </w:r>
          </w:p>
        </w:tc>
      </w:tr>
      <w:tr w:rsidR="00E040FD" w14:paraId="5AB95557" w14:textId="77777777">
        <w:trPr>
          <w:trHeight w:val="640"/>
        </w:trPr>
        <w:tc>
          <w:tcPr>
            <w:tcW w:w="1135" w:type="dxa"/>
            <w:shd w:val="clear" w:color="auto" w:fill="C5EFCE"/>
            <w:vAlign w:val="center"/>
          </w:tcPr>
          <w:p w14:paraId="0D1BDDD8" w14:textId="07872EC0" w:rsidR="00E040FD" w:rsidRDefault="00740D64">
            <w:pPr>
              <w:pStyle w:val="P68B1DB1-Normal11"/>
              <w:spacing w:after="0" w:line="240" w:lineRule="auto"/>
              <w:jc w:val="center"/>
              <w:rPr>
                <w:noProof/>
              </w:rPr>
            </w:pPr>
            <w:r>
              <w:rPr>
                <w:noProof/>
              </w:rPr>
              <w:t>6.22</w:t>
            </w:r>
          </w:p>
        </w:tc>
        <w:tc>
          <w:tcPr>
            <w:tcW w:w="1276" w:type="dxa"/>
            <w:shd w:val="clear" w:color="auto" w:fill="C4EFCE"/>
            <w:noWrap/>
            <w:vAlign w:val="center"/>
          </w:tcPr>
          <w:p w14:paraId="011A4D16" w14:textId="7298F3BD" w:rsidR="00E040FD" w:rsidRDefault="00740D64">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690BFF82" w14:textId="70CB804F" w:rsidR="00E040FD" w:rsidRDefault="00740D6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0C56191D" w14:textId="4A065135" w:rsidR="00E040FD" w:rsidRDefault="00740D64">
            <w:pPr>
              <w:pStyle w:val="P68B1DB1-Normal12"/>
              <w:spacing w:after="0" w:line="240" w:lineRule="auto"/>
              <w:jc w:val="center"/>
              <w:rPr>
                <w:rFonts w:cstheme="minorHAnsi"/>
                <w:noProof/>
              </w:rPr>
            </w:pPr>
            <w:r>
              <w:rPr>
                <w:noProof/>
              </w:rPr>
              <w:t>Modernisering av medicinen</w:t>
            </w:r>
          </w:p>
        </w:tc>
        <w:tc>
          <w:tcPr>
            <w:tcW w:w="1275" w:type="dxa"/>
            <w:shd w:val="clear" w:color="auto" w:fill="C4EFCE"/>
            <w:noWrap/>
            <w:vAlign w:val="center"/>
          </w:tcPr>
          <w:p w14:paraId="5E0E2847" w14:textId="77777777" w:rsidR="00E040FD" w:rsidRDefault="00E040FD">
            <w:pPr>
              <w:spacing w:after="0" w:line="240" w:lineRule="auto"/>
              <w:jc w:val="center"/>
              <w:rPr>
                <w:rFonts w:cstheme="minorHAnsi"/>
                <w:noProof/>
                <w:sz w:val="16"/>
              </w:rPr>
            </w:pPr>
          </w:p>
        </w:tc>
        <w:tc>
          <w:tcPr>
            <w:tcW w:w="993" w:type="dxa"/>
            <w:shd w:val="clear" w:color="auto" w:fill="C4EFCE"/>
            <w:noWrap/>
            <w:vAlign w:val="center"/>
          </w:tcPr>
          <w:p w14:paraId="602C1537" w14:textId="535C74AD" w:rsidR="00E040FD" w:rsidRDefault="00740D64">
            <w:pPr>
              <w:pStyle w:val="P68B1DB1-Normal12"/>
              <w:spacing w:after="0" w:line="240" w:lineRule="auto"/>
              <w:jc w:val="center"/>
              <w:rPr>
                <w:noProof/>
              </w:rPr>
            </w:pPr>
            <w:r>
              <w:rPr>
                <w:noProof/>
              </w:rPr>
              <w:t>Antal</w:t>
            </w:r>
          </w:p>
        </w:tc>
        <w:tc>
          <w:tcPr>
            <w:tcW w:w="992" w:type="dxa"/>
            <w:shd w:val="clear" w:color="auto" w:fill="C4EFCE"/>
            <w:noWrap/>
            <w:vAlign w:val="center"/>
          </w:tcPr>
          <w:p w14:paraId="1636CEA0" w14:textId="3F6BC36D" w:rsidR="00E040FD" w:rsidRDefault="00740D64">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4FA19C54" w14:textId="5DA13673" w:rsidR="00E040FD" w:rsidRDefault="00740D64">
            <w:pPr>
              <w:pStyle w:val="P68B1DB1-Normal12"/>
              <w:spacing w:after="0" w:line="240" w:lineRule="auto"/>
              <w:jc w:val="center"/>
              <w:rPr>
                <w:rFonts w:eastAsia="Times New Roman" w:cstheme="minorHAnsi"/>
                <w:noProof/>
              </w:rPr>
            </w:pPr>
            <w:r>
              <w:rPr>
                <w:noProof/>
              </w:rPr>
              <w:t>12 500</w:t>
            </w:r>
          </w:p>
        </w:tc>
        <w:tc>
          <w:tcPr>
            <w:tcW w:w="567" w:type="dxa"/>
            <w:shd w:val="clear" w:color="auto" w:fill="C4EFCE"/>
            <w:noWrap/>
            <w:vAlign w:val="center"/>
          </w:tcPr>
          <w:p w14:paraId="05F711F2" w14:textId="578373FB" w:rsidR="00E040FD" w:rsidRDefault="00740D64">
            <w:pPr>
              <w:pStyle w:val="P68B1DB1-Normal12"/>
              <w:spacing w:after="0" w:line="240" w:lineRule="auto"/>
              <w:jc w:val="center"/>
              <w:rPr>
                <w:noProof/>
              </w:rPr>
            </w:pPr>
            <w:r>
              <w:rPr>
                <w:noProof/>
              </w:rPr>
              <w:t>KVARTAL 2</w:t>
            </w:r>
          </w:p>
        </w:tc>
        <w:tc>
          <w:tcPr>
            <w:tcW w:w="708" w:type="dxa"/>
            <w:shd w:val="clear" w:color="auto" w:fill="C4EFCE"/>
            <w:noWrap/>
            <w:vAlign w:val="center"/>
          </w:tcPr>
          <w:p w14:paraId="727812B4" w14:textId="69053B8C" w:rsidR="00E040FD" w:rsidRDefault="00740D64">
            <w:pPr>
              <w:pStyle w:val="P68B1DB1-Normal12"/>
              <w:spacing w:after="0" w:line="240" w:lineRule="auto"/>
              <w:jc w:val="center"/>
              <w:rPr>
                <w:noProof/>
              </w:rPr>
            </w:pPr>
            <w:r>
              <w:rPr>
                <w:noProof/>
              </w:rPr>
              <w:t>2026</w:t>
            </w:r>
          </w:p>
        </w:tc>
        <w:tc>
          <w:tcPr>
            <w:tcW w:w="4395" w:type="dxa"/>
            <w:shd w:val="clear" w:color="auto" w:fill="C4EFCE"/>
            <w:vAlign w:val="center"/>
          </w:tcPr>
          <w:p w14:paraId="0BE60C62" w14:textId="57230731" w:rsidR="00E040FD" w:rsidRDefault="00740D64">
            <w:pPr>
              <w:pStyle w:val="P68B1DB1-Bodytext1013"/>
              <w:spacing w:line="240" w:lineRule="auto"/>
              <w:jc w:val="both"/>
              <w:rPr>
                <w:rFonts w:cstheme="minorBidi"/>
                <w:noProof/>
              </w:rPr>
            </w:pPr>
            <w:r>
              <w:rPr>
                <w:noProof/>
              </w:rPr>
              <w:t>Minst 5 000 studerande på integrerad mastersexamen ska delta i kursplaner med hjälp av digitala miljöer eller medicinsk simulering. För detta ändamål ska utrustning såsom högtrohetsprovdockor eller virtuella verklighetssimulatorer användas.</w:t>
            </w:r>
          </w:p>
          <w:p w14:paraId="03728086" w14:textId="31BE029E" w:rsidR="00E040FD" w:rsidRDefault="00740D64">
            <w:pPr>
              <w:pStyle w:val="P68B1DB1-Bodytext1013"/>
              <w:spacing w:after="0" w:line="240" w:lineRule="auto"/>
              <w:jc w:val="both"/>
              <w:rPr>
                <w:rFonts w:cstheme="minorBidi"/>
                <w:noProof/>
              </w:rPr>
            </w:pPr>
            <w:r>
              <w:rPr>
                <w:noProof/>
              </w:rPr>
              <w:t>Minst 7 500 hälso- och sjukvårdspersonal ska delta i medicinsk utbildning med inriktning på teknisk och digital modernisering av hälso- och sjukvårdssektorn. Tre typer av utbildningar ska erbjudas: korta kurser inom högre utbildning, yrkesmästare och/eller mikromeriter.</w:t>
            </w:r>
          </w:p>
        </w:tc>
      </w:tr>
      <w:tr w:rsidR="00E040FD" w14:paraId="7E7C518B" w14:textId="77777777">
        <w:trPr>
          <w:trHeight w:val="640"/>
        </w:trPr>
        <w:tc>
          <w:tcPr>
            <w:tcW w:w="1135" w:type="dxa"/>
            <w:shd w:val="clear" w:color="auto" w:fill="C5EFCE"/>
            <w:vAlign w:val="center"/>
          </w:tcPr>
          <w:p w14:paraId="7342B9AB" w14:textId="4D1C1BE5" w:rsidR="00E040FD" w:rsidRDefault="00740D64">
            <w:pPr>
              <w:pStyle w:val="P68B1DB1-Normal11"/>
              <w:spacing w:after="0" w:line="240" w:lineRule="auto"/>
              <w:jc w:val="center"/>
              <w:rPr>
                <w:noProof/>
              </w:rPr>
            </w:pPr>
            <w:r>
              <w:rPr>
                <w:noProof/>
              </w:rPr>
              <w:t>6.23</w:t>
            </w:r>
          </w:p>
        </w:tc>
        <w:tc>
          <w:tcPr>
            <w:tcW w:w="1276" w:type="dxa"/>
            <w:shd w:val="clear" w:color="auto" w:fill="C4EFCE"/>
            <w:noWrap/>
            <w:vAlign w:val="center"/>
          </w:tcPr>
          <w:p w14:paraId="61D9CF67" w14:textId="5923C0BC" w:rsidR="00E040FD" w:rsidRDefault="00740D64">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7BF68D0A" w14:textId="4BA5BECB" w:rsidR="00E040FD" w:rsidRDefault="00740D6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3C8DA4AE" w14:textId="30954B10" w:rsidR="00E040FD" w:rsidRDefault="00740D64">
            <w:pPr>
              <w:pStyle w:val="P68B1DB1-Normal12"/>
              <w:spacing w:after="0" w:line="240" w:lineRule="auto"/>
              <w:jc w:val="center"/>
              <w:rPr>
                <w:rFonts w:cstheme="minorHAnsi"/>
                <w:noProof/>
              </w:rPr>
            </w:pPr>
            <w:r>
              <w:rPr>
                <w:noProof/>
              </w:rPr>
              <w:t>Stärka de digitala färdigheterna</w:t>
            </w:r>
          </w:p>
        </w:tc>
        <w:tc>
          <w:tcPr>
            <w:tcW w:w="1275" w:type="dxa"/>
            <w:shd w:val="clear" w:color="auto" w:fill="C4EFCE"/>
            <w:noWrap/>
            <w:vAlign w:val="center"/>
          </w:tcPr>
          <w:p w14:paraId="20F37E5B" w14:textId="77777777" w:rsidR="00E040FD" w:rsidRDefault="00E040FD">
            <w:pPr>
              <w:spacing w:after="0" w:line="240" w:lineRule="auto"/>
              <w:jc w:val="center"/>
              <w:rPr>
                <w:rFonts w:cstheme="minorHAnsi"/>
                <w:noProof/>
                <w:sz w:val="16"/>
              </w:rPr>
            </w:pPr>
          </w:p>
        </w:tc>
        <w:tc>
          <w:tcPr>
            <w:tcW w:w="993" w:type="dxa"/>
            <w:shd w:val="clear" w:color="auto" w:fill="C4EFCE"/>
            <w:noWrap/>
            <w:vAlign w:val="center"/>
          </w:tcPr>
          <w:p w14:paraId="3843260D" w14:textId="7E687270" w:rsidR="00E040FD" w:rsidRDefault="00740D64">
            <w:pPr>
              <w:pStyle w:val="P68B1DB1-Normal12"/>
              <w:spacing w:after="0" w:line="240" w:lineRule="auto"/>
              <w:jc w:val="center"/>
              <w:rPr>
                <w:noProof/>
              </w:rPr>
            </w:pPr>
            <w:r>
              <w:rPr>
                <w:noProof/>
              </w:rPr>
              <w:t xml:space="preserve"> Antal</w:t>
            </w:r>
          </w:p>
        </w:tc>
        <w:tc>
          <w:tcPr>
            <w:tcW w:w="992" w:type="dxa"/>
            <w:shd w:val="clear" w:color="auto" w:fill="C4EFCE"/>
            <w:noWrap/>
            <w:vAlign w:val="center"/>
          </w:tcPr>
          <w:p w14:paraId="03179505" w14:textId="02D7BE6B" w:rsidR="00E040FD" w:rsidRDefault="00740D64">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3ABCA18E" w14:textId="5D6BAAE1" w:rsidR="00E040FD" w:rsidRDefault="00740D64">
            <w:pPr>
              <w:pStyle w:val="P68B1DB1-Normal12"/>
              <w:spacing w:after="0" w:line="240" w:lineRule="auto"/>
              <w:jc w:val="center"/>
              <w:rPr>
                <w:rFonts w:eastAsia="Times New Roman" w:cstheme="minorHAnsi"/>
                <w:noProof/>
              </w:rPr>
            </w:pPr>
            <w:r>
              <w:rPr>
                <w:noProof/>
              </w:rPr>
              <w:t>11 750</w:t>
            </w:r>
          </w:p>
        </w:tc>
        <w:tc>
          <w:tcPr>
            <w:tcW w:w="567" w:type="dxa"/>
            <w:shd w:val="clear" w:color="auto" w:fill="C4EFCE"/>
            <w:noWrap/>
            <w:vAlign w:val="center"/>
          </w:tcPr>
          <w:p w14:paraId="718E9C07" w14:textId="7AFA7A93" w:rsidR="00E040FD" w:rsidRDefault="00740D64">
            <w:pPr>
              <w:pStyle w:val="P68B1DB1-Normal12"/>
              <w:spacing w:after="0" w:line="240" w:lineRule="auto"/>
              <w:jc w:val="center"/>
              <w:rPr>
                <w:rFonts w:cstheme="minorHAnsi"/>
                <w:noProof/>
              </w:rPr>
            </w:pPr>
            <w:r>
              <w:rPr>
                <w:noProof/>
              </w:rPr>
              <w:t>KVARTAL 2</w:t>
            </w:r>
          </w:p>
        </w:tc>
        <w:tc>
          <w:tcPr>
            <w:tcW w:w="708" w:type="dxa"/>
            <w:shd w:val="clear" w:color="auto" w:fill="C4EFCE"/>
            <w:noWrap/>
            <w:vAlign w:val="center"/>
          </w:tcPr>
          <w:p w14:paraId="0704A86A" w14:textId="763D5987" w:rsidR="00E040FD" w:rsidRDefault="00740D64">
            <w:pPr>
              <w:pStyle w:val="P68B1DB1-Normal12"/>
              <w:spacing w:after="0" w:line="240" w:lineRule="auto"/>
              <w:jc w:val="center"/>
              <w:rPr>
                <w:rFonts w:cstheme="minorHAnsi"/>
                <w:noProof/>
              </w:rPr>
            </w:pPr>
            <w:r>
              <w:rPr>
                <w:noProof/>
              </w:rPr>
              <w:t>2026</w:t>
            </w:r>
          </w:p>
        </w:tc>
        <w:tc>
          <w:tcPr>
            <w:tcW w:w="4395" w:type="dxa"/>
            <w:shd w:val="clear" w:color="auto" w:fill="C4EFCE"/>
            <w:vAlign w:val="center"/>
          </w:tcPr>
          <w:p w14:paraId="58BDA553" w14:textId="0C921B07" w:rsidR="00E040FD" w:rsidRDefault="00740D64">
            <w:pPr>
              <w:pStyle w:val="P68B1DB1-Bodytext1013"/>
              <w:spacing w:after="0" w:line="240" w:lineRule="auto"/>
              <w:jc w:val="both"/>
              <w:rPr>
                <w:rFonts w:cstheme="minorBidi"/>
                <w:noProof/>
              </w:rPr>
            </w:pPr>
            <w:r>
              <w:rPr>
                <w:noProof/>
              </w:rPr>
              <w:t>11 750 ungdomar och vuxna från andra områden än naturvetenskap, teknik, ingenjörsvetenskap och matematik ska delta i programmen för att stärka digitala färdigheter.</w:t>
            </w:r>
          </w:p>
        </w:tc>
      </w:tr>
      <w:tr w:rsidR="00E040FD" w14:paraId="4D94B093" w14:textId="77777777">
        <w:trPr>
          <w:trHeight w:val="640"/>
        </w:trPr>
        <w:tc>
          <w:tcPr>
            <w:tcW w:w="1135" w:type="dxa"/>
            <w:shd w:val="clear" w:color="auto" w:fill="C5EFCE"/>
            <w:vAlign w:val="center"/>
          </w:tcPr>
          <w:p w14:paraId="34E64220" w14:textId="772B93AE" w:rsidR="00E040FD" w:rsidRDefault="00740D64">
            <w:pPr>
              <w:pStyle w:val="P68B1DB1-Normal11"/>
              <w:spacing w:after="0" w:line="240" w:lineRule="auto"/>
              <w:jc w:val="center"/>
              <w:rPr>
                <w:noProof/>
              </w:rPr>
            </w:pPr>
            <w:r>
              <w:rPr>
                <w:noProof/>
              </w:rPr>
              <w:t>6.24</w:t>
            </w:r>
          </w:p>
        </w:tc>
        <w:tc>
          <w:tcPr>
            <w:tcW w:w="1276" w:type="dxa"/>
            <w:shd w:val="clear" w:color="auto" w:fill="C4EFCE"/>
            <w:noWrap/>
            <w:vAlign w:val="center"/>
          </w:tcPr>
          <w:p w14:paraId="0083973A" w14:textId="5FF91370" w:rsidR="00E040FD" w:rsidRDefault="00740D64">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534D3821" w14:textId="716BA925" w:rsidR="00E040FD" w:rsidRDefault="00740D64">
            <w:pPr>
              <w:pStyle w:val="P68B1DB1-Normal12"/>
              <w:spacing w:after="0" w:line="240" w:lineRule="auto"/>
              <w:jc w:val="center"/>
              <w:rPr>
                <w:rFonts w:cstheme="minorHAnsi"/>
                <w:noProof/>
              </w:rPr>
            </w:pPr>
            <w:r>
              <w:rPr>
                <w:noProof/>
              </w:rPr>
              <w:t>M</w:t>
            </w:r>
          </w:p>
        </w:tc>
        <w:tc>
          <w:tcPr>
            <w:tcW w:w="1701" w:type="dxa"/>
            <w:shd w:val="clear" w:color="auto" w:fill="C4EFCE"/>
            <w:noWrap/>
            <w:vAlign w:val="center"/>
          </w:tcPr>
          <w:p w14:paraId="546F1C56" w14:textId="4A44DB24" w:rsidR="00E040FD" w:rsidRDefault="00740D64">
            <w:pPr>
              <w:pStyle w:val="P68B1DB1-Normal12"/>
              <w:spacing w:after="0" w:line="240" w:lineRule="auto"/>
              <w:jc w:val="center"/>
              <w:rPr>
                <w:rFonts w:cstheme="minorHAnsi"/>
                <w:noProof/>
              </w:rPr>
            </w:pPr>
            <w:r>
              <w:rPr>
                <w:noProof/>
              </w:rPr>
              <w:t>Innovation och pedagogisk modernisering inom den högre utbildningen</w:t>
            </w:r>
          </w:p>
        </w:tc>
        <w:tc>
          <w:tcPr>
            <w:tcW w:w="1275" w:type="dxa"/>
            <w:shd w:val="clear" w:color="auto" w:fill="C4EFCE"/>
            <w:noWrap/>
            <w:vAlign w:val="center"/>
          </w:tcPr>
          <w:p w14:paraId="459EE616" w14:textId="77777777" w:rsidR="00E040FD" w:rsidRDefault="00E040FD">
            <w:pPr>
              <w:spacing w:after="0" w:line="240" w:lineRule="auto"/>
              <w:jc w:val="center"/>
              <w:rPr>
                <w:rFonts w:cstheme="minorHAnsi"/>
                <w:noProof/>
                <w:sz w:val="16"/>
              </w:rPr>
            </w:pPr>
          </w:p>
        </w:tc>
        <w:tc>
          <w:tcPr>
            <w:tcW w:w="993" w:type="dxa"/>
            <w:shd w:val="clear" w:color="auto" w:fill="C4EFCE"/>
            <w:noWrap/>
            <w:vAlign w:val="center"/>
          </w:tcPr>
          <w:p w14:paraId="7BEDA178" w14:textId="53F4813C" w:rsidR="00E040FD" w:rsidRDefault="00740D64">
            <w:pPr>
              <w:pStyle w:val="P68B1DB1-Normal12"/>
              <w:spacing w:after="0" w:line="240" w:lineRule="auto"/>
              <w:jc w:val="center"/>
              <w:rPr>
                <w:noProof/>
              </w:rPr>
            </w:pPr>
            <w:r>
              <w:rPr>
                <w:noProof/>
              </w:rPr>
              <w:t xml:space="preserve"> Antal</w:t>
            </w:r>
          </w:p>
        </w:tc>
        <w:tc>
          <w:tcPr>
            <w:tcW w:w="992" w:type="dxa"/>
            <w:shd w:val="clear" w:color="auto" w:fill="C4EFCE"/>
            <w:noWrap/>
            <w:vAlign w:val="center"/>
          </w:tcPr>
          <w:p w14:paraId="665883BC" w14:textId="2EC998CE" w:rsidR="00E040FD" w:rsidRDefault="00740D64">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6CC2A8F9" w14:textId="06F7ECA2" w:rsidR="00E040FD" w:rsidRDefault="00740D64">
            <w:pPr>
              <w:pStyle w:val="P68B1DB1-Normal12"/>
              <w:spacing w:after="0" w:line="240" w:lineRule="auto"/>
              <w:jc w:val="center"/>
              <w:rPr>
                <w:rFonts w:eastAsia="Times New Roman" w:cstheme="minorHAnsi"/>
                <w:noProof/>
              </w:rPr>
            </w:pPr>
            <w:r>
              <w:rPr>
                <w:noProof/>
              </w:rPr>
              <w:t>5</w:t>
            </w:r>
          </w:p>
        </w:tc>
        <w:tc>
          <w:tcPr>
            <w:tcW w:w="567" w:type="dxa"/>
            <w:shd w:val="clear" w:color="auto" w:fill="C4EFCE"/>
            <w:noWrap/>
            <w:vAlign w:val="center"/>
          </w:tcPr>
          <w:p w14:paraId="02D944F5" w14:textId="703DB580" w:rsidR="00E040FD" w:rsidRDefault="00740D64">
            <w:pPr>
              <w:pStyle w:val="P68B1DB1-Normal12"/>
              <w:spacing w:after="0" w:line="240" w:lineRule="auto"/>
              <w:jc w:val="center"/>
              <w:rPr>
                <w:rFonts w:cstheme="minorHAnsi"/>
                <w:noProof/>
              </w:rPr>
            </w:pPr>
            <w:r>
              <w:rPr>
                <w:noProof/>
              </w:rPr>
              <w:t xml:space="preserve">KVARTAL 4 </w:t>
            </w:r>
          </w:p>
        </w:tc>
        <w:tc>
          <w:tcPr>
            <w:tcW w:w="708" w:type="dxa"/>
            <w:shd w:val="clear" w:color="auto" w:fill="C4EFCE"/>
            <w:noWrap/>
            <w:vAlign w:val="center"/>
          </w:tcPr>
          <w:p w14:paraId="64371F14" w14:textId="0A68E79D" w:rsidR="00E040FD" w:rsidRDefault="00740D64">
            <w:pPr>
              <w:pStyle w:val="P68B1DB1-Normal12"/>
              <w:spacing w:after="0" w:line="240" w:lineRule="auto"/>
              <w:jc w:val="center"/>
              <w:rPr>
                <w:rFonts w:cstheme="minorHAnsi"/>
                <w:noProof/>
              </w:rPr>
            </w:pPr>
            <w:r>
              <w:rPr>
                <w:noProof/>
              </w:rPr>
              <w:t>2024</w:t>
            </w:r>
          </w:p>
        </w:tc>
        <w:tc>
          <w:tcPr>
            <w:tcW w:w="4395" w:type="dxa"/>
            <w:shd w:val="clear" w:color="auto" w:fill="C4EFCE"/>
            <w:vAlign w:val="center"/>
          </w:tcPr>
          <w:p w14:paraId="31B02553" w14:textId="31BE029E" w:rsidR="00E040FD" w:rsidRDefault="00740D64">
            <w:pPr>
              <w:pStyle w:val="P68B1DB1-Bodytext1013"/>
              <w:spacing w:after="0" w:line="240" w:lineRule="auto"/>
              <w:jc w:val="both"/>
              <w:rPr>
                <w:rFonts w:cstheme="minorBidi"/>
                <w:noProof/>
              </w:rPr>
            </w:pPr>
            <w:r>
              <w:rPr>
                <w:noProof/>
              </w:rPr>
              <w:t xml:space="preserve">Fem kompetenscentrum för pedagogisk innovation ska inrättas med inriktning på icke-tekniska ämnesområden (samhällsvetenskap, humaniora och konst). Det nationella rådet för pedagogisk innovation inom högre utbildning ska inrättas. </w:t>
            </w:r>
          </w:p>
        </w:tc>
      </w:tr>
      <w:tr w:rsidR="00E040FD" w14:paraId="5EDD3E14" w14:textId="77777777">
        <w:trPr>
          <w:trHeight w:val="640"/>
        </w:trPr>
        <w:tc>
          <w:tcPr>
            <w:tcW w:w="1135" w:type="dxa"/>
            <w:shd w:val="clear" w:color="auto" w:fill="C5EFCE"/>
            <w:vAlign w:val="center"/>
          </w:tcPr>
          <w:p w14:paraId="42FF49FC" w14:textId="25C76D14" w:rsidR="00E040FD" w:rsidRDefault="00740D64">
            <w:pPr>
              <w:pStyle w:val="P68B1DB1-Normal11"/>
              <w:spacing w:after="0" w:line="240" w:lineRule="auto"/>
              <w:jc w:val="center"/>
              <w:rPr>
                <w:noProof/>
              </w:rPr>
            </w:pPr>
            <w:r>
              <w:rPr>
                <w:noProof/>
                <w:shd w:val="clear" w:color="auto" w:fill="E6E6E6"/>
              </w:rPr>
              <w:t>6.2</w:t>
            </w:r>
            <w:r>
              <w:rPr>
                <w:noProof/>
              </w:rPr>
              <w:t>5</w:t>
            </w:r>
          </w:p>
        </w:tc>
        <w:tc>
          <w:tcPr>
            <w:tcW w:w="1276" w:type="dxa"/>
            <w:shd w:val="clear" w:color="auto" w:fill="C4EFCE"/>
            <w:noWrap/>
            <w:vAlign w:val="center"/>
          </w:tcPr>
          <w:p w14:paraId="56C60FE1" w14:textId="4068A0BE" w:rsidR="00E040FD" w:rsidRDefault="00740D64">
            <w:pPr>
              <w:pStyle w:val="P68B1DB1-Normal12"/>
              <w:spacing w:after="0" w:line="240" w:lineRule="auto"/>
              <w:jc w:val="center"/>
              <w:rPr>
                <w:noProof/>
              </w:rPr>
            </w:pPr>
            <w:r>
              <w:rPr>
                <w:noProof/>
              </w:rPr>
              <w:t>RE-C06-i07</w:t>
            </w:r>
          </w:p>
        </w:tc>
        <w:tc>
          <w:tcPr>
            <w:tcW w:w="1134" w:type="dxa"/>
            <w:shd w:val="clear" w:color="auto" w:fill="C4EFCE"/>
            <w:noWrap/>
            <w:vAlign w:val="center"/>
          </w:tcPr>
          <w:p w14:paraId="075C0195" w14:textId="08EB7FE7" w:rsidR="00E040FD" w:rsidRDefault="00740D64">
            <w:pPr>
              <w:pStyle w:val="P68B1DB1-Normal12"/>
              <w:spacing w:after="0" w:line="240" w:lineRule="auto"/>
              <w:jc w:val="center"/>
              <w:rPr>
                <w:noProof/>
              </w:rPr>
            </w:pPr>
            <w:r>
              <w:rPr>
                <w:noProof/>
              </w:rPr>
              <w:t>T</w:t>
            </w:r>
          </w:p>
        </w:tc>
        <w:tc>
          <w:tcPr>
            <w:tcW w:w="1701" w:type="dxa"/>
            <w:shd w:val="clear" w:color="auto" w:fill="C4EFCE"/>
            <w:noWrap/>
            <w:vAlign w:val="center"/>
          </w:tcPr>
          <w:p w14:paraId="6FB5789C" w14:textId="4D968374" w:rsidR="00E040FD" w:rsidRDefault="00740D64">
            <w:pPr>
              <w:pStyle w:val="P68B1DB1-Normal12"/>
              <w:spacing w:after="0" w:line="240" w:lineRule="auto"/>
              <w:jc w:val="center"/>
              <w:rPr>
                <w:noProof/>
              </w:rPr>
            </w:pPr>
            <w:r>
              <w:rPr>
                <w:noProof/>
              </w:rPr>
              <w:t>Innovation och pedagogisk modernisering inom den högre utbildningen</w:t>
            </w:r>
          </w:p>
        </w:tc>
        <w:tc>
          <w:tcPr>
            <w:tcW w:w="1275" w:type="dxa"/>
            <w:shd w:val="clear" w:color="auto" w:fill="C4EFCE"/>
            <w:noWrap/>
            <w:vAlign w:val="center"/>
          </w:tcPr>
          <w:p w14:paraId="1FE0DD74" w14:textId="77777777" w:rsidR="00E040FD" w:rsidRDefault="00E040FD">
            <w:pPr>
              <w:spacing w:after="0" w:line="240" w:lineRule="auto"/>
              <w:jc w:val="center"/>
              <w:rPr>
                <w:noProof/>
                <w:sz w:val="16"/>
              </w:rPr>
            </w:pPr>
          </w:p>
        </w:tc>
        <w:tc>
          <w:tcPr>
            <w:tcW w:w="993" w:type="dxa"/>
            <w:shd w:val="clear" w:color="auto" w:fill="C4EFCE"/>
            <w:noWrap/>
            <w:vAlign w:val="center"/>
          </w:tcPr>
          <w:p w14:paraId="109C6A75" w14:textId="6DC07688" w:rsidR="00E040FD" w:rsidRDefault="00740D64">
            <w:pPr>
              <w:pStyle w:val="P68B1DB1-Normal12"/>
              <w:spacing w:after="0" w:line="240" w:lineRule="auto"/>
              <w:jc w:val="center"/>
              <w:rPr>
                <w:noProof/>
              </w:rPr>
            </w:pPr>
            <w:r>
              <w:rPr>
                <w:noProof/>
              </w:rPr>
              <w:t>Procentsats</w:t>
            </w:r>
          </w:p>
        </w:tc>
        <w:tc>
          <w:tcPr>
            <w:tcW w:w="992" w:type="dxa"/>
            <w:shd w:val="clear" w:color="auto" w:fill="C4EFCE"/>
            <w:noWrap/>
            <w:vAlign w:val="center"/>
          </w:tcPr>
          <w:p w14:paraId="5BACD0A3" w14:textId="2B76B72B" w:rsidR="00E040FD" w:rsidRDefault="00740D64">
            <w:pPr>
              <w:pStyle w:val="P68B1DB1-Normal12"/>
              <w:spacing w:after="0" w:line="240" w:lineRule="auto"/>
              <w:jc w:val="center"/>
              <w:rPr>
                <w:noProof/>
              </w:rPr>
            </w:pPr>
            <w:r>
              <w:rPr>
                <w:noProof/>
              </w:rPr>
              <w:t>24</w:t>
            </w:r>
          </w:p>
        </w:tc>
        <w:tc>
          <w:tcPr>
            <w:tcW w:w="850" w:type="dxa"/>
            <w:shd w:val="clear" w:color="auto" w:fill="C4EFCE"/>
            <w:noWrap/>
            <w:vAlign w:val="center"/>
          </w:tcPr>
          <w:p w14:paraId="0FCCD7A8" w14:textId="17E68BD7" w:rsidR="00E040FD" w:rsidRDefault="00740D64">
            <w:pPr>
              <w:pStyle w:val="P68B1DB1-Normal12"/>
              <w:spacing w:after="0" w:line="240" w:lineRule="auto"/>
              <w:jc w:val="center"/>
              <w:rPr>
                <w:noProof/>
              </w:rPr>
            </w:pPr>
            <w:r>
              <w:rPr>
                <w:noProof/>
              </w:rPr>
              <w:t>22</w:t>
            </w:r>
          </w:p>
        </w:tc>
        <w:tc>
          <w:tcPr>
            <w:tcW w:w="567" w:type="dxa"/>
            <w:shd w:val="clear" w:color="auto" w:fill="C4EFCE"/>
            <w:noWrap/>
            <w:vAlign w:val="center"/>
          </w:tcPr>
          <w:p w14:paraId="407A04B9" w14:textId="6C671152" w:rsidR="00E040FD" w:rsidRDefault="00740D64">
            <w:pPr>
              <w:pStyle w:val="P68B1DB1-Normal12"/>
              <w:spacing w:after="0" w:line="240" w:lineRule="auto"/>
              <w:jc w:val="center"/>
              <w:rPr>
                <w:noProof/>
              </w:rPr>
            </w:pPr>
            <w:r>
              <w:rPr>
                <w:noProof/>
              </w:rPr>
              <w:t xml:space="preserve">KVARTAL 2 </w:t>
            </w:r>
          </w:p>
        </w:tc>
        <w:tc>
          <w:tcPr>
            <w:tcW w:w="708" w:type="dxa"/>
            <w:shd w:val="clear" w:color="auto" w:fill="C4EFCE"/>
            <w:noWrap/>
            <w:vAlign w:val="center"/>
          </w:tcPr>
          <w:p w14:paraId="24140BFE" w14:textId="49106AB4" w:rsidR="00E040FD" w:rsidRDefault="00740D64">
            <w:pPr>
              <w:pStyle w:val="P68B1DB1-Normal12"/>
              <w:spacing w:after="0" w:line="240" w:lineRule="auto"/>
              <w:jc w:val="center"/>
              <w:rPr>
                <w:noProof/>
              </w:rPr>
            </w:pPr>
            <w:r>
              <w:rPr>
                <w:noProof/>
              </w:rPr>
              <w:t>2026</w:t>
            </w:r>
          </w:p>
        </w:tc>
        <w:tc>
          <w:tcPr>
            <w:tcW w:w="4395" w:type="dxa"/>
            <w:shd w:val="clear" w:color="auto" w:fill="C4EFCE"/>
            <w:vAlign w:val="center"/>
          </w:tcPr>
          <w:p w14:paraId="301CE07F" w14:textId="78DC95DE" w:rsidR="00E040FD" w:rsidRDefault="00740D64">
            <w:pPr>
              <w:pStyle w:val="P68B1DB1-Bodytext1013"/>
              <w:spacing w:after="0" w:line="240" w:lineRule="auto"/>
              <w:jc w:val="both"/>
              <w:rPr>
                <w:rFonts w:cstheme="minorBidi"/>
                <w:noProof/>
              </w:rPr>
            </w:pPr>
            <w:r>
              <w:rPr>
                <w:noProof/>
              </w:rPr>
              <w:t>Den genomsnittliga andelen elever som hoppar av skolan under det första</w:t>
            </w:r>
            <w:r>
              <w:rPr>
                <w:noProof/>
                <w:vertAlign w:val="superscript"/>
              </w:rPr>
              <w:t>året</w:t>
            </w:r>
            <w:r>
              <w:rPr>
                <w:noProof/>
              </w:rPr>
              <w:t xml:space="preserve"> 1 och elever för första gången i grundutbildningen ska minska från 24 till 22 % jämfört med läsåret 2020/2021. </w:t>
            </w:r>
          </w:p>
        </w:tc>
      </w:tr>
      <w:tr w:rsidR="00E040FD" w14:paraId="1B6CC263" w14:textId="77777777">
        <w:trPr>
          <w:trHeight w:val="1200"/>
        </w:trPr>
        <w:tc>
          <w:tcPr>
            <w:tcW w:w="1135" w:type="dxa"/>
            <w:shd w:val="clear" w:color="auto" w:fill="C5EFCE"/>
            <w:vAlign w:val="center"/>
          </w:tcPr>
          <w:p w14:paraId="17852A2F" w14:textId="4BC71954" w:rsidR="00E040FD" w:rsidRDefault="00740D64">
            <w:pPr>
              <w:pStyle w:val="P68B1DB1-Normal11"/>
              <w:spacing w:after="0" w:line="240" w:lineRule="auto"/>
              <w:jc w:val="center"/>
              <w:rPr>
                <w:noProof/>
              </w:rPr>
            </w:pPr>
            <w:r>
              <w:rPr>
                <w:noProof/>
              </w:rPr>
              <w:t>6.26</w:t>
            </w:r>
          </w:p>
        </w:tc>
        <w:tc>
          <w:tcPr>
            <w:tcW w:w="1276" w:type="dxa"/>
            <w:shd w:val="clear" w:color="auto" w:fill="C4EFCE"/>
            <w:noWrap/>
            <w:vAlign w:val="center"/>
          </w:tcPr>
          <w:p w14:paraId="6AB0021F" w14:textId="36D94200" w:rsidR="00E040FD" w:rsidRDefault="00740D64">
            <w:pPr>
              <w:pStyle w:val="P68B1DB1-Normal12"/>
              <w:spacing w:after="0" w:line="240" w:lineRule="auto"/>
              <w:jc w:val="center"/>
              <w:rPr>
                <w:rFonts w:cstheme="minorHAnsi"/>
                <w:noProof/>
                <w:highlight w:val="yellow"/>
              </w:rPr>
            </w:pPr>
            <w:r>
              <w:rPr>
                <w:noProof/>
              </w:rPr>
              <w:t>RE-C06-i08-RAM</w:t>
            </w:r>
          </w:p>
        </w:tc>
        <w:tc>
          <w:tcPr>
            <w:tcW w:w="1134" w:type="dxa"/>
            <w:shd w:val="clear" w:color="auto" w:fill="C4EFCE"/>
            <w:noWrap/>
            <w:vAlign w:val="center"/>
          </w:tcPr>
          <w:p w14:paraId="7D4E502D" w14:textId="257DAB64" w:rsidR="00E040FD" w:rsidRDefault="00740D64">
            <w:pPr>
              <w:pStyle w:val="P68B1DB1-Normal12"/>
              <w:spacing w:after="0" w:line="240" w:lineRule="auto"/>
              <w:jc w:val="center"/>
              <w:rPr>
                <w:rFonts w:cstheme="minorHAnsi"/>
                <w:noProof/>
                <w:highlight w:val="yellow"/>
              </w:rPr>
            </w:pPr>
            <w:r>
              <w:rPr>
                <w:noProof/>
              </w:rPr>
              <w:t>M</w:t>
            </w:r>
          </w:p>
        </w:tc>
        <w:tc>
          <w:tcPr>
            <w:tcW w:w="1701" w:type="dxa"/>
            <w:shd w:val="clear" w:color="auto" w:fill="C4EFCE"/>
            <w:noWrap/>
            <w:vAlign w:val="center"/>
          </w:tcPr>
          <w:p w14:paraId="4066C449" w14:textId="4911D8E4" w:rsidR="00E040FD" w:rsidRDefault="00740D64">
            <w:pPr>
              <w:pStyle w:val="P68B1DB1-Normal12"/>
              <w:spacing w:after="0" w:line="240" w:lineRule="auto"/>
              <w:jc w:val="center"/>
              <w:rPr>
                <w:noProof/>
                <w:highlight w:val="yellow"/>
              </w:rPr>
            </w:pPr>
            <w:r>
              <w:rPr>
                <w:noProof/>
              </w:rPr>
              <w:t>Kontrakt undertecknat för förlängning av CITMA-byggnaden</w:t>
            </w:r>
          </w:p>
        </w:tc>
        <w:tc>
          <w:tcPr>
            <w:tcW w:w="1275" w:type="dxa"/>
            <w:shd w:val="clear" w:color="auto" w:fill="C4EFCE"/>
            <w:noWrap/>
            <w:vAlign w:val="center"/>
          </w:tcPr>
          <w:p w14:paraId="4184FAC3" w14:textId="57DE588F" w:rsidR="00E040FD" w:rsidRDefault="00740D64">
            <w:pPr>
              <w:pStyle w:val="P68B1DB1-Normal12"/>
              <w:spacing w:after="0" w:line="240" w:lineRule="auto"/>
              <w:jc w:val="center"/>
              <w:rPr>
                <w:noProof/>
              </w:rPr>
            </w:pPr>
            <w:r>
              <w:rPr>
                <w:noProof/>
              </w:rPr>
              <w:t>Kontrakt undertecknat med entreprenören om utbyggnad av CITMA-byggnaden</w:t>
            </w:r>
          </w:p>
        </w:tc>
        <w:tc>
          <w:tcPr>
            <w:tcW w:w="993" w:type="dxa"/>
            <w:shd w:val="clear" w:color="auto" w:fill="C4EFCE"/>
            <w:noWrap/>
            <w:vAlign w:val="center"/>
          </w:tcPr>
          <w:p w14:paraId="2594E74E" w14:textId="77777777" w:rsidR="00E040FD" w:rsidRDefault="00E040FD">
            <w:pPr>
              <w:spacing w:after="0" w:line="240" w:lineRule="auto"/>
              <w:jc w:val="center"/>
              <w:rPr>
                <w:rFonts w:cstheme="minorHAnsi"/>
                <w:noProof/>
                <w:sz w:val="16"/>
                <w:highlight w:val="yellow"/>
              </w:rPr>
            </w:pPr>
          </w:p>
        </w:tc>
        <w:tc>
          <w:tcPr>
            <w:tcW w:w="992" w:type="dxa"/>
            <w:shd w:val="clear" w:color="auto" w:fill="C4EFCE"/>
            <w:noWrap/>
            <w:vAlign w:val="center"/>
          </w:tcPr>
          <w:p w14:paraId="5C7A545B" w14:textId="77777777" w:rsidR="00E040FD" w:rsidRDefault="00E040FD">
            <w:pPr>
              <w:spacing w:after="0" w:line="240" w:lineRule="auto"/>
              <w:jc w:val="center"/>
              <w:rPr>
                <w:rFonts w:cstheme="minorHAnsi"/>
                <w:noProof/>
                <w:sz w:val="16"/>
                <w:highlight w:val="yellow"/>
              </w:rPr>
            </w:pPr>
          </w:p>
        </w:tc>
        <w:tc>
          <w:tcPr>
            <w:tcW w:w="850" w:type="dxa"/>
            <w:shd w:val="clear" w:color="auto" w:fill="C4EFCE"/>
            <w:noWrap/>
            <w:vAlign w:val="center"/>
          </w:tcPr>
          <w:p w14:paraId="5C0309AA" w14:textId="77777777" w:rsidR="00E040FD" w:rsidRDefault="00E040FD">
            <w:pPr>
              <w:spacing w:after="0" w:line="240" w:lineRule="auto"/>
              <w:jc w:val="center"/>
              <w:rPr>
                <w:rFonts w:cstheme="minorHAnsi"/>
                <w:noProof/>
                <w:sz w:val="16"/>
                <w:highlight w:val="yellow"/>
              </w:rPr>
            </w:pPr>
          </w:p>
        </w:tc>
        <w:tc>
          <w:tcPr>
            <w:tcW w:w="567" w:type="dxa"/>
            <w:shd w:val="clear" w:color="auto" w:fill="C4EFCE"/>
            <w:noWrap/>
            <w:vAlign w:val="center"/>
          </w:tcPr>
          <w:p w14:paraId="7B969A18" w14:textId="75D7CB06" w:rsidR="00E040FD" w:rsidRDefault="00740D64">
            <w:pPr>
              <w:pStyle w:val="P68B1DB1-Normal12"/>
              <w:spacing w:after="0" w:line="240" w:lineRule="auto"/>
              <w:jc w:val="center"/>
              <w:rPr>
                <w:noProof/>
                <w:highlight w:val="yellow"/>
              </w:rPr>
            </w:pPr>
            <w:r>
              <w:rPr>
                <w:noProof/>
              </w:rPr>
              <w:t>KVARTAL 4</w:t>
            </w:r>
          </w:p>
        </w:tc>
        <w:tc>
          <w:tcPr>
            <w:tcW w:w="708" w:type="dxa"/>
            <w:shd w:val="clear" w:color="auto" w:fill="C4EFCE"/>
            <w:noWrap/>
            <w:vAlign w:val="center"/>
          </w:tcPr>
          <w:p w14:paraId="5BA274AA" w14:textId="7294986B" w:rsidR="00E040FD" w:rsidRDefault="00740D64">
            <w:pPr>
              <w:pStyle w:val="P68B1DB1-Normal12"/>
              <w:spacing w:after="0" w:line="240" w:lineRule="auto"/>
              <w:jc w:val="center"/>
              <w:rPr>
                <w:noProof/>
                <w:highlight w:val="yellow"/>
              </w:rPr>
            </w:pPr>
            <w:r>
              <w:rPr>
                <w:noProof/>
              </w:rPr>
              <w:t>2024</w:t>
            </w:r>
          </w:p>
        </w:tc>
        <w:tc>
          <w:tcPr>
            <w:tcW w:w="4395" w:type="dxa"/>
            <w:shd w:val="clear" w:color="auto" w:fill="C4EFCE"/>
          </w:tcPr>
          <w:p w14:paraId="026297F8" w14:textId="55F6305A" w:rsidR="00E040FD" w:rsidRDefault="00740D64">
            <w:pPr>
              <w:pStyle w:val="P68B1DB1-Bodytext1013"/>
              <w:spacing w:line="240" w:lineRule="auto"/>
              <w:jc w:val="both"/>
              <w:rPr>
                <w:rFonts w:cstheme="minorBidi"/>
                <w:noProof/>
              </w:rPr>
            </w:pPr>
            <w:r>
              <w:rPr>
                <w:noProof/>
              </w:rPr>
              <w:t>Kontrakt undertecknat för förlängning av byggnaden för det vetenskapliga och tekniska centrumet på Madeira (CITMA). Utbyggnaden ska bestå i att den nuvarande byggnaden läggs till tre våningsplan och att bottenvåningen utökas. Byggnaden ska anpassas till behoven hos personer med nedsatt rörlighet.</w:t>
            </w:r>
          </w:p>
        </w:tc>
      </w:tr>
      <w:tr w:rsidR="00E040FD" w14:paraId="26661FA7" w14:textId="77777777">
        <w:trPr>
          <w:trHeight w:val="640"/>
        </w:trPr>
        <w:tc>
          <w:tcPr>
            <w:tcW w:w="1135" w:type="dxa"/>
            <w:shd w:val="clear" w:color="auto" w:fill="C5EFCE"/>
            <w:vAlign w:val="center"/>
          </w:tcPr>
          <w:p w14:paraId="16FCC56E" w14:textId="432F4705" w:rsidR="00E040FD" w:rsidRDefault="00740D64">
            <w:pPr>
              <w:pStyle w:val="P68B1DB1-Normal11"/>
              <w:spacing w:after="0" w:line="240" w:lineRule="auto"/>
              <w:jc w:val="center"/>
              <w:rPr>
                <w:noProof/>
              </w:rPr>
            </w:pPr>
            <w:r>
              <w:rPr>
                <w:noProof/>
              </w:rPr>
              <w:t>6.27</w:t>
            </w:r>
          </w:p>
        </w:tc>
        <w:tc>
          <w:tcPr>
            <w:tcW w:w="1276" w:type="dxa"/>
            <w:shd w:val="clear" w:color="auto" w:fill="C4EFCE"/>
            <w:noWrap/>
            <w:vAlign w:val="center"/>
          </w:tcPr>
          <w:p w14:paraId="7A2ED63D" w14:textId="6A226D82" w:rsidR="00E040FD" w:rsidRDefault="00740D64">
            <w:pPr>
              <w:pStyle w:val="P68B1DB1-Normal12"/>
              <w:spacing w:after="0" w:line="240" w:lineRule="auto"/>
              <w:jc w:val="center"/>
              <w:rPr>
                <w:rFonts w:cstheme="minorHAnsi"/>
                <w:noProof/>
                <w:highlight w:val="yellow"/>
              </w:rPr>
            </w:pPr>
            <w:r>
              <w:rPr>
                <w:noProof/>
              </w:rPr>
              <w:t>RE-C06-i08-RAM</w:t>
            </w:r>
          </w:p>
        </w:tc>
        <w:tc>
          <w:tcPr>
            <w:tcW w:w="1134" w:type="dxa"/>
            <w:shd w:val="clear" w:color="auto" w:fill="C4EFCE"/>
            <w:noWrap/>
            <w:vAlign w:val="center"/>
          </w:tcPr>
          <w:p w14:paraId="71DDD4B9" w14:textId="3B2B0BFD" w:rsidR="00E040FD" w:rsidRDefault="00740D64">
            <w:pPr>
              <w:pStyle w:val="P68B1DB1-Normal12"/>
              <w:spacing w:after="0" w:line="240" w:lineRule="auto"/>
              <w:jc w:val="center"/>
              <w:rPr>
                <w:rFonts w:cstheme="minorHAnsi"/>
                <w:noProof/>
                <w:highlight w:val="yellow"/>
              </w:rPr>
            </w:pPr>
            <w:r>
              <w:rPr>
                <w:noProof/>
              </w:rPr>
              <w:t>T</w:t>
            </w:r>
          </w:p>
        </w:tc>
        <w:tc>
          <w:tcPr>
            <w:tcW w:w="1701" w:type="dxa"/>
            <w:shd w:val="clear" w:color="auto" w:fill="C4EFCE"/>
            <w:noWrap/>
            <w:vAlign w:val="center"/>
          </w:tcPr>
          <w:p w14:paraId="6636B311" w14:textId="0722EF78" w:rsidR="00E040FD" w:rsidRDefault="00740D64">
            <w:pPr>
              <w:pStyle w:val="P68B1DB1-Normal12"/>
              <w:spacing w:after="0" w:line="240" w:lineRule="auto"/>
              <w:jc w:val="center"/>
              <w:rPr>
                <w:rFonts w:cstheme="minorHAnsi"/>
                <w:noProof/>
                <w:highlight w:val="yellow"/>
              </w:rPr>
            </w:pPr>
            <w:r>
              <w:rPr>
                <w:noProof/>
              </w:rPr>
              <w:t>Utbyggnaden av CITMA-byggnaden slutförd</w:t>
            </w:r>
          </w:p>
        </w:tc>
        <w:tc>
          <w:tcPr>
            <w:tcW w:w="1275" w:type="dxa"/>
            <w:shd w:val="clear" w:color="auto" w:fill="C4EFCE"/>
            <w:noWrap/>
            <w:vAlign w:val="center"/>
          </w:tcPr>
          <w:p w14:paraId="5B8088BD" w14:textId="77777777" w:rsidR="00E040FD" w:rsidRDefault="00E040FD">
            <w:pPr>
              <w:spacing w:after="0" w:line="240" w:lineRule="auto"/>
              <w:jc w:val="center"/>
              <w:rPr>
                <w:rFonts w:cstheme="minorHAnsi"/>
                <w:noProof/>
                <w:sz w:val="16"/>
              </w:rPr>
            </w:pPr>
          </w:p>
        </w:tc>
        <w:tc>
          <w:tcPr>
            <w:tcW w:w="993" w:type="dxa"/>
            <w:shd w:val="clear" w:color="auto" w:fill="C4EFCE"/>
            <w:noWrap/>
            <w:vAlign w:val="center"/>
          </w:tcPr>
          <w:p w14:paraId="6D0A9446" w14:textId="77152A4E" w:rsidR="00E040FD" w:rsidRDefault="00740D64">
            <w:pPr>
              <w:pStyle w:val="P68B1DB1-Normal12"/>
              <w:spacing w:after="0" w:line="240" w:lineRule="auto"/>
              <w:jc w:val="center"/>
              <w:rPr>
                <w:rFonts w:cstheme="minorHAnsi"/>
                <w:noProof/>
                <w:highlight w:val="yellow"/>
              </w:rPr>
            </w:pPr>
            <w:r>
              <w:rPr>
                <w:noProof/>
              </w:rPr>
              <w:t>m² (brutto)</w:t>
            </w:r>
          </w:p>
        </w:tc>
        <w:tc>
          <w:tcPr>
            <w:tcW w:w="992" w:type="dxa"/>
            <w:shd w:val="clear" w:color="auto" w:fill="C4EFCE"/>
            <w:noWrap/>
            <w:vAlign w:val="center"/>
          </w:tcPr>
          <w:p w14:paraId="49E7248F" w14:textId="0204F5B0" w:rsidR="00E040FD" w:rsidRDefault="00740D64">
            <w:pPr>
              <w:pStyle w:val="P68B1DB1-Normal12"/>
              <w:spacing w:after="0" w:line="240" w:lineRule="auto"/>
              <w:jc w:val="center"/>
              <w:rPr>
                <w:rFonts w:cstheme="minorHAnsi"/>
                <w:noProof/>
                <w:highlight w:val="yellow"/>
              </w:rPr>
            </w:pPr>
            <w:r>
              <w:rPr>
                <w:noProof/>
              </w:rPr>
              <w:t>0</w:t>
            </w:r>
          </w:p>
        </w:tc>
        <w:tc>
          <w:tcPr>
            <w:tcW w:w="850" w:type="dxa"/>
            <w:shd w:val="clear" w:color="auto" w:fill="C4EFCE"/>
            <w:noWrap/>
            <w:vAlign w:val="center"/>
          </w:tcPr>
          <w:p w14:paraId="437267C7" w14:textId="13522473" w:rsidR="00E040FD" w:rsidRDefault="00740D64">
            <w:pPr>
              <w:pStyle w:val="P68B1DB1-Normal12"/>
              <w:spacing w:after="0" w:line="240" w:lineRule="auto"/>
              <w:jc w:val="center"/>
              <w:rPr>
                <w:rFonts w:cstheme="minorHAnsi"/>
                <w:noProof/>
                <w:highlight w:val="yellow"/>
              </w:rPr>
            </w:pPr>
            <w:r>
              <w:rPr>
                <w:noProof/>
              </w:rPr>
              <w:t>9.030</w:t>
            </w:r>
          </w:p>
        </w:tc>
        <w:tc>
          <w:tcPr>
            <w:tcW w:w="567" w:type="dxa"/>
            <w:shd w:val="clear" w:color="auto" w:fill="C4EFCE"/>
            <w:noWrap/>
            <w:vAlign w:val="center"/>
          </w:tcPr>
          <w:p w14:paraId="1704115E" w14:textId="514D1C81" w:rsidR="00E040FD" w:rsidRDefault="00740D64">
            <w:pPr>
              <w:pStyle w:val="P68B1DB1-Normal12"/>
              <w:spacing w:after="0" w:line="240" w:lineRule="auto"/>
              <w:jc w:val="center"/>
              <w:rPr>
                <w:rFonts w:cstheme="minorHAnsi"/>
                <w:noProof/>
                <w:highlight w:val="yellow"/>
              </w:rPr>
            </w:pPr>
            <w:r>
              <w:rPr>
                <w:noProof/>
              </w:rPr>
              <w:t>KVARTAL 2</w:t>
            </w:r>
          </w:p>
        </w:tc>
        <w:tc>
          <w:tcPr>
            <w:tcW w:w="708" w:type="dxa"/>
            <w:shd w:val="clear" w:color="auto" w:fill="C4EFCE"/>
            <w:noWrap/>
            <w:vAlign w:val="center"/>
          </w:tcPr>
          <w:p w14:paraId="121AEEFC" w14:textId="164B71B5" w:rsidR="00E040FD" w:rsidRDefault="00740D64">
            <w:pPr>
              <w:pStyle w:val="P68B1DB1-Normal12"/>
              <w:spacing w:after="0" w:line="240" w:lineRule="auto"/>
              <w:jc w:val="center"/>
              <w:rPr>
                <w:rFonts w:cstheme="minorHAnsi"/>
                <w:noProof/>
                <w:highlight w:val="yellow"/>
              </w:rPr>
            </w:pPr>
            <w:r>
              <w:rPr>
                <w:noProof/>
              </w:rPr>
              <w:t>2026</w:t>
            </w:r>
          </w:p>
        </w:tc>
        <w:tc>
          <w:tcPr>
            <w:tcW w:w="4395" w:type="dxa"/>
            <w:shd w:val="clear" w:color="auto" w:fill="C4EFCE"/>
          </w:tcPr>
          <w:p w14:paraId="6755F55B" w14:textId="6249822E" w:rsidR="00E040FD" w:rsidRDefault="00740D64">
            <w:pPr>
              <w:pStyle w:val="P68B1DB1-Bodytext1013"/>
              <w:spacing w:after="0" w:line="240" w:lineRule="auto"/>
              <w:jc w:val="both"/>
              <w:rPr>
                <w:rFonts w:cstheme="minorBidi"/>
                <w:noProof/>
              </w:rPr>
            </w:pPr>
            <w:r>
              <w:rPr>
                <w:noProof/>
              </w:rPr>
              <w:t xml:space="preserve">Slutförande av alla kontraktsenliga arbeten i samband med utbyggnaden av CITMA-byggnaden i enlighet med M6.26. </w:t>
            </w:r>
          </w:p>
          <w:p w14:paraId="2E4EF6FD" w14:textId="67B2A4A2" w:rsidR="00E040FD" w:rsidRDefault="00740D64">
            <w:pPr>
              <w:pStyle w:val="P68B1DB1-Bodytext1013"/>
              <w:spacing w:after="0" w:line="240" w:lineRule="auto"/>
              <w:jc w:val="both"/>
              <w:rPr>
                <w:rFonts w:cstheme="minorHAnsi"/>
                <w:noProof/>
                <w:highlight w:val="yellow"/>
              </w:rPr>
            </w:pPr>
            <w:r>
              <w:rPr>
                <w:noProof/>
              </w:rPr>
              <w:t>Byggnaden ska ha ett primärenergibehov som är minst 20 % lägre än kraven för nära-nollenergibyggnader.</w:t>
            </w:r>
          </w:p>
        </w:tc>
      </w:tr>
    </w:tbl>
    <w:p w14:paraId="703445A0" w14:textId="77777777" w:rsidR="00E040FD" w:rsidRDefault="00E040FD">
      <w:pPr>
        <w:keepNext/>
        <w:spacing w:before="40" w:after="0" w:line="259" w:lineRule="auto"/>
        <w:jc w:val="both"/>
        <w:rPr>
          <w:rFonts w:ascii="Times New Roman" w:eastAsiaTheme="minorEastAsia" w:hAnsi="Times New Roman" w:cs="Times New Roman"/>
          <w:noProof/>
          <w:sz w:val="24"/>
        </w:rPr>
        <w:sectPr w:rsidR="00E040FD" w:rsidSect="00E00EDD">
          <w:headerReference w:type="even" r:id="rId126"/>
          <w:headerReference w:type="default" r:id="rId127"/>
          <w:footerReference w:type="even" r:id="rId128"/>
          <w:footerReference w:type="default" r:id="rId129"/>
          <w:headerReference w:type="first" r:id="rId130"/>
          <w:footerReference w:type="first" r:id="rId131"/>
          <w:pgSz w:w="16839" w:h="11907" w:orient="landscape"/>
          <w:pgMar w:top="1134" w:right="1134" w:bottom="1134" w:left="1134" w:header="567" w:footer="567" w:gutter="0"/>
          <w:cols w:space="720"/>
          <w:docGrid w:linePitch="360"/>
        </w:sectPr>
      </w:pPr>
    </w:p>
    <w:p w14:paraId="0B57B546" w14:textId="00CBED5A" w:rsidR="00E040FD" w:rsidRDefault="00740D64">
      <w:pPr>
        <w:pStyle w:val="P68B1DB1-Normal3"/>
        <w:spacing w:before="40" w:after="120" w:line="259" w:lineRule="auto"/>
        <w:ind w:left="130" w:firstLine="720"/>
        <w:jc w:val="both"/>
        <w:outlineLvl w:val="2"/>
        <w:rPr>
          <w:rFonts w:eastAsiaTheme="minorEastAsia" w:cs="Times New Roman"/>
          <w:noProof/>
        </w:rPr>
      </w:pPr>
      <w:r>
        <w:rPr>
          <w:noProof/>
        </w:rPr>
        <w:t>F.3. Beskrivning av reformerna och investeringarna för lånet</w:t>
      </w:r>
    </w:p>
    <w:p w14:paraId="4E706AE3" w14:textId="4F5820BE" w:rsidR="00E040FD" w:rsidRDefault="00740D64">
      <w:pPr>
        <w:pStyle w:val="P68B1DB1-Heading214"/>
        <w:rPr>
          <w:noProof/>
        </w:rPr>
      </w:pPr>
      <w:bookmarkStart w:id="21" w:name="_Toc137472455"/>
      <w:r>
        <w:rPr>
          <w:noProof/>
        </w:rPr>
        <w:t>Investering RE-C06-i09: Nya eller renoverade skolor</w:t>
      </w:r>
      <w:bookmarkEnd w:id="21"/>
    </w:p>
    <w:p w14:paraId="49C17223" w14:textId="77777777" w:rsidR="00E040FD" w:rsidRDefault="00740D64">
      <w:pPr>
        <w:pStyle w:val="P68B1DB1-Normal4"/>
        <w:spacing w:after="0" w:line="259" w:lineRule="auto"/>
        <w:jc w:val="both"/>
        <w:rPr>
          <w:rFonts w:cs="Times New Roman"/>
          <w:noProof/>
        </w:rPr>
      </w:pPr>
      <w:r>
        <w:rPr>
          <w:noProof/>
        </w:rPr>
        <w:t>Syftet med åtgärden är att säkerställa lika tillgång till offentliga skolor av god kvalitet och därigenom öka deras attraktionskraft och inkludering och minska de territoriella skillnaderna.</w:t>
      </w:r>
    </w:p>
    <w:p w14:paraId="1D44833B" w14:textId="597CE0EA" w:rsidR="00E040FD" w:rsidRDefault="00740D64">
      <w:pPr>
        <w:pStyle w:val="P68B1DB1-Normal4"/>
        <w:spacing w:after="0" w:line="259" w:lineRule="auto"/>
        <w:jc w:val="both"/>
        <w:rPr>
          <w:rFonts w:cs="Times New Roman"/>
          <w:noProof/>
        </w:rPr>
      </w:pPr>
      <w:r>
        <w:rPr>
          <w:noProof/>
        </w:rPr>
        <w:t xml:space="preserve">Investeringen ska bestå i att bygga nya skolor eller renovera befintliga skolor. Investeringarna ska inriktas på 75 grund- och gymnasieskolor som har identifierats som nödvändiga prioriterade insatser. </w:t>
      </w:r>
    </w:p>
    <w:p w14:paraId="4983461D" w14:textId="77777777" w:rsidR="00E040FD" w:rsidRDefault="00740D64">
      <w:pPr>
        <w:pStyle w:val="P68B1DB1-Normal4"/>
        <w:spacing w:after="0" w:line="259" w:lineRule="auto"/>
        <w:jc w:val="both"/>
        <w:rPr>
          <w:rFonts w:cs="Times New Roman"/>
          <w:noProof/>
        </w:rPr>
        <w:sectPr w:rsidR="00E040FD" w:rsidSect="00E00EDD">
          <w:headerReference w:type="even" r:id="rId132"/>
          <w:headerReference w:type="default" r:id="rId133"/>
          <w:footerReference w:type="even" r:id="rId134"/>
          <w:footerReference w:type="default" r:id="rId135"/>
          <w:headerReference w:type="first" r:id="rId136"/>
          <w:footerReference w:type="first" r:id="rId137"/>
          <w:pgSz w:w="11907" w:h="16839"/>
          <w:pgMar w:top="1134" w:right="1134" w:bottom="1134" w:left="1134" w:header="567" w:footer="567" w:gutter="0"/>
          <w:cols w:space="720"/>
          <w:docGrid w:linePitch="360"/>
        </w:sectPr>
      </w:pPr>
      <w:r>
        <w:rPr>
          <w:noProof/>
        </w:rPr>
        <w:t>Investeringen ska vara genomförd senast den 30 juni 2026.</w:t>
      </w:r>
    </w:p>
    <w:p w14:paraId="7558F518" w14:textId="06FC37A9" w:rsidR="00E040FD" w:rsidRDefault="00740D64">
      <w:pPr>
        <w:pStyle w:val="P68B1DB1-Normal3"/>
        <w:spacing w:before="40" w:after="120" w:line="259" w:lineRule="auto"/>
        <w:ind w:left="130" w:firstLine="720"/>
        <w:jc w:val="both"/>
        <w:outlineLvl w:val="2"/>
        <w:rPr>
          <w:rFonts w:eastAsiaTheme="minorEastAsia" w:cs="Times New Roman"/>
          <w:noProof/>
        </w:rPr>
      </w:pPr>
      <w:r>
        <w:rPr>
          <w:noProof/>
        </w:rPr>
        <w:t>F.4. Delmål, mål, indikatorer och tidsplan för övervakning och genomförande av lånet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567"/>
        <w:gridCol w:w="708"/>
        <w:gridCol w:w="4395"/>
      </w:tblGrid>
      <w:tr w:rsidR="00E040FD" w14:paraId="35CBC765" w14:textId="77777777">
        <w:trPr>
          <w:trHeight w:val="910"/>
        </w:trPr>
        <w:tc>
          <w:tcPr>
            <w:tcW w:w="1135" w:type="dxa"/>
            <w:vMerge w:val="restart"/>
            <w:shd w:val="clear" w:color="auto" w:fill="BDD6EE"/>
            <w:vAlign w:val="center"/>
            <w:hideMark/>
          </w:tcPr>
          <w:p w14:paraId="1828903B"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vAlign w:val="center"/>
            <w:hideMark/>
          </w:tcPr>
          <w:p w14:paraId="6731E7DF"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vAlign w:val="center"/>
            <w:hideMark/>
          </w:tcPr>
          <w:p w14:paraId="009937F2" w14:textId="77777777" w:rsidR="00E040FD" w:rsidRDefault="00740D64">
            <w:pPr>
              <w:pStyle w:val="P68B1DB1-Normal6"/>
              <w:spacing w:after="0" w:line="240" w:lineRule="auto"/>
              <w:jc w:val="center"/>
              <w:rPr>
                <w:rFonts w:eastAsia="Times New Roman" w:cs="Times New Roman"/>
                <w:noProof/>
              </w:rPr>
            </w:pPr>
            <w:r>
              <w:rPr>
                <w:noProof/>
              </w:rPr>
              <w:t>Delmål/mål</w:t>
            </w:r>
          </w:p>
        </w:tc>
        <w:tc>
          <w:tcPr>
            <w:tcW w:w="1701" w:type="dxa"/>
            <w:vMerge w:val="restart"/>
            <w:shd w:val="clear" w:color="auto" w:fill="BDD6EE"/>
            <w:vAlign w:val="center"/>
            <w:hideMark/>
          </w:tcPr>
          <w:p w14:paraId="110401E7"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75" w:type="dxa"/>
            <w:vMerge w:val="restart"/>
            <w:shd w:val="clear" w:color="auto" w:fill="BDD6EE"/>
            <w:vAlign w:val="center"/>
            <w:hideMark/>
          </w:tcPr>
          <w:p w14:paraId="61C9BD3B"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835" w:type="dxa"/>
            <w:gridSpan w:val="3"/>
            <w:shd w:val="clear" w:color="auto" w:fill="BDD6EE"/>
            <w:vAlign w:val="center"/>
            <w:hideMark/>
          </w:tcPr>
          <w:p w14:paraId="136D5C43"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vAlign w:val="center"/>
            <w:hideMark/>
          </w:tcPr>
          <w:p w14:paraId="65792DA3"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4395" w:type="dxa"/>
            <w:vMerge w:val="restart"/>
            <w:shd w:val="clear" w:color="auto" w:fill="BDD6EE"/>
            <w:noWrap/>
            <w:vAlign w:val="center"/>
            <w:hideMark/>
          </w:tcPr>
          <w:p w14:paraId="74D8A200"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0BB373E4" w14:textId="77777777">
        <w:trPr>
          <w:trHeight w:val="470"/>
        </w:trPr>
        <w:tc>
          <w:tcPr>
            <w:tcW w:w="1135" w:type="dxa"/>
            <w:vMerge/>
            <w:vAlign w:val="center"/>
            <w:hideMark/>
          </w:tcPr>
          <w:p w14:paraId="65AD4F05"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44BD7125"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vAlign w:val="center"/>
            <w:hideMark/>
          </w:tcPr>
          <w:p w14:paraId="32AA7BB9" w14:textId="77777777" w:rsidR="00E040FD" w:rsidRDefault="00E040FD">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1593588" w14:textId="77777777" w:rsidR="00E040FD" w:rsidRDefault="00E040FD">
            <w:pPr>
              <w:spacing w:after="0" w:line="240" w:lineRule="auto"/>
              <w:rPr>
                <w:rFonts w:ascii="Times New Roman" w:eastAsia="Times New Roman" w:hAnsi="Times New Roman" w:cs="Times New Roman"/>
                <w:b/>
                <w:noProof/>
                <w:sz w:val="18"/>
              </w:rPr>
            </w:pPr>
          </w:p>
        </w:tc>
        <w:tc>
          <w:tcPr>
            <w:tcW w:w="1275" w:type="dxa"/>
            <w:vMerge/>
            <w:vAlign w:val="center"/>
            <w:hideMark/>
          </w:tcPr>
          <w:p w14:paraId="66678DA0" w14:textId="77777777" w:rsidR="00E040FD" w:rsidRDefault="00E040FD">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2DB1308E"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vAlign w:val="center"/>
            <w:hideMark/>
          </w:tcPr>
          <w:p w14:paraId="01A093FA"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850" w:type="dxa"/>
            <w:shd w:val="clear" w:color="auto" w:fill="BDD6EE"/>
            <w:vAlign w:val="center"/>
            <w:hideMark/>
          </w:tcPr>
          <w:p w14:paraId="08598FE0"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7" w:type="dxa"/>
            <w:shd w:val="clear" w:color="auto" w:fill="BDD6EE"/>
            <w:vAlign w:val="center"/>
            <w:hideMark/>
          </w:tcPr>
          <w:p w14:paraId="6EF144BD"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38E6ED20" w14:textId="77777777" w:rsidR="00E040FD" w:rsidRDefault="00740D64">
            <w:pPr>
              <w:pStyle w:val="P68B1DB1-Normal6"/>
              <w:spacing w:after="0" w:line="240" w:lineRule="auto"/>
              <w:jc w:val="center"/>
              <w:rPr>
                <w:rFonts w:eastAsia="Times New Roman" w:cs="Times New Roman"/>
                <w:noProof/>
              </w:rPr>
            </w:pPr>
            <w:r>
              <w:rPr>
                <w:noProof/>
              </w:rPr>
              <w:t>Året</w:t>
            </w:r>
          </w:p>
        </w:tc>
        <w:tc>
          <w:tcPr>
            <w:tcW w:w="4395" w:type="dxa"/>
            <w:vMerge/>
            <w:vAlign w:val="center"/>
            <w:hideMark/>
          </w:tcPr>
          <w:p w14:paraId="0E23BA6C" w14:textId="77777777" w:rsidR="00E040FD" w:rsidRDefault="00E040FD">
            <w:pPr>
              <w:spacing w:after="0" w:line="240" w:lineRule="auto"/>
              <w:rPr>
                <w:rFonts w:ascii="Times New Roman" w:eastAsia="Times New Roman" w:hAnsi="Times New Roman" w:cs="Times New Roman"/>
                <w:b/>
                <w:noProof/>
                <w:sz w:val="18"/>
              </w:rPr>
            </w:pPr>
          </w:p>
        </w:tc>
      </w:tr>
      <w:tr w:rsidR="00E040FD" w14:paraId="3D20A5EA" w14:textId="77777777">
        <w:trPr>
          <w:trHeight w:val="640"/>
        </w:trPr>
        <w:tc>
          <w:tcPr>
            <w:tcW w:w="1135" w:type="dxa"/>
            <w:shd w:val="clear" w:color="auto" w:fill="C5EFCE"/>
            <w:vAlign w:val="center"/>
          </w:tcPr>
          <w:p w14:paraId="6A531982" w14:textId="77777777" w:rsidR="00E040FD" w:rsidRDefault="00740D64">
            <w:pPr>
              <w:pStyle w:val="P68B1DB1-Normal11"/>
              <w:spacing w:after="0" w:line="240" w:lineRule="auto"/>
              <w:jc w:val="center"/>
              <w:rPr>
                <w:noProof/>
              </w:rPr>
            </w:pPr>
            <w:r>
              <w:rPr>
                <w:noProof/>
              </w:rPr>
              <w:t>6.28</w:t>
            </w:r>
          </w:p>
        </w:tc>
        <w:tc>
          <w:tcPr>
            <w:tcW w:w="1276" w:type="dxa"/>
            <w:shd w:val="clear" w:color="auto" w:fill="C4EFCE"/>
            <w:noWrap/>
            <w:vAlign w:val="center"/>
          </w:tcPr>
          <w:p w14:paraId="110672C3" w14:textId="77777777" w:rsidR="00E040FD" w:rsidRDefault="00740D64">
            <w:pPr>
              <w:pStyle w:val="P68B1DB1-Normal12"/>
              <w:spacing w:after="0" w:line="240" w:lineRule="auto"/>
              <w:jc w:val="center"/>
              <w:rPr>
                <w:rFonts w:cstheme="minorHAnsi"/>
                <w:noProof/>
              </w:rPr>
            </w:pPr>
            <w:r>
              <w:rPr>
                <w:noProof/>
              </w:rPr>
              <w:t>RE-C06-i09</w:t>
            </w:r>
          </w:p>
        </w:tc>
        <w:tc>
          <w:tcPr>
            <w:tcW w:w="1134" w:type="dxa"/>
            <w:shd w:val="clear" w:color="auto" w:fill="C4EFCE"/>
            <w:noWrap/>
            <w:vAlign w:val="center"/>
          </w:tcPr>
          <w:p w14:paraId="3F6D50D9" w14:textId="77777777" w:rsidR="00E040FD" w:rsidRDefault="00740D6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5FC35C89" w14:textId="77777777" w:rsidR="00E040FD" w:rsidRDefault="00740D64">
            <w:pPr>
              <w:pStyle w:val="P68B1DB1-Normal12"/>
              <w:spacing w:after="0" w:line="240" w:lineRule="auto"/>
              <w:jc w:val="center"/>
              <w:rPr>
                <w:noProof/>
              </w:rPr>
            </w:pPr>
            <w:r>
              <w:rPr>
                <w:noProof/>
              </w:rPr>
              <w:t>Undertecknande av kontrakt för byggande och renovering av offentliga skolor</w:t>
            </w:r>
          </w:p>
        </w:tc>
        <w:tc>
          <w:tcPr>
            <w:tcW w:w="1275" w:type="dxa"/>
            <w:shd w:val="clear" w:color="auto" w:fill="C4EFCE"/>
            <w:noWrap/>
            <w:vAlign w:val="center"/>
          </w:tcPr>
          <w:p w14:paraId="64C1ED73" w14:textId="77777777" w:rsidR="00E040FD" w:rsidRDefault="00740D64">
            <w:pPr>
              <w:pStyle w:val="P68B1DB1-Normal12"/>
              <w:spacing w:after="0" w:line="240" w:lineRule="auto"/>
              <w:jc w:val="center"/>
              <w:rPr>
                <w:noProof/>
              </w:rPr>
            </w:pPr>
            <w:r>
              <w:rPr>
                <w:noProof/>
              </w:rPr>
              <w:t xml:space="preserve"> Ingångna avtal </w:t>
            </w:r>
          </w:p>
        </w:tc>
        <w:tc>
          <w:tcPr>
            <w:tcW w:w="993" w:type="dxa"/>
            <w:shd w:val="clear" w:color="auto" w:fill="C4EFCE"/>
            <w:noWrap/>
            <w:vAlign w:val="center"/>
          </w:tcPr>
          <w:p w14:paraId="7EBF5460" w14:textId="77777777" w:rsidR="00E040FD" w:rsidRDefault="00740D64">
            <w:pPr>
              <w:pStyle w:val="P68B1DB1-Normal12"/>
              <w:spacing w:after="0" w:line="240" w:lineRule="auto"/>
              <w:jc w:val="center"/>
              <w:rPr>
                <w:noProof/>
              </w:rPr>
            </w:pPr>
            <w:r>
              <w:rPr>
                <w:noProof/>
              </w:rPr>
              <w:t>Antal</w:t>
            </w:r>
          </w:p>
        </w:tc>
        <w:tc>
          <w:tcPr>
            <w:tcW w:w="992" w:type="dxa"/>
            <w:shd w:val="clear" w:color="auto" w:fill="C4EFCE"/>
            <w:noWrap/>
            <w:vAlign w:val="center"/>
          </w:tcPr>
          <w:p w14:paraId="0D14F3E5" w14:textId="77777777" w:rsidR="00E040FD" w:rsidRDefault="00740D64">
            <w:pPr>
              <w:pStyle w:val="P68B1DB1-Normal12"/>
              <w:spacing w:after="0" w:line="240" w:lineRule="auto"/>
              <w:jc w:val="center"/>
              <w:rPr>
                <w:rFonts w:cstheme="minorHAnsi"/>
                <w:noProof/>
              </w:rPr>
            </w:pPr>
            <w:r>
              <w:rPr>
                <w:noProof/>
              </w:rPr>
              <w:t>0</w:t>
            </w:r>
          </w:p>
        </w:tc>
        <w:tc>
          <w:tcPr>
            <w:tcW w:w="850" w:type="dxa"/>
            <w:shd w:val="clear" w:color="auto" w:fill="C4EFCE"/>
            <w:noWrap/>
            <w:vAlign w:val="center"/>
          </w:tcPr>
          <w:p w14:paraId="77DD45F8" w14:textId="77777777" w:rsidR="00E040FD" w:rsidRDefault="00740D64">
            <w:pPr>
              <w:pStyle w:val="P68B1DB1-Normal12"/>
              <w:spacing w:after="0" w:line="240" w:lineRule="auto"/>
              <w:jc w:val="center"/>
              <w:rPr>
                <w:rFonts w:cstheme="minorHAnsi"/>
                <w:noProof/>
              </w:rPr>
            </w:pPr>
            <w:r>
              <w:rPr>
                <w:noProof/>
              </w:rPr>
              <w:t>75</w:t>
            </w:r>
          </w:p>
        </w:tc>
        <w:tc>
          <w:tcPr>
            <w:tcW w:w="567" w:type="dxa"/>
            <w:shd w:val="clear" w:color="auto" w:fill="C4EFCE"/>
            <w:noWrap/>
            <w:vAlign w:val="center"/>
          </w:tcPr>
          <w:p w14:paraId="7ED23A9E" w14:textId="77777777" w:rsidR="00E040FD" w:rsidRDefault="00740D64">
            <w:pPr>
              <w:pStyle w:val="P68B1DB1-Normal12"/>
              <w:spacing w:after="0" w:line="240" w:lineRule="auto"/>
              <w:jc w:val="center"/>
              <w:rPr>
                <w:rFonts w:cstheme="minorHAnsi"/>
                <w:noProof/>
              </w:rPr>
            </w:pPr>
            <w:r>
              <w:rPr>
                <w:noProof/>
              </w:rPr>
              <w:t>KVARTAL 4</w:t>
            </w:r>
          </w:p>
        </w:tc>
        <w:tc>
          <w:tcPr>
            <w:tcW w:w="708" w:type="dxa"/>
            <w:shd w:val="clear" w:color="auto" w:fill="C4EFCE"/>
            <w:noWrap/>
            <w:vAlign w:val="center"/>
          </w:tcPr>
          <w:p w14:paraId="621FC598" w14:textId="77777777" w:rsidR="00E040FD" w:rsidRDefault="00740D64">
            <w:pPr>
              <w:pStyle w:val="P68B1DB1-Normal12"/>
              <w:spacing w:after="0" w:line="240" w:lineRule="auto"/>
              <w:jc w:val="center"/>
              <w:rPr>
                <w:rFonts w:cstheme="minorHAnsi"/>
                <w:noProof/>
              </w:rPr>
            </w:pPr>
            <w:r>
              <w:rPr>
                <w:noProof/>
              </w:rPr>
              <w:t>2024</w:t>
            </w:r>
          </w:p>
        </w:tc>
        <w:tc>
          <w:tcPr>
            <w:tcW w:w="4395" w:type="dxa"/>
            <w:shd w:val="clear" w:color="auto" w:fill="C4EFCE"/>
          </w:tcPr>
          <w:p w14:paraId="77EC3E58" w14:textId="26CD502B" w:rsidR="00E040FD" w:rsidRDefault="00740D64">
            <w:pPr>
              <w:pStyle w:val="P68B1DB1-Bodytext1013"/>
              <w:spacing w:after="0" w:line="240" w:lineRule="auto"/>
              <w:jc w:val="both"/>
              <w:rPr>
                <w:rFonts w:cstheme="minorBidi"/>
                <w:noProof/>
              </w:rPr>
            </w:pPr>
            <w:r>
              <w:rPr>
                <w:noProof/>
              </w:rPr>
              <w:t xml:space="preserve">Avtal ska undertecknas för uppförande eller renovering av offentliga grundskolor och gymnasieskolor. Valet av vilka skolor som ska renoveras och var nya skolor behövs ska baseras på en behovsbedömning.  </w:t>
            </w:r>
          </w:p>
        </w:tc>
      </w:tr>
      <w:tr w:rsidR="00E040FD" w14:paraId="37FA4D82" w14:textId="77777777">
        <w:trPr>
          <w:trHeight w:val="640"/>
        </w:trPr>
        <w:tc>
          <w:tcPr>
            <w:tcW w:w="1135" w:type="dxa"/>
            <w:shd w:val="clear" w:color="auto" w:fill="C5EFCE"/>
            <w:vAlign w:val="center"/>
          </w:tcPr>
          <w:p w14:paraId="2889C3DF" w14:textId="77777777" w:rsidR="00E040FD" w:rsidRDefault="00740D64">
            <w:pPr>
              <w:pStyle w:val="P68B1DB1-Normal11"/>
              <w:spacing w:after="0" w:line="240" w:lineRule="auto"/>
              <w:jc w:val="center"/>
              <w:rPr>
                <w:noProof/>
              </w:rPr>
            </w:pPr>
            <w:r>
              <w:rPr>
                <w:noProof/>
              </w:rPr>
              <w:t>6.29</w:t>
            </w:r>
          </w:p>
        </w:tc>
        <w:tc>
          <w:tcPr>
            <w:tcW w:w="1276" w:type="dxa"/>
            <w:shd w:val="clear" w:color="auto" w:fill="C4EFCE"/>
            <w:noWrap/>
            <w:vAlign w:val="center"/>
          </w:tcPr>
          <w:p w14:paraId="482C0EE3" w14:textId="77777777" w:rsidR="00E040FD" w:rsidRDefault="00740D64">
            <w:pPr>
              <w:pStyle w:val="P68B1DB1-Normal12"/>
              <w:spacing w:after="0" w:line="240" w:lineRule="auto"/>
              <w:jc w:val="center"/>
              <w:rPr>
                <w:rFonts w:cstheme="minorHAnsi"/>
                <w:noProof/>
              </w:rPr>
            </w:pPr>
            <w:r>
              <w:rPr>
                <w:noProof/>
              </w:rPr>
              <w:t>RE-C06-i09</w:t>
            </w:r>
          </w:p>
        </w:tc>
        <w:tc>
          <w:tcPr>
            <w:tcW w:w="1134" w:type="dxa"/>
            <w:shd w:val="clear" w:color="auto" w:fill="C4EFCE"/>
            <w:noWrap/>
            <w:vAlign w:val="center"/>
          </w:tcPr>
          <w:p w14:paraId="5D44023D" w14:textId="77777777" w:rsidR="00E040FD" w:rsidRDefault="00740D6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1516CDF5" w14:textId="77777777" w:rsidR="00E040FD" w:rsidRDefault="00740D64">
            <w:pPr>
              <w:pStyle w:val="P68B1DB1-Normal12"/>
              <w:spacing w:after="0" w:line="240" w:lineRule="auto"/>
              <w:jc w:val="center"/>
              <w:rPr>
                <w:rFonts w:cstheme="minorHAnsi"/>
                <w:noProof/>
              </w:rPr>
            </w:pPr>
            <w:r>
              <w:rPr>
                <w:noProof/>
              </w:rPr>
              <w:t>Skolor som byggts eller renoverats</w:t>
            </w:r>
          </w:p>
        </w:tc>
        <w:tc>
          <w:tcPr>
            <w:tcW w:w="1275" w:type="dxa"/>
            <w:shd w:val="clear" w:color="auto" w:fill="C4EFCE"/>
            <w:noWrap/>
            <w:vAlign w:val="center"/>
          </w:tcPr>
          <w:p w14:paraId="26E7E3C8" w14:textId="77777777" w:rsidR="00E040FD" w:rsidRDefault="00E040FD">
            <w:pPr>
              <w:spacing w:after="0" w:line="240" w:lineRule="auto"/>
              <w:jc w:val="center"/>
              <w:rPr>
                <w:rFonts w:cstheme="minorHAnsi"/>
                <w:noProof/>
                <w:sz w:val="16"/>
              </w:rPr>
            </w:pPr>
          </w:p>
        </w:tc>
        <w:tc>
          <w:tcPr>
            <w:tcW w:w="993" w:type="dxa"/>
            <w:shd w:val="clear" w:color="auto" w:fill="C4EFCE"/>
            <w:noWrap/>
            <w:vAlign w:val="center"/>
          </w:tcPr>
          <w:p w14:paraId="291A36D7" w14:textId="0D94A62A" w:rsidR="00E040FD" w:rsidRDefault="00740D64">
            <w:pPr>
              <w:pStyle w:val="P68B1DB1-Normal12"/>
              <w:spacing w:after="0" w:line="240" w:lineRule="auto"/>
              <w:jc w:val="center"/>
              <w:rPr>
                <w:rFonts w:cstheme="minorHAnsi"/>
                <w:noProof/>
              </w:rPr>
            </w:pPr>
            <w:r>
              <w:rPr>
                <w:noProof/>
              </w:rPr>
              <w:t>Antal byggda eller renoverade skolor</w:t>
            </w:r>
          </w:p>
        </w:tc>
        <w:tc>
          <w:tcPr>
            <w:tcW w:w="992" w:type="dxa"/>
            <w:shd w:val="clear" w:color="auto" w:fill="C4EFCE"/>
            <w:noWrap/>
            <w:vAlign w:val="center"/>
          </w:tcPr>
          <w:p w14:paraId="6DB69F02" w14:textId="77777777" w:rsidR="00E040FD" w:rsidRDefault="00740D64">
            <w:pPr>
              <w:pStyle w:val="P68B1DB1-Normal12"/>
              <w:spacing w:after="0" w:line="240" w:lineRule="auto"/>
              <w:jc w:val="center"/>
              <w:rPr>
                <w:rFonts w:cstheme="minorHAnsi"/>
                <w:noProof/>
              </w:rPr>
            </w:pPr>
            <w:r>
              <w:rPr>
                <w:noProof/>
              </w:rPr>
              <w:t>0</w:t>
            </w:r>
          </w:p>
        </w:tc>
        <w:tc>
          <w:tcPr>
            <w:tcW w:w="850" w:type="dxa"/>
            <w:shd w:val="clear" w:color="auto" w:fill="C4EFCE"/>
            <w:noWrap/>
            <w:vAlign w:val="center"/>
          </w:tcPr>
          <w:p w14:paraId="11FF05D1" w14:textId="77777777" w:rsidR="00E040FD" w:rsidRDefault="00740D64">
            <w:pPr>
              <w:pStyle w:val="P68B1DB1-Normal12"/>
              <w:spacing w:after="0" w:line="240" w:lineRule="auto"/>
              <w:jc w:val="center"/>
              <w:rPr>
                <w:rFonts w:cstheme="minorHAnsi"/>
                <w:noProof/>
              </w:rPr>
            </w:pPr>
            <w:r>
              <w:rPr>
                <w:noProof/>
              </w:rPr>
              <w:t>75</w:t>
            </w:r>
          </w:p>
        </w:tc>
        <w:tc>
          <w:tcPr>
            <w:tcW w:w="567" w:type="dxa"/>
            <w:shd w:val="clear" w:color="auto" w:fill="C4EFCE"/>
            <w:noWrap/>
            <w:vAlign w:val="center"/>
          </w:tcPr>
          <w:p w14:paraId="7F8EE097" w14:textId="77777777" w:rsidR="00E040FD" w:rsidRDefault="00740D64">
            <w:pPr>
              <w:pStyle w:val="P68B1DB1-Normal12"/>
              <w:spacing w:after="0" w:line="240" w:lineRule="auto"/>
              <w:jc w:val="center"/>
              <w:rPr>
                <w:rFonts w:cstheme="minorHAnsi"/>
                <w:noProof/>
              </w:rPr>
            </w:pPr>
            <w:r>
              <w:rPr>
                <w:noProof/>
              </w:rPr>
              <w:t>KVARTAL 2</w:t>
            </w:r>
          </w:p>
        </w:tc>
        <w:tc>
          <w:tcPr>
            <w:tcW w:w="708" w:type="dxa"/>
            <w:shd w:val="clear" w:color="auto" w:fill="C4EFCE"/>
            <w:noWrap/>
            <w:vAlign w:val="center"/>
          </w:tcPr>
          <w:p w14:paraId="274AED81" w14:textId="77777777" w:rsidR="00E040FD" w:rsidRDefault="00740D64">
            <w:pPr>
              <w:pStyle w:val="P68B1DB1-Normal12"/>
              <w:spacing w:after="0" w:line="240" w:lineRule="auto"/>
              <w:jc w:val="center"/>
              <w:rPr>
                <w:rFonts w:cstheme="minorHAnsi"/>
                <w:noProof/>
              </w:rPr>
            </w:pPr>
            <w:r>
              <w:rPr>
                <w:noProof/>
              </w:rPr>
              <w:t>2026</w:t>
            </w:r>
          </w:p>
        </w:tc>
        <w:tc>
          <w:tcPr>
            <w:tcW w:w="4395" w:type="dxa"/>
            <w:shd w:val="clear" w:color="auto" w:fill="C4EFCE"/>
          </w:tcPr>
          <w:p w14:paraId="00863007" w14:textId="60A9DB36" w:rsidR="00E040FD" w:rsidRDefault="00740D64">
            <w:pPr>
              <w:pStyle w:val="P68B1DB1-Bodytext1013"/>
              <w:spacing w:after="0" w:line="240" w:lineRule="auto"/>
              <w:jc w:val="both"/>
              <w:rPr>
                <w:rFonts w:cstheme="minorBidi"/>
                <w:noProof/>
              </w:rPr>
            </w:pPr>
            <w:r>
              <w:rPr>
                <w:noProof/>
              </w:rPr>
              <w:t xml:space="preserve">75 offentliga skolor ska byggas eller renoveras och vara färdiga att tas i bruk. Detta ska inbegripa inköp av utrustning såsom digitala medier som är nödvändig för att de nya/renoverade skolorna ska kunna fungera. </w:t>
            </w:r>
          </w:p>
          <w:p w14:paraId="36ED3EEE" w14:textId="41AE783C" w:rsidR="00E040FD" w:rsidRDefault="00740D64">
            <w:pPr>
              <w:pStyle w:val="P68B1DB1-Bodytext1013"/>
              <w:spacing w:after="0" w:line="240" w:lineRule="auto"/>
              <w:jc w:val="both"/>
              <w:rPr>
                <w:rFonts w:cstheme="minorHAnsi"/>
                <w:noProof/>
              </w:rPr>
            </w:pPr>
            <w:r>
              <w:rPr>
                <w:noProof/>
              </w:rPr>
              <w:t xml:space="preserve">Nya byggnader ska ha ett primärenergibehov som är minst 20 % lägre än kraven för nära-nollenergibyggnader. </w:t>
            </w:r>
          </w:p>
          <w:p w14:paraId="469407C1" w14:textId="77777777" w:rsidR="00E040FD" w:rsidRDefault="00740D64">
            <w:pPr>
              <w:pStyle w:val="P68B1DB1-Bodytext1013"/>
              <w:spacing w:after="0" w:line="240" w:lineRule="auto"/>
              <w:jc w:val="both"/>
              <w:rPr>
                <w:rFonts w:cstheme="minorHAnsi"/>
                <w:noProof/>
              </w:rPr>
            </w:pPr>
            <w:r>
              <w:rPr>
                <w:noProof/>
              </w:rPr>
              <w:t>Renoveringar ska i genomsnitt leda till renoveringar av medelstor omfattning som definieras i kommissionens rekommendation om byggnadsrenoveringar (EU) 2019/786.</w:t>
            </w:r>
          </w:p>
        </w:tc>
      </w:tr>
    </w:tbl>
    <w:p w14:paraId="710B72CF" w14:textId="77777777" w:rsidR="00E040FD" w:rsidRDefault="00E040FD">
      <w:pPr>
        <w:spacing w:before="40" w:after="0" w:line="259" w:lineRule="auto"/>
        <w:jc w:val="both"/>
        <w:outlineLvl w:val="2"/>
        <w:rPr>
          <w:rFonts w:ascii="Times New Roman" w:eastAsiaTheme="minorEastAsia" w:hAnsi="Times New Roman" w:cs="Times New Roman"/>
          <w:b/>
          <w:noProof/>
          <w:sz w:val="24"/>
          <w:u w:val="single"/>
        </w:rPr>
      </w:pPr>
    </w:p>
    <w:p w14:paraId="4D8543A1" w14:textId="77777777" w:rsidR="00E040FD" w:rsidRDefault="00E040FD">
      <w:pPr>
        <w:keepNext/>
        <w:spacing w:before="40" w:after="0" w:line="259" w:lineRule="auto"/>
        <w:jc w:val="both"/>
        <w:outlineLvl w:val="1"/>
        <w:rPr>
          <w:rFonts w:ascii="Times New Roman" w:eastAsiaTheme="minorEastAsia" w:hAnsi="Times New Roman" w:cs="Times New Roman"/>
          <w:b/>
          <w:noProof/>
          <w:sz w:val="24"/>
          <w:u w:val="single"/>
        </w:rPr>
        <w:sectPr w:rsidR="00E040FD" w:rsidSect="00EE3DC7">
          <w:headerReference w:type="even" r:id="rId138"/>
          <w:headerReference w:type="default" r:id="rId139"/>
          <w:footerReference w:type="even" r:id="rId140"/>
          <w:footerReference w:type="default" r:id="rId141"/>
          <w:headerReference w:type="first" r:id="rId142"/>
          <w:footerReference w:type="first" r:id="rId143"/>
          <w:pgSz w:w="16839" w:h="11907" w:orient="landscape"/>
          <w:pgMar w:top="1134" w:right="1134" w:bottom="1134" w:left="1134" w:header="567" w:footer="567" w:gutter="0"/>
          <w:cols w:space="720"/>
          <w:docGrid w:linePitch="360"/>
        </w:sectPr>
      </w:pPr>
    </w:p>
    <w:p w14:paraId="20600E2D" w14:textId="15EE7507" w:rsidR="00E040FD" w:rsidRDefault="00740D64">
      <w:pPr>
        <w:pStyle w:val="P68B1DB1-Normal3"/>
        <w:keepNext/>
        <w:spacing w:before="40" w:after="0" w:line="259" w:lineRule="auto"/>
        <w:ind w:left="130" w:firstLine="720"/>
        <w:jc w:val="both"/>
        <w:outlineLvl w:val="1"/>
        <w:rPr>
          <w:rFonts w:eastAsiaTheme="minorEastAsia" w:cs="Times New Roman"/>
          <w:smallCaps/>
          <w:noProof/>
        </w:rPr>
      </w:pPr>
      <w:r>
        <w:rPr>
          <w:noProof/>
        </w:rPr>
        <w:t xml:space="preserve">G. KOMPONENT 7: Infrastruktur </w:t>
      </w:r>
    </w:p>
    <w:p w14:paraId="200CA25A" w14:textId="77777777" w:rsidR="00E040FD" w:rsidRDefault="00740D64">
      <w:pPr>
        <w:pStyle w:val="P68B1DB1-Normal4"/>
        <w:keepNext/>
        <w:spacing w:before="40" w:after="0" w:line="259" w:lineRule="auto"/>
        <w:jc w:val="both"/>
        <w:rPr>
          <w:rFonts w:eastAsiaTheme="minorEastAsia" w:cs="Times New Roman"/>
          <w:noProof/>
        </w:rPr>
      </w:pPr>
      <w:r>
        <w:rPr>
          <w:noProof/>
        </w:rPr>
        <w:t>Denna</w:t>
      </w:r>
      <w:r>
        <w:rPr>
          <w:i/>
          <w:noProof/>
        </w:rPr>
        <w:t xml:space="preserve"> </w:t>
      </w:r>
      <w:r>
        <w:rPr>
          <w:noProof/>
        </w:rPr>
        <w:t>del av Portugals återhämtnings- och resiliensplan</w:t>
      </w:r>
      <w:r>
        <w:rPr>
          <w:i/>
          <w:noProof/>
        </w:rPr>
        <w:t xml:space="preserve"> </w:t>
      </w:r>
      <w:r>
        <w:rPr>
          <w:noProof/>
        </w:rPr>
        <w:t xml:space="preserve">tar itu med utmaningen med låg territoriell sammanhållning och den låga konkurrenskraften hos företag i inlandsregionerna till följd av otillräckliga förbindelser till vägnätet. Detta leder till kontextkostnader för företagen, såsom transportkostnader till följd av låga vägförbindelser eller svårigheter att locka till sig kvalificerad personal. En annan utmaning är behovet av att minska utsläppen inom transportsektorn och i företagsparker. </w:t>
      </w:r>
    </w:p>
    <w:p w14:paraId="1FBD0D8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komponenten är att öka den territoriella sammanhållningen och förbättra konkurrenskraften för att främja den ekonomiska utvecklingen i inlandsregionerna. Genom utbyggnaden av laddningsstationer syftar det till att främja utfasningen av fossila bränslen inom vägtransportsektorn. </w:t>
      </w:r>
    </w:p>
    <w:p w14:paraId="32BD65D6"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 detta syfte syftar komponenten till att göra företagsparkerna mer hållbara och digitala och ge dem bättre tillgång till vägnätet. Det syftar också till att förbättra vägtransportförbindelserna genom att utvidga vägnätet, t.ex. genom att ta itu med felande länkar, bland annat på Azorerna, och tillhandahålla fyra gränsöverskridande förbindelser. Den påskyndade utbyggnaden av nätet av allmänt tillgängliga laddningsstationer för elfordon förväntas bidra till att minska vägtransportsektorns koldioxidavtryck i Portugal och göra den mer hållbar. Denna investering är en kompletterande åtgärd för utbyggnad av väginfrastrukturen, i linje med kommissionens tekniska vägledning om att inte orsaka betydande skada (2021/C58/01). </w:t>
      </w:r>
    </w:p>
    <w:p w14:paraId="26F8A281" w14:textId="77777777" w:rsidR="00E040FD" w:rsidRDefault="00740D64">
      <w:pPr>
        <w:pStyle w:val="P68B1DB1-Normal4"/>
        <w:keepNext/>
        <w:spacing w:before="40" w:after="0" w:line="259" w:lineRule="auto"/>
        <w:jc w:val="both"/>
        <w:rPr>
          <w:rFonts w:eastAsiaTheme="minorEastAsia" w:cs="Times New Roman"/>
          <w:noProof/>
        </w:rPr>
      </w:pPr>
      <w:r>
        <w:rPr>
          <w:noProof/>
        </w:rPr>
        <w:t>Komponenten stöder genomförandet av den landsspecifika rekommendationen om att fokusera investeringar på den gröna omställningen, med beaktande av regionala skillnader (landsspecifik rekommendation 3 2019 och landsspecifik rekommendation 3 2020), och stöd till användning av digital teknik för att öka företagens konkurrenskraft (landsspecifik rekommendation 2 2020).</w:t>
      </w:r>
    </w:p>
    <w:p w14:paraId="2B7EE796"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 </w:t>
      </w:r>
    </w:p>
    <w:p w14:paraId="3E872C3A"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62B87287" w14:textId="77777777" w:rsidR="00E040FD" w:rsidRDefault="00740D64">
      <w:pPr>
        <w:keepNext/>
        <w:spacing w:before="40" w:after="0" w:line="259" w:lineRule="auto"/>
        <w:ind w:left="130" w:firstLine="720"/>
        <w:jc w:val="both"/>
        <w:outlineLvl w:val="2"/>
        <w:rPr>
          <w:rFonts w:ascii="Times New Roman" w:eastAsiaTheme="minorEastAsia" w:hAnsi="Times New Roman" w:cs="Times New Roman"/>
          <w:b/>
          <w:i/>
          <w:noProof/>
          <w:sz w:val="24"/>
          <w:u w:val="single"/>
        </w:rPr>
      </w:pPr>
      <w:r>
        <w:rPr>
          <w:rFonts w:ascii="Times New Roman" w:hAnsi="Times New Roman"/>
          <w:b/>
          <w:noProof/>
          <w:sz w:val="24"/>
          <w:u w:val="single"/>
        </w:rPr>
        <w:t xml:space="preserve">G.1. </w:t>
      </w:r>
      <w:r>
        <w:rPr>
          <w:noProof/>
        </w:rPr>
        <w:tab/>
      </w:r>
      <w:r>
        <w:rPr>
          <w:rFonts w:ascii="Times New Roman" w:hAnsi="Times New Roman"/>
          <w:b/>
          <w:noProof/>
          <w:sz w:val="24"/>
          <w:u w:val="single"/>
        </w:rPr>
        <w:t>Beskrivning av reformer och investeringar avseende icke återbetalningspliktigt ekonomiskt stöd</w:t>
      </w:r>
    </w:p>
    <w:p w14:paraId="590E8D7E"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RE-C07-i00: Utvidgning av laddningsnätet för elfordon</w:t>
      </w:r>
    </w:p>
    <w:p w14:paraId="1E56FC8F"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åtgärden är att främja utfasningen av fossila bränslen inom vägtransportsektorn genom att främja elektromobilitet. </w:t>
      </w:r>
    </w:p>
    <w:p w14:paraId="0A23AF01" w14:textId="62EBFE78" w:rsidR="00E040FD" w:rsidRDefault="00740D64">
      <w:pPr>
        <w:pStyle w:val="P68B1DB1-Normal4"/>
        <w:keepNext/>
        <w:spacing w:before="40" w:after="0" w:line="259" w:lineRule="auto"/>
        <w:jc w:val="both"/>
        <w:rPr>
          <w:rFonts w:eastAsiaTheme="minorEastAsia" w:cs="Times New Roman"/>
          <w:noProof/>
        </w:rPr>
      </w:pPr>
      <w:r>
        <w:rPr>
          <w:noProof/>
        </w:rPr>
        <w:t>Investeringen ska bestå i att säkerställa att 15 000 laddningspunkter som är tillgängliga för allmänheten är i drift i Portugal. Det är en kompletterande åtgärd för investeringar i väginfrastruktur i C07 – I02, I03, I04 och I05 för att säkerställa efterlevnad av principen om att inte orsaka betydande skada när det gäller målen om begränsning av klimatförändringar och förebyggande och begränsning av föroreningar. Privata enheter har blivit huvudaktörerna i nätutbyggnaden. Den portugisiska staten ska inrikta sina investeringar på plattformen för förvaltning av Mobi.E-nätet och på att täcka marknadsmisslyckanden genom att stödja investeringar i regioner där den privata sektorn inte säkerställer den nödvändiga täckningen.</w:t>
      </w:r>
    </w:p>
    <w:p w14:paraId="15FD5D8E"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vara genomförd den 31 december 2025. </w:t>
      </w:r>
    </w:p>
    <w:p w14:paraId="33FAE029"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RE-C07-i01: Mottagandeområden för företag</w:t>
      </w:r>
    </w:p>
    <w:p w14:paraId="3A765AFD" w14:textId="77777777" w:rsidR="00E040FD" w:rsidRDefault="00740D64">
      <w:pPr>
        <w:pStyle w:val="P68B1DB1-Normal4"/>
        <w:keepNext/>
        <w:spacing w:before="40" w:after="0" w:line="259" w:lineRule="auto"/>
        <w:jc w:val="both"/>
        <w:rPr>
          <w:rFonts w:eastAsiaTheme="minorEastAsia" w:cs="Times New Roman"/>
          <w:noProof/>
        </w:rPr>
      </w:pPr>
      <w:r>
        <w:rPr>
          <w:noProof/>
        </w:rPr>
        <w:t>Syftet med åtgärden är att modernisera mottagningsområdena för företag, som är ett markområde som exploateras som en plats för kontor, fabriker och andra företag. Moderniseringen av företagsparker anges också som ett investeringsbehov i Portugals nationella infrastrukturplan från 2030 (PNI 2030).</w:t>
      </w:r>
    </w:p>
    <w:p w14:paraId="698D6A6F"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bestå av interventioner i utvalda företagsparker som omfattar främjande av system för produktion och lagring av förnybar energi, pilotinsatser för att förbättra energistabiliteten, installation av laddningsstationer för el och vätgas, förbättrad 5G-täckning och aktiva brandförebyggande åtgärder. Dessa insatser för miljömässig hållbarhet och digitalisering ska genomföras i 10 mottagningsområden för företag, som väljs ut genom ett offentligt anbudsförfarande. </w:t>
      </w:r>
    </w:p>
    <w:p w14:paraId="71390BF3" w14:textId="77777777" w:rsidR="00E040FD" w:rsidRDefault="00740D64">
      <w:pPr>
        <w:pStyle w:val="P68B1DB1-Normal4"/>
        <w:keepNext/>
        <w:spacing w:before="40" w:after="0" w:line="259" w:lineRule="auto"/>
        <w:jc w:val="both"/>
        <w:rPr>
          <w:rFonts w:eastAsiaTheme="minorEastAsia" w:cs="Times New Roman"/>
          <w:noProof/>
        </w:rPr>
      </w:pPr>
      <w:r>
        <w:rPr>
          <w:noProof/>
        </w:rPr>
        <w:t>Genomförandet av investeringen förväntas vara slutfört senast den 31 december 2025.</w:t>
      </w:r>
    </w:p>
    <w:p w14:paraId="348C4B22"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RE-C07-i02: Felande länkar och ökning av nätverkets kapacitet</w:t>
      </w:r>
    </w:p>
    <w:p w14:paraId="052B39E3" w14:textId="77777777" w:rsidR="00E040FD" w:rsidRDefault="00740D64">
      <w:pPr>
        <w:pStyle w:val="P68B1DB1-Normal4"/>
        <w:keepNext/>
        <w:spacing w:before="40" w:after="0" w:line="259" w:lineRule="auto"/>
        <w:jc w:val="both"/>
        <w:rPr>
          <w:rFonts w:eastAsiaTheme="minorEastAsia" w:cs="Times New Roman"/>
          <w:noProof/>
        </w:rPr>
      </w:pPr>
      <w:r>
        <w:rPr>
          <w:noProof/>
        </w:rPr>
        <w:t>Syftet med åtgärden är att förbättra den territoriella sammanhållningen och konkurrenskraften genom att ta itu med ”felande länkar” i vägnätet. Dessa felande länkar minskar vägnätets prestanda och leder till minskad konkurrenskraft för företagen. Investeringen syftar också till att ta itu med trafikstockningar, förbättra trafiksäkerheten och luftkvaliteten och minska bullret på platser nära vägar.</w:t>
      </w:r>
    </w:p>
    <w:p w14:paraId="66586778"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bestå av byggande och uppgradering av vägar. Insatserna ska omfatta eliminering av stadskorridorer och säkerställande av tillräcklig spårkapacitet, ökad tillgänglighet till större transportkorridorer och multimodala gränssnitt. Interventionerna ska omfatta en uppgradering av vägar som ingår i TEN-T-nätet, såsom IP2 Évora östra förbifartsleden eller investeringar i IP8. </w:t>
      </w:r>
    </w:p>
    <w:p w14:paraId="688654A9" w14:textId="77777777" w:rsidR="00E040FD" w:rsidRDefault="00740D64">
      <w:pPr>
        <w:pStyle w:val="P68B1DB1-Normal4"/>
        <w:keepNext/>
        <w:spacing w:before="40" w:after="0" w:line="259" w:lineRule="auto"/>
        <w:jc w:val="both"/>
        <w:rPr>
          <w:rFonts w:eastAsiaTheme="minorEastAsia" w:cs="Times New Roman"/>
          <w:noProof/>
        </w:rPr>
      </w:pPr>
      <w:r>
        <w:rPr>
          <w:noProof/>
        </w:rPr>
        <w:t>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I synnerhet säkerställs efterlevnaden av principen om att inte orsaka betydande skada genom investering C07 – I0 (Utvidgning av nätet för laddning av elfordon) som en kompletterande åtgärd. Alla vägprojekt som kan antas medföra betydande negativ miljöpåverkan ska bli föremål för en miljökonsekvensbedömning (MKB) i enlighet med direktiv 2011/92/EU, för att säkerställa att efterlevnaden av principen om att inte orsaka betydande skada integreras i projektet och strikt efterlevs under konstruktions-, drifts- och avvecklingsstadierna av infrastrukturen.</w:t>
      </w:r>
    </w:p>
    <w:p w14:paraId="046AD115" w14:textId="79CA9C50" w:rsidR="00E040FD" w:rsidRDefault="00740D64">
      <w:pPr>
        <w:pStyle w:val="P68B1DB1-Normal4"/>
        <w:keepNext/>
        <w:spacing w:before="40" w:after="0" w:line="259" w:lineRule="auto"/>
        <w:jc w:val="both"/>
        <w:rPr>
          <w:rFonts w:eastAsiaTheme="minorEastAsia" w:cs="Times New Roman"/>
          <w:noProof/>
        </w:rPr>
      </w:pPr>
      <w:r>
        <w:rPr>
          <w:noProof/>
        </w:rPr>
        <w:t xml:space="preserve">Av de angivna vägarna ska 111 kilometer byggas eller uppgraderas enligt följande: </w:t>
      </w:r>
    </w:p>
    <w:p w14:paraId="10E3C582"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EN14: väg-/järnvägsgränssnitt i Trofa/Santana, inklusive en ny bro över floden Ave. </w:t>
      </w:r>
    </w:p>
    <w:p w14:paraId="0D1CCC85"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EN14: Maia (Via Diagonal)/gränssnitt väg/järnväg i Trofa. </w:t>
      </w:r>
    </w:p>
    <w:p w14:paraId="24DEB7F3"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EN4: Förbifartsleden Atalaia. </w:t>
      </w:r>
    </w:p>
    <w:p w14:paraId="0F43B082"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IC35: Penafiel (EN15)/Rans; </w:t>
      </w:r>
    </w:p>
    <w:p w14:paraId="32D72CCA"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IC35: RANs/Entre-os Rios; </w:t>
      </w:r>
    </w:p>
    <w:p w14:paraId="03DE18C1"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IP2: Östra förbifarten Évora; </w:t>
      </w:r>
    </w:p>
    <w:p w14:paraId="7A684FA5"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Länk från Baião till Ermida-bron. </w:t>
      </w:r>
    </w:p>
    <w:p w14:paraId="0EC45B3D"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Vägförbindelsen Aveiro – Águeda. </w:t>
      </w:r>
    </w:p>
    <w:p w14:paraId="1DECF506"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EN344: km 67 till km 75 – Pampilhosa da Serra; </w:t>
      </w:r>
    </w:p>
    <w:p w14:paraId="2680B40F"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EN125: Olhão östra förbifarten. </w:t>
      </w:r>
    </w:p>
    <w:p w14:paraId="328864DD"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IC2 (EN1): Meirinhas (km 136)/Pombal (km 148); </w:t>
      </w:r>
    </w:p>
    <w:p w14:paraId="35923BB7"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(EN121): Ferreira do Alentejo/Beja, inklusive förbifartsleden Beringel; </w:t>
      </w:r>
    </w:p>
    <w:p w14:paraId="4609B59F"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(EN259): STA. Margarida do Sado/Ferreira do Alentejo, inklusive förbifarten Figueira de Cavaleiros; </w:t>
      </w:r>
    </w:p>
    <w:p w14:paraId="7D895BF1"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(A26): Kapacitetsökning för förbindelsen mellan Sines och A2. </w:t>
      </w:r>
    </w:p>
    <w:p w14:paraId="19991BD2" w14:textId="77777777" w:rsidR="00E040FD" w:rsidRDefault="00740D6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EN211 – Omfartsleden Quintã/Mesquinhata. </w:t>
      </w:r>
    </w:p>
    <w:p w14:paraId="21CD1717"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4CD69178"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RE-C07-i05-RAA: Logistiska kretsar – Azorernas regionala nätverk</w:t>
      </w:r>
    </w:p>
    <w:p w14:paraId="5E978CC5" w14:textId="77777777" w:rsidR="00E040FD" w:rsidRDefault="00740D64">
      <w:pPr>
        <w:pStyle w:val="P68B1DB1-Normal4"/>
        <w:keepNext/>
        <w:spacing w:before="40" w:after="0" w:line="259" w:lineRule="auto"/>
        <w:jc w:val="both"/>
        <w:rPr>
          <w:rFonts w:eastAsiaTheme="minorEastAsia" w:cs="Times New Roman"/>
          <w:noProof/>
        </w:rPr>
      </w:pPr>
      <w:r>
        <w:rPr>
          <w:noProof/>
        </w:rPr>
        <w:t>Syftet med åtgärden är att skapa förutsättningar för en mer balanserad ekonomisk utveckling genom att främja ekonomiska aktörer utanför storstadsområden. Insatserna syftar också till att minska resavstånden, restiderna och trafikstockningarna.</w:t>
      </w:r>
    </w:p>
    <w:p w14:paraId="77005C25"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bestå i utbyggnad och uppgradering av väginfrastrukturen på Azorerna. Syftet är att förbättra tillgängligheten till befolkningscentrum och knutpunkter för ekonomisk verksamhet och de viktigaste ingångsinfrastrukturerna på varje ö. Det syftar också till att ingripa i byggandet av cirkulära vägar till de viktigaste stadskärnorna, genom att minska antalet överfarter mellan städer. </w:t>
      </w:r>
    </w:p>
    <w:p w14:paraId="63DBFDF0" w14:textId="77777777" w:rsidR="00E040FD" w:rsidRDefault="00740D64">
      <w:pPr>
        <w:pStyle w:val="P68B1DB1-Normal4"/>
        <w:keepNext/>
        <w:spacing w:before="40" w:after="0" w:line="259" w:lineRule="auto"/>
        <w:jc w:val="both"/>
        <w:rPr>
          <w:rFonts w:eastAsiaTheme="minorEastAsia" w:cs="Times New Roman"/>
          <w:noProof/>
        </w:rPr>
      </w:pPr>
      <w:r>
        <w:rPr>
          <w:noProof/>
        </w:rPr>
        <w:t>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I synnerhet säkerställs efterlevnaden av principen om att inte orsaka betydande skada genom investering C07 – I0 (Utvidgning av nätet för laddning av elfordon) som en kompletterande åtgärd. Alla vägprojekt som kan antas medföra betydande negativ miljöpåverkan ska bli föremål för en miljökonsekvensbedömning (MKB) i enlighet med direktiv 2011/92/EU, för att säkerställa att efterlevnaden av principen om att inte orsaka betydande skada integreras i projektet och strikt efterlevs under konstruktions-, drifts- och avvecklingsstadierna av infrastrukturen. Totalt ska 34 kilometer väg byggas eller byggas om. Följande väginsatser planeras:</w:t>
      </w:r>
    </w:p>
    <w:p w14:paraId="09A9BBD4" w14:textId="77777777" w:rsidR="00E040FD" w:rsidRDefault="00740D64">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Santa Maria</w:t>
      </w:r>
    </w:p>
    <w:p w14:paraId="4F976D1C" w14:textId="77777777" w:rsidR="00E040FD" w:rsidRDefault="00740D64">
      <w:pPr>
        <w:pStyle w:val="P68B1DB1-Normal4"/>
        <w:keepNext/>
        <w:numPr>
          <w:ilvl w:val="1"/>
          <w:numId w:val="25"/>
        </w:numPr>
        <w:spacing w:before="40" w:after="160" w:line="259" w:lineRule="auto"/>
        <w:contextualSpacing/>
        <w:jc w:val="both"/>
        <w:rPr>
          <w:rFonts w:eastAsiaTheme="minorEastAsia" w:cs="Times New Roman"/>
          <w:noProof/>
        </w:rPr>
      </w:pPr>
      <w:r>
        <w:rPr>
          <w:noProof/>
        </w:rPr>
        <w:t>Vila do Porto förbifartsled</w:t>
      </w:r>
    </w:p>
    <w:p w14:paraId="7F41B4BE" w14:textId="77777777" w:rsidR="00E040FD" w:rsidRDefault="00740D64">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São Miguel</w:t>
      </w:r>
    </w:p>
    <w:p w14:paraId="16BFDA9B" w14:textId="77777777" w:rsidR="00E040FD" w:rsidRDefault="00740D64">
      <w:pPr>
        <w:pStyle w:val="P68B1DB1-Normal4"/>
        <w:keepNext/>
        <w:numPr>
          <w:ilvl w:val="1"/>
          <w:numId w:val="25"/>
        </w:numPr>
        <w:spacing w:before="40" w:after="160" w:line="259" w:lineRule="auto"/>
        <w:contextualSpacing/>
        <w:jc w:val="both"/>
        <w:rPr>
          <w:rFonts w:eastAsiaTheme="minorEastAsia" w:cs="Times New Roman"/>
          <w:noProof/>
        </w:rPr>
      </w:pPr>
      <w:r>
        <w:rPr>
          <w:noProof/>
        </w:rPr>
        <w:t>Förbättrad tillgänglighet Furnas/Povoação –</w:t>
      </w:r>
      <w:r>
        <w:rPr>
          <w:noProof/>
          <w:vertAlign w:val="superscript"/>
        </w:rPr>
        <w:t>steg</w:t>
      </w:r>
      <w:r>
        <w:rPr>
          <w:noProof/>
        </w:rPr>
        <w:t xml:space="preserve"> 1: Förbifartsleden Furnas</w:t>
      </w:r>
    </w:p>
    <w:p w14:paraId="59323044" w14:textId="77777777" w:rsidR="00E040FD" w:rsidRDefault="00740D64">
      <w:pPr>
        <w:pStyle w:val="P68B1DB1-Normal4"/>
        <w:keepNext/>
        <w:numPr>
          <w:ilvl w:val="1"/>
          <w:numId w:val="25"/>
        </w:numPr>
        <w:spacing w:before="40" w:after="160" w:line="259" w:lineRule="auto"/>
        <w:contextualSpacing/>
        <w:jc w:val="both"/>
        <w:rPr>
          <w:rFonts w:eastAsiaTheme="minorEastAsia" w:cs="Times New Roman"/>
          <w:noProof/>
        </w:rPr>
      </w:pPr>
      <w:r>
        <w:rPr>
          <w:noProof/>
        </w:rPr>
        <w:t>Förbifartsleden i Capelas</w:t>
      </w:r>
    </w:p>
    <w:p w14:paraId="7572973D" w14:textId="77777777" w:rsidR="00E040FD" w:rsidRDefault="00740D64">
      <w:pPr>
        <w:pStyle w:val="P68B1DB1-Normal4"/>
        <w:keepNext/>
        <w:numPr>
          <w:ilvl w:val="1"/>
          <w:numId w:val="25"/>
        </w:numPr>
        <w:spacing w:before="40" w:after="160" w:line="259" w:lineRule="auto"/>
        <w:contextualSpacing/>
        <w:jc w:val="both"/>
        <w:rPr>
          <w:rFonts w:eastAsiaTheme="minorEastAsia" w:cs="Times New Roman"/>
          <w:noProof/>
        </w:rPr>
      </w:pPr>
      <w:r>
        <w:rPr>
          <w:noProof/>
        </w:rPr>
        <w:t>Förbifartsleden São Roque</w:t>
      </w:r>
    </w:p>
    <w:p w14:paraId="4820E6A3" w14:textId="77777777" w:rsidR="00E040FD" w:rsidRDefault="00740D64">
      <w:pPr>
        <w:pStyle w:val="P68B1DB1-Normal4"/>
        <w:keepNext/>
        <w:numPr>
          <w:ilvl w:val="1"/>
          <w:numId w:val="25"/>
        </w:numPr>
        <w:spacing w:before="40" w:after="160" w:line="259" w:lineRule="auto"/>
        <w:contextualSpacing/>
        <w:jc w:val="both"/>
        <w:rPr>
          <w:rFonts w:eastAsiaTheme="minorEastAsia" w:cs="Times New Roman"/>
          <w:noProof/>
        </w:rPr>
      </w:pPr>
      <w:r>
        <w:rPr>
          <w:noProof/>
        </w:rPr>
        <w:t>Portos förbifartsportal i Vento</w:t>
      </w:r>
    </w:p>
    <w:p w14:paraId="313CCF36" w14:textId="77777777" w:rsidR="00E040FD" w:rsidRDefault="00740D64">
      <w:pPr>
        <w:pStyle w:val="P68B1DB1-Normal4"/>
        <w:keepNext/>
        <w:numPr>
          <w:ilvl w:val="0"/>
          <w:numId w:val="25"/>
        </w:numPr>
        <w:spacing w:before="40" w:after="160" w:line="259" w:lineRule="auto"/>
        <w:contextualSpacing/>
        <w:jc w:val="both"/>
        <w:rPr>
          <w:rFonts w:eastAsiaTheme="minorEastAsia" w:cs="Times New Roman"/>
          <w:noProof/>
        </w:rPr>
      </w:pPr>
      <w:r>
        <w:rPr>
          <w:noProof/>
        </w:rPr>
        <w:t>Ilha Terceira</w:t>
      </w:r>
    </w:p>
    <w:p w14:paraId="04E615D9" w14:textId="77777777" w:rsidR="00E040FD" w:rsidRDefault="00740D64">
      <w:pPr>
        <w:pStyle w:val="P68B1DB1-Normal4"/>
        <w:keepNext/>
        <w:numPr>
          <w:ilvl w:val="1"/>
          <w:numId w:val="25"/>
        </w:numPr>
        <w:spacing w:before="40" w:after="160" w:line="259" w:lineRule="auto"/>
        <w:contextualSpacing/>
        <w:jc w:val="both"/>
        <w:rPr>
          <w:rFonts w:eastAsiaTheme="minorEastAsia" w:cs="Times New Roman"/>
          <w:noProof/>
        </w:rPr>
      </w:pPr>
      <w:r>
        <w:rPr>
          <w:noProof/>
        </w:rPr>
        <w:t>Främja tillgänglighet, rörlighet och trafiksäkerhet – förbindelse mellan Via Vitorino Nemésio och Angra Circular</w:t>
      </w:r>
    </w:p>
    <w:p w14:paraId="09E0E766" w14:textId="77777777" w:rsidR="00E040FD" w:rsidRDefault="00740D64">
      <w:pPr>
        <w:pStyle w:val="P68B1DB1-Normal4"/>
        <w:keepNext/>
        <w:numPr>
          <w:ilvl w:val="0"/>
          <w:numId w:val="25"/>
        </w:numPr>
        <w:spacing w:before="40" w:after="160" w:line="259" w:lineRule="auto"/>
        <w:contextualSpacing/>
        <w:jc w:val="both"/>
        <w:rPr>
          <w:rFonts w:eastAsiaTheme="minorEastAsia" w:cs="Times New Roman"/>
          <w:noProof/>
        </w:rPr>
      </w:pPr>
      <w:r>
        <w:rPr>
          <w:noProof/>
        </w:rPr>
        <w:t>Ilha Graciosa</w:t>
      </w:r>
    </w:p>
    <w:p w14:paraId="1419E510" w14:textId="77777777" w:rsidR="00E040FD" w:rsidRDefault="00740D64">
      <w:pPr>
        <w:pStyle w:val="P68B1DB1-Normal4"/>
        <w:keepNext/>
        <w:numPr>
          <w:ilvl w:val="1"/>
          <w:numId w:val="25"/>
        </w:numPr>
        <w:spacing w:before="40" w:after="160" w:line="259" w:lineRule="auto"/>
        <w:contextualSpacing/>
        <w:jc w:val="both"/>
        <w:rPr>
          <w:rFonts w:eastAsiaTheme="minorEastAsia" w:cs="Times New Roman"/>
          <w:noProof/>
        </w:rPr>
      </w:pPr>
      <w:r>
        <w:rPr>
          <w:noProof/>
        </w:rPr>
        <w:t>Förbindelse mellan E.R. 3–2ù och E.R. 4–2and</w:t>
      </w:r>
    </w:p>
    <w:p w14:paraId="40754259" w14:textId="77777777" w:rsidR="00E040FD" w:rsidRDefault="00740D64">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São Jorge</w:t>
      </w:r>
    </w:p>
    <w:p w14:paraId="6D7F1843" w14:textId="77777777" w:rsidR="00E040FD" w:rsidRDefault="00740D64">
      <w:pPr>
        <w:pStyle w:val="P68B1DB1-Normal4"/>
        <w:keepNext/>
        <w:numPr>
          <w:ilvl w:val="1"/>
          <w:numId w:val="25"/>
        </w:numPr>
        <w:spacing w:before="40" w:after="160" w:line="259" w:lineRule="auto"/>
        <w:contextualSpacing/>
        <w:jc w:val="both"/>
        <w:rPr>
          <w:rFonts w:eastAsiaTheme="minorEastAsia" w:cs="Times New Roman"/>
          <w:noProof/>
        </w:rPr>
      </w:pPr>
      <w:r>
        <w:rPr>
          <w:noProof/>
        </w:rPr>
        <w:t>Främja tillgänglighet, rörlighet och trafiksäkerhet – nord-sydlig förbindelse</w:t>
      </w:r>
    </w:p>
    <w:p w14:paraId="3FD2AA91" w14:textId="77777777" w:rsidR="00E040FD" w:rsidRDefault="00740D64">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Ilha do Pico </w:t>
      </w:r>
    </w:p>
    <w:p w14:paraId="0FE649A1" w14:textId="77777777" w:rsidR="00E040FD" w:rsidRDefault="00740D64">
      <w:pPr>
        <w:pStyle w:val="P68B1DB1-Normal4"/>
        <w:keepNext/>
        <w:numPr>
          <w:ilvl w:val="1"/>
          <w:numId w:val="25"/>
        </w:numPr>
        <w:spacing w:before="40" w:after="160" w:line="259" w:lineRule="auto"/>
        <w:contextualSpacing/>
        <w:jc w:val="both"/>
        <w:rPr>
          <w:rFonts w:eastAsiaTheme="minorEastAsia" w:cs="Times New Roman"/>
          <w:noProof/>
        </w:rPr>
      </w:pPr>
      <w:r>
        <w:rPr>
          <w:noProof/>
        </w:rPr>
        <w:t>Anläggning av den cirkulära vägen till Vila da Madalena</w:t>
      </w:r>
    </w:p>
    <w:p w14:paraId="10A36DDF" w14:textId="77777777" w:rsidR="00E040FD" w:rsidRDefault="00740D64">
      <w:pPr>
        <w:pStyle w:val="P68B1DB1-Normal4"/>
        <w:keepNext/>
        <w:numPr>
          <w:ilvl w:val="0"/>
          <w:numId w:val="25"/>
        </w:numPr>
        <w:spacing w:before="40" w:after="160" w:line="259" w:lineRule="auto"/>
        <w:contextualSpacing/>
        <w:jc w:val="both"/>
        <w:rPr>
          <w:rFonts w:eastAsiaTheme="minorEastAsia" w:cs="Times New Roman"/>
          <w:noProof/>
        </w:rPr>
      </w:pPr>
      <w:r>
        <w:rPr>
          <w:noProof/>
        </w:rPr>
        <w:t>Ilha do Faial</w:t>
      </w:r>
    </w:p>
    <w:p w14:paraId="68BAC951" w14:textId="77777777" w:rsidR="00E040FD" w:rsidRDefault="00740D64">
      <w:pPr>
        <w:pStyle w:val="P68B1DB1-Normal4"/>
        <w:keepNext/>
        <w:numPr>
          <w:ilvl w:val="1"/>
          <w:numId w:val="25"/>
        </w:numPr>
        <w:spacing w:before="40" w:after="160" w:line="259" w:lineRule="auto"/>
        <w:contextualSpacing/>
        <w:jc w:val="both"/>
        <w:rPr>
          <w:rFonts w:eastAsiaTheme="minorEastAsia" w:cs="Times New Roman"/>
          <w:noProof/>
        </w:rPr>
      </w:pPr>
      <w:r>
        <w:rPr>
          <w:noProof/>
        </w:rPr>
        <w:t>Anläggning av förbifarten</w:t>
      </w:r>
      <w:r>
        <w:rPr>
          <w:noProof/>
          <w:vertAlign w:val="superscript"/>
        </w:rPr>
        <w:t>Cidade</w:t>
      </w:r>
      <w:r>
        <w:rPr>
          <w:noProof/>
        </w:rPr>
        <w:t xml:space="preserve"> da Horta 2</w:t>
      </w:r>
    </w:p>
    <w:p w14:paraId="5A803078" w14:textId="21946209" w:rsidR="00E040FD" w:rsidRDefault="00740D64">
      <w:pPr>
        <w:pStyle w:val="P68B1DB1-Normal4"/>
        <w:keepNext/>
        <w:spacing w:before="40" w:after="0" w:line="259" w:lineRule="auto"/>
        <w:jc w:val="both"/>
        <w:rPr>
          <w:rFonts w:eastAsiaTheme="minorEastAsia" w:cs="Times New Roman"/>
          <w:noProof/>
        </w:rPr>
        <w:sectPr w:rsidR="00E040FD" w:rsidSect="00E00EDD">
          <w:headerReference w:type="even" r:id="rId144"/>
          <w:headerReference w:type="default" r:id="rId145"/>
          <w:footerReference w:type="even" r:id="rId146"/>
          <w:footerReference w:type="default" r:id="rId147"/>
          <w:headerReference w:type="first" r:id="rId148"/>
          <w:footerReference w:type="first" r:id="rId149"/>
          <w:pgSz w:w="11907" w:h="16839"/>
          <w:pgMar w:top="1134" w:right="1134" w:bottom="1134" w:left="1134" w:header="567" w:footer="567" w:gutter="0"/>
          <w:cols w:space="720"/>
          <w:docGrid w:linePitch="360"/>
        </w:sectPr>
      </w:pPr>
      <w:r>
        <w:rPr>
          <w:noProof/>
        </w:rPr>
        <w:t>Investeringen ska vara genomförd senast den 30 juni 2026.</w:t>
      </w:r>
    </w:p>
    <w:p w14:paraId="02D059F8"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0E182190" w14:textId="77777777" w:rsidR="00E040FD" w:rsidRDefault="00740D64">
      <w:pPr>
        <w:pStyle w:val="P68B1DB1-Normal3"/>
        <w:keepNext/>
        <w:spacing w:before="40" w:after="120" w:line="259" w:lineRule="auto"/>
        <w:ind w:left="130" w:firstLine="720"/>
        <w:jc w:val="both"/>
        <w:outlineLvl w:val="2"/>
        <w:rPr>
          <w:rFonts w:eastAsiaTheme="minorEastAsia" w:cs="Times New Roman"/>
          <w:noProof/>
        </w:rPr>
      </w:pPr>
      <w:r>
        <w:rPr>
          <w:noProof/>
        </w:rPr>
        <w:t xml:space="preserve">G.2. </w:t>
      </w:r>
      <w:r>
        <w:rPr>
          <w:noProof/>
        </w:rPr>
        <w:tab/>
        <w:t>Delmål, mål, indikatorer och tidsplan för övervakning och genomförande avseende icke återbetalningspliktigt ekonomiskt stöd</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E040FD" w14:paraId="76204668" w14:textId="77777777">
        <w:trPr>
          <w:trHeight w:val="910"/>
          <w:tblHeader/>
        </w:trPr>
        <w:tc>
          <w:tcPr>
            <w:tcW w:w="1135" w:type="dxa"/>
            <w:vMerge w:val="restart"/>
            <w:shd w:val="clear" w:color="auto" w:fill="BDD6EE"/>
            <w:vAlign w:val="center"/>
            <w:hideMark/>
          </w:tcPr>
          <w:p w14:paraId="10A83D55"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vAlign w:val="center"/>
            <w:hideMark/>
          </w:tcPr>
          <w:p w14:paraId="2145A2B9"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vAlign w:val="center"/>
            <w:hideMark/>
          </w:tcPr>
          <w:p w14:paraId="07805992" w14:textId="7DA60548" w:rsidR="00E040FD" w:rsidRDefault="00740D64">
            <w:pPr>
              <w:pStyle w:val="P68B1DB1-Normal6"/>
              <w:spacing w:after="0" w:line="240" w:lineRule="auto"/>
              <w:jc w:val="center"/>
              <w:rPr>
                <w:rFonts w:eastAsia="Times New Roman" w:cs="Times New Roman"/>
                <w:noProof/>
              </w:rPr>
            </w:pPr>
            <w:r>
              <w:rPr>
                <w:noProof/>
              </w:rPr>
              <w:t>Delmål/mål</w:t>
            </w:r>
          </w:p>
        </w:tc>
        <w:tc>
          <w:tcPr>
            <w:tcW w:w="1701" w:type="dxa"/>
            <w:vMerge w:val="restart"/>
            <w:shd w:val="clear" w:color="auto" w:fill="BDD6EE"/>
            <w:vAlign w:val="center"/>
            <w:hideMark/>
          </w:tcPr>
          <w:p w14:paraId="61F8D8A7"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75" w:type="dxa"/>
            <w:vMerge w:val="restart"/>
            <w:shd w:val="clear" w:color="auto" w:fill="BDD6EE"/>
            <w:vAlign w:val="center"/>
            <w:hideMark/>
          </w:tcPr>
          <w:p w14:paraId="229C7BBA"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694" w:type="dxa"/>
            <w:gridSpan w:val="3"/>
            <w:shd w:val="clear" w:color="auto" w:fill="BDD6EE"/>
            <w:vAlign w:val="center"/>
            <w:hideMark/>
          </w:tcPr>
          <w:p w14:paraId="6843481D"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vAlign w:val="center"/>
            <w:hideMark/>
          </w:tcPr>
          <w:p w14:paraId="78326D8D"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3969" w:type="dxa"/>
            <w:vMerge w:val="restart"/>
            <w:shd w:val="clear" w:color="auto" w:fill="BDD6EE"/>
            <w:vAlign w:val="center"/>
            <w:hideMark/>
          </w:tcPr>
          <w:p w14:paraId="41A1C571"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76EB62E6" w14:textId="77777777">
        <w:trPr>
          <w:trHeight w:val="470"/>
          <w:tblHeader/>
        </w:trPr>
        <w:tc>
          <w:tcPr>
            <w:tcW w:w="1135" w:type="dxa"/>
            <w:vMerge/>
            <w:vAlign w:val="center"/>
            <w:hideMark/>
          </w:tcPr>
          <w:p w14:paraId="4F39F320"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7D30E977"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vAlign w:val="center"/>
            <w:hideMark/>
          </w:tcPr>
          <w:p w14:paraId="58796813" w14:textId="7999AEB8" w:rsidR="00E040FD" w:rsidRDefault="00E040FD">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449A85D5" w14:textId="77777777" w:rsidR="00E040FD" w:rsidRDefault="00E040FD">
            <w:pPr>
              <w:spacing w:after="0" w:line="240" w:lineRule="auto"/>
              <w:rPr>
                <w:rFonts w:ascii="Times New Roman" w:eastAsia="Times New Roman" w:hAnsi="Times New Roman" w:cs="Times New Roman"/>
                <w:b/>
                <w:noProof/>
                <w:sz w:val="18"/>
              </w:rPr>
            </w:pPr>
          </w:p>
        </w:tc>
        <w:tc>
          <w:tcPr>
            <w:tcW w:w="1275" w:type="dxa"/>
            <w:vMerge/>
            <w:vAlign w:val="center"/>
            <w:hideMark/>
          </w:tcPr>
          <w:p w14:paraId="770D098D" w14:textId="77777777" w:rsidR="00E040FD" w:rsidRDefault="00E040FD">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4A3469DF"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vAlign w:val="center"/>
            <w:hideMark/>
          </w:tcPr>
          <w:p w14:paraId="57CE6F65"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709" w:type="dxa"/>
            <w:shd w:val="clear" w:color="auto" w:fill="BDD6EE"/>
            <w:vAlign w:val="center"/>
            <w:hideMark/>
          </w:tcPr>
          <w:p w14:paraId="2594584D"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7" w:type="dxa"/>
            <w:shd w:val="clear" w:color="auto" w:fill="BDD6EE"/>
            <w:vAlign w:val="center"/>
            <w:hideMark/>
          </w:tcPr>
          <w:p w14:paraId="470C36F2"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3AA4CBDD" w14:textId="77777777" w:rsidR="00E040FD" w:rsidRDefault="00740D64">
            <w:pPr>
              <w:pStyle w:val="P68B1DB1-Normal6"/>
              <w:spacing w:after="0" w:line="240" w:lineRule="auto"/>
              <w:jc w:val="center"/>
              <w:rPr>
                <w:rFonts w:eastAsia="Times New Roman" w:cs="Times New Roman"/>
                <w:noProof/>
              </w:rPr>
            </w:pPr>
            <w:r>
              <w:rPr>
                <w:noProof/>
              </w:rPr>
              <w:t>Året</w:t>
            </w:r>
          </w:p>
        </w:tc>
        <w:tc>
          <w:tcPr>
            <w:tcW w:w="3969" w:type="dxa"/>
            <w:vMerge/>
            <w:vAlign w:val="center"/>
            <w:hideMark/>
          </w:tcPr>
          <w:p w14:paraId="5F2DB0FA" w14:textId="77777777" w:rsidR="00E040FD" w:rsidRDefault="00E040FD">
            <w:pPr>
              <w:spacing w:after="0" w:line="240" w:lineRule="auto"/>
              <w:rPr>
                <w:rFonts w:ascii="Times New Roman" w:eastAsia="Times New Roman" w:hAnsi="Times New Roman" w:cs="Times New Roman"/>
                <w:b/>
                <w:noProof/>
                <w:sz w:val="18"/>
              </w:rPr>
            </w:pPr>
          </w:p>
        </w:tc>
      </w:tr>
      <w:tr w:rsidR="00E040FD" w14:paraId="7CFEA922" w14:textId="77777777">
        <w:trPr>
          <w:trHeight w:val="300"/>
        </w:trPr>
        <w:tc>
          <w:tcPr>
            <w:tcW w:w="1135" w:type="dxa"/>
            <w:shd w:val="clear" w:color="auto" w:fill="C4EFCE"/>
            <w:vAlign w:val="center"/>
            <w:hideMark/>
          </w:tcPr>
          <w:p w14:paraId="3F3E09F7" w14:textId="77777777" w:rsidR="00E040FD" w:rsidRDefault="00740D64">
            <w:pPr>
              <w:pStyle w:val="P68B1DB1-Normal7"/>
              <w:spacing w:after="0" w:line="240" w:lineRule="auto"/>
              <w:jc w:val="center"/>
              <w:rPr>
                <w:rFonts w:eastAsia="Times New Roman" w:cs="Calibri"/>
                <w:noProof/>
              </w:rPr>
            </w:pPr>
            <w:r>
              <w:rPr>
                <w:noProof/>
              </w:rPr>
              <w:t>7.1</w:t>
            </w:r>
          </w:p>
        </w:tc>
        <w:tc>
          <w:tcPr>
            <w:tcW w:w="1276" w:type="dxa"/>
            <w:shd w:val="clear" w:color="auto" w:fill="C4EFCE"/>
            <w:noWrap/>
            <w:vAlign w:val="center"/>
            <w:hideMark/>
          </w:tcPr>
          <w:p w14:paraId="4A111EAC" w14:textId="77777777" w:rsidR="00E040FD" w:rsidRDefault="00740D64">
            <w:pPr>
              <w:pStyle w:val="P68B1DB1-Normal8"/>
              <w:spacing w:after="0" w:line="240" w:lineRule="auto"/>
              <w:jc w:val="center"/>
              <w:rPr>
                <w:rFonts w:eastAsia="Times New Roman" w:cs="Calibri"/>
                <w:noProof/>
              </w:rPr>
            </w:pPr>
            <w:r>
              <w:rPr>
                <w:noProof/>
              </w:rPr>
              <w:t>RE-C07-i00</w:t>
            </w:r>
          </w:p>
        </w:tc>
        <w:tc>
          <w:tcPr>
            <w:tcW w:w="1134" w:type="dxa"/>
            <w:shd w:val="clear" w:color="auto" w:fill="C4EFCE"/>
            <w:noWrap/>
            <w:vAlign w:val="center"/>
            <w:hideMark/>
          </w:tcPr>
          <w:p w14:paraId="0DD29370"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26EF931" w14:textId="10CF120E" w:rsidR="00E040FD" w:rsidRDefault="00740D64">
            <w:pPr>
              <w:pStyle w:val="P68B1DB1-Normal8"/>
              <w:spacing w:after="0" w:line="240" w:lineRule="auto"/>
              <w:jc w:val="center"/>
              <w:rPr>
                <w:rFonts w:eastAsia="Times New Roman" w:cs="Calibri"/>
                <w:noProof/>
              </w:rPr>
            </w:pPr>
            <w:r>
              <w:rPr>
                <w:noProof/>
              </w:rPr>
              <w:t>Allmänt tillgängliga laddningsstationer för elfordon</w:t>
            </w:r>
          </w:p>
        </w:tc>
        <w:tc>
          <w:tcPr>
            <w:tcW w:w="1275" w:type="dxa"/>
            <w:shd w:val="clear" w:color="auto" w:fill="C4EFCE"/>
            <w:noWrap/>
            <w:vAlign w:val="center"/>
            <w:hideMark/>
          </w:tcPr>
          <w:p w14:paraId="565AADE8"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CE86B4" w14:textId="77777777" w:rsidR="00E040FD" w:rsidRDefault="00740D64">
            <w:pPr>
              <w:pStyle w:val="P68B1DB1-Normal8"/>
              <w:spacing w:after="0" w:line="240" w:lineRule="auto"/>
              <w:jc w:val="center"/>
              <w:rPr>
                <w:rFonts w:eastAsia="Times New Roman" w:cs="Calibri"/>
                <w:noProof/>
              </w:rPr>
            </w:pPr>
            <w:r>
              <w:rPr>
                <w:noProof/>
              </w:rPr>
              <w:t xml:space="preserve">Antal </w:t>
            </w:r>
          </w:p>
        </w:tc>
        <w:tc>
          <w:tcPr>
            <w:tcW w:w="992" w:type="dxa"/>
            <w:shd w:val="clear" w:color="auto" w:fill="C4EFCE"/>
            <w:noWrap/>
            <w:vAlign w:val="center"/>
            <w:hideMark/>
          </w:tcPr>
          <w:p w14:paraId="61129708" w14:textId="77777777" w:rsidR="00E040FD" w:rsidRDefault="00740D64">
            <w:pPr>
              <w:pStyle w:val="P68B1DB1-Normal8"/>
              <w:spacing w:after="0" w:line="240" w:lineRule="auto"/>
              <w:jc w:val="center"/>
              <w:rPr>
                <w:rFonts w:eastAsia="Times New Roman" w:cs="Calibri"/>
                <w:noProof/>
              </w:rPr>
            </w:pPr>
            <w:r>
              <w:rPr>
                <w:noProof/>
              </w:rPr>
              <w:t>3 520</w:t>
            </w:r>
          </w:p>
        </w:tc>
        <w:tc>
          <w:tcPr>
            <w:tcW w:w="709" w:type="dxa"/>
            <w:shd w:val="clear" w:color="auto" w:fill="C4EFCE"/>
            <w:noWrap/>
            <w:vAlign w:val="center"/>
            <w:hideMark/>
          </w:tcPr>
          <w:p w14:paraId="213900A0" w14:textId="77777777" w:rsidR="00E040FD" w:rsidRDefault="00740D64">
            <w:pPr>
              <w:pStyle w:val="P68B1DB1-Normal8"/>
              <w:spacing w:after="0" w:line="240" w:lineRule="auto"/>
              <w:jc w:val="center"/>
              <w:rPr>
                <w:rFonts w:eastAsia="Times New Roman" w:cs="Calibri"/>
                <w:noProof/>
              </w:rPr>
            </w:pPr>
            <w:r>
              <w:rPr>
                <w:noProof/>
              </w:rPr>
              <w:t>5 250</w:t>
            </w:r>
          </w:p>
        </w:tc>
        <w:tc>
          <w:tcPr>
            <w:tcW w:w="567" w:type="dxa"/>
            <w:shd w:val="clear" w:color="auto" w:fill="C4EFCE"/>
            <w:noWrap/>
            <w:vAlign w:val="center"/>
            <w:hideMark/>
          </w:tcPr>
          <w:p w14:paraId="22D9B120"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146CD88B" w14:textId="77777777" w:rsidR="00E040FD" w:rsidRDefault="00740D6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EBBFDA7" w14:textId="72F46DC9" w:rsidR="00E040FD" w:rsidRDefault="00740D64">
            <w:pPr>
              <w:pStyle w:val="P68B1DB1-Normal8"/>
              <w:spacing w:after="0" w:line="240" w:lineRule="auto"/>
              <w:jc w:val="both"/>
              <w:rPr>
                <w:rFonts w:eastAsia="Times New Roman" w:cs="Calibri"/>
                <w:noProof/>
              </w:rPr>
            </w:pPr>
            <w:r>
              <w:rPr>
                <w:noProof/>
              </w:rPr>
              <w:t>Antal allmänt tillgängliga laddningsstationer för elfordon (jämfört med referensscenariot för fjärde kvartalet 4 2021)</w:t>
            </w:r>
          </w:p>
        </w:tc>
      </w:tr>
      <w:tr w:rsidR="00E040FD" w14:paraId="411748AE" w14:textId="77777777">
        <w:trPr>
          <w:trHeight w:val="300"/>
        </w:trPr>
        <w:tc>
          <w:tcPr>
            <w:tcW w:w="1135" w:type="dxa"/>
            <w:shd w:val="clear" w:color="auto" w:fill="C4EFCE"/>
            <w:vAlign w:val="center"/>
            <w:hideMark/>
          </w:tcPr>
          <w:p w14:paraId="50AB89C4" w14:textId="77777777" w:rsidR="00E040FD" w:rsidRDefault="00740D64">
            <w:pPr>
              <w:pStyle w:val="P68B1DB1-Normal7"/>
              <w:spacing w:after="0" w:line="240" w:lineRule="auto"/>
              <w:jc w:val="center"/>
              <w:rPr>
                <w:rFonts w:eastAsia="Times New Roman" w:cs="Calibri"/>
                <w:noProof/>
              </w:rPr>
            </w:pPr>
            <w:r>
              <w:rPr>
                <w:noProof/>
              </w:rPr>
              <w:t>7.2</w:t>
            </w:r>
          </w:p>
        </w:tc>
        <w:tc>
          <w:tcPr>
            <w:tcW w:w="1276" w:type="dxa"/>
            <w:shd w:val="clear" w:color="auto" w:fill="C4EFCE"/>
            <w:noWrap/>
            <w:vAlign w:val="center"/>
            <w:hideMark/>
          </w:tcPr>
          <w:p w14:paraId="5FD10D53" w14:textId="77777777" w:rsidR="00E040FD" w:rsidRDefault="00740D64">
            <w:pPr>
              <w:pStyle w:val="P68B1DB1-Normal8"/>
              <w:spacing w:after="0" w:line="240" w:lineRule="auto"/>
              <w:jc w:val="center"/>
              <w:rPr>
                <w:rFonts w:eastAsia="Times New Roman" w:cs="Calibri"/>
                <w:noProof/>
              </w:rPr>
            </w:pPr>
            <w:r>
              <w:rPr>
                <w:noProof/>
              </w:rPr>
              <w:t>RE-C07-i00</w:t>
            </w:r>
          </w:p>
        </w:tc>
        <w:tc>
          <w:tcPr>
            <w:tcW w:w="1134" w:type="dxa"/>
            <w:shd w:val="clear" w:color="auto" w:fill="C4EFCE"/>
            <w:noWrap/>
            <w:vAlign w:val="center"/>
            <w:hideMark/>
          </w:tcPr>
          <w:p w14:paraId="71F92348"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DCB8434" w14:textId="6A490E0A" w:rsidR="00E040FD" w:rsidRDefault="00740D64">
            <w:pPr>
              <w:pStyle w:val="P68B1DB1-Normal8"/>
              <w:spacing w:after="0" w:line="240" w:lineRule="auto"/>
              <w:jc w:val="center"/>
              <w:rPr>
                <w:rFonts w:eastAsia="Times New Roman" w:cs="Calibri"/>
                <w:noProof/>
              </w:rPr>
            </w:pPr>
            <w:r>
              <w:rPr>
                <w:noProof/>
              </w:rPr>
              <w:t>Allmänt tillgängliga laddningsstationer för elfordon</w:t>
            </w:r>
          </w:p>
        </w:tc>
        <w:tc>
          <w:tcPr>
            <w:tcW w:w="1275" w:type="dxa"/>
            <w:shd w:val="clear" w:color="auto" w:fill="C4EFCE"/>
            <w:noWrap/>
            <w:vAlign w:val="center"/>
            <w:hideMark/>
          </w:tcPr>
          <w:p w14:paraId="039BB342"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738A1E7" w14:textId="77777777" w:rsidR="00E040FD" w:rsidRDefault="00740D64">
            <w:pPr>
              <w:pStyle w:val="P68B1DB1-Normal8"/>
              <w:spacing w:after="0" w:line="240" w:lineRule="auto"/>
              <w:jc w:val="center"/>
              <w:rPr>
                <w:rFonts w:eastAsia="Times New Roman" w:cs="Calibri"/>
                <w:noProof/>
              </w:rPr>
            </w:pPr>
            <w:r>
              <w:rPr>
                <w:noProof/>
              </w:rPr>
              <w:t xml:space="preserve">Antal </w:t>
            </w:r>
          </w:p>
        </w:tc>
        <w:tc>
          <w:tcPr>
            <w:tcW w:w="992" w:type="dxa"/>
            <w:shd w:val="clear" w:color="auto" w:fill="C4EFCE"/>
            <w:noWrap/>
            <w:vAlign w:val="center"/>
            <w:hideMark/>
          </w:tcPr>
          <w:p w14:paraId="22A7D3DE" w14:textId="77777777" w:rsidR="00E040FD" w:rsidRDefault="00740D64">
            <w:pPr>
              <w:pStyle w:val="P68B1DB1-Normal8"/>
              <w:spacing w:after="0" w:line="240" w:lineRule="auto"/>
              <w:jc w:val="center"/>
              <w:rPr>
                <w:rFonts w:eastAsia="Times New Roman" w:cs="Calibri"/>
                <w:noProof/>
              </w:rPr>
            </w:pPr>
            <w:r>
              <w:rPr>
                <w:noProof/>
              </w:rPr>
              <w:t>5 250</w:t>
            </w:r>
          </w:p>
        </w:tc>
        <w:tc>
          <w:tcPr>
            <w:tcW w:w="709" w:type="dxa"/>
            <w:shd w:val="clear" w:color="auto" w:fill="C4EFCE"/>
            <w:noWrap/>
            <w:vAlign w:val="center"/>
            <w:hideMark/>
          </w:tcPr>
          <w:p w14:paraId="1B77A0ED" w14:textId="77777777" w:rsidR="00E040FD" w:rsidRDefault="00740D64">
            <w:pPr>
              <w:pStyle w:val="P68B1DB1-Normal8"/>
              <w:spacing w:after="0" w:line="240" w:lineRule="auto"/>
              <w:jc w:val="center"/>
              <w:rPr>
                <w:rFonts w:eastAsia="Times New Roman" w:cs="Calibri"/>
                <w:noProof/>
              </w:rPr>
            </w:pPr>
            <w:r>
              <w:rPr>
                <w:noProof/>
              </w:rPr>
              <w:t>10 450</w:t>
            </w:r>
          </w:p>
        </w:tc>
        <w:tc>
          <w:tcPr>
            <w:tcW w:w="567" w:type="dxa"/>
            <w:shd w:val="clear" w:color="auto" w:fill="C4EFCE"/>
            <w:noWrap/>
            <w:vAlign w:val="center"/>
            <w:hideMark/>
          </w:tcPr>
          <w:p w14:paraId="57655D31"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66B50A5F" w14:textId="77777777"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A5BDC17" w14:textId="0FAC8B46" w:rsidR="00E040FD" w:rsidRDefault="00740D64">
            <w:pPr>
              <w:pStyle w:val="P68B1DB1-Normal8"/>
              <w:spacing w:after="0" w:line="240" w:lineRule="auto"/>
              <w:jc w:val="both"/>
              <w:rPr>
                <w:rFonts w:eastAsia="Times New Roman" w:cs="Calibri"/>
                <w:noProof/>
              </w:rPr>
            </w:pPr>
            <w:r>
              <w:rPr>
                <w:noProof/>
              </w:rPr>
              <w:t>Antal allmänt tillgängliga laddningsstationer för elfordon (jämfört med referensscenariot för fjärde kvartalet 4 2022)</w:t>
            </w:r>
          </w:p>
        </w:tc>
      </w:tr>
      <w:tr w:rsidR="00E040FD" w14:paraId="0EAF8566" w14:textId="77777777">
        <w:trPr>
          <w:trHeight w:val="300"/>
        </w:trPr>
        <w:tc>
          <w:tcPr>
            <w:tcW w:w="1135" w:type="dxa"/>
            <w:shd w:val="clear" w:color="auto" w:fill="C4EFCE"/>
            <w:vAlign w:val="center"/>
            <w:hideMark/>
          </w:tcPr>
          <w:p w14:paraId="354C0B63" w14:textId="77777777" w:rsidR="00E040FD" w:rsidRDefault="00740D64">
            <w:pPr>
              <w:pStyle w:val="P68B1DB1-Normal7"/>
              <w:spacing w:after="0" w:line="240" w:lineRule="auto"/>
              <w:jc w:val="center"/>
              <w:rPr>
                <w:rFonts w:eastAsia="Times New Roman" w:cs="Calibri"/>
                <w:noProof/>
              </w:rPr>
            </w:pPr>
            <w:r>
              <w:rPr>
                <w:noProof/>
              </w:rPr>
              <w:t>7.3</w:t>
            </w:r>
          </w:p>
        </w:tc>
        <w:tc>
          <w:tcPr>
            <w:tcW w:w="1276" w:type="dxa"/>
            <w:shd w:val="clear" w:color="auto" w:fill="C4EFCE"/>
            <w:noWrap/>
            <w:vAlign w:val="center"/>
            <w:hideMark/>
          </w:tcPr>
          <w:p w14:paraId="415D9614" w14:textId="77777777" w:rsidR="00E040FD" w:rsidRDefault="00740D64">
            <w:pPr>
              <w:pStyle w:val="P68B1DB1-Normal8"/>
              <w:spacing w:after="0" w:line="240" w:lineRule="auto"/>
              <w:jc w:val="center"/>
              <w:rPr>
                <w:rFonts w:eastAsia="Times New Roman" w:cs="Calibri"/>
                <w:noProof/>
              </w:rPr>
            </w:pPr>
            <w:r>
              <w:rPr>
                <w:noProof/>
              </w:rPr>
              <w:t>RE-C07-i00</w:t>
            </w:r>
          </w:p>
        </w:tc>
        <w:tc>
          <w:tcPr>
            <w:tcW w:w="1134" w:type="dxa"/>
            <w:shd w:val="clear" w:color="auto" w:fill="C4EFCE"/>
            <w:noWrap/>
            <w:vAlign w:val="center"/>
            <w:hideMark/>
          </w:tcPr>
          <w:p w14:paraId="3E535130"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D5E62B3" w14:textId="4AD6DD50" w:rsidR="00E040FD" w:rsidRDefault="00740D64">
            <w:pPr>
              <w:pStyle w:val="P68B1DB1-Normal8"/>
              <w:spacing w:after="0" w:line="240" w:lineRule="auto"/>
              <w:jc w:val="center"/>
              <w:rPr>
                <w:rFonts w:eastAsia="Times New Roman" w:cs="Calibri"/>
                <w:noProof/>
              </w:rPr>
            </w:pPr>
            <w:r>
              <w:rPr>
                <w:noProof/>
              </w:rPr>
              <w:t>Allmänt tillgängliga laddningsstationer för elfordon</w:t>
            </w:r>
          </w:p>
        </w:tc>
        <w:tc>
          <w:tcPr>
            <w:tcW w:w="1275" w:type="dxa"/>
            <w:shd w:val="clear" w:color="auto" w:fill="C4EFCE"/>
            <w:noWrap/>
            <w:vAlign w:val="center"/>
            <w:hideMark/>
          </w:tcPr>
          <w:p w14:paraId="48FD32B6"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48F471C" w14:textId="77777777" w:rsidR="00E040FD" w:rsidRDefault="00740D64">
            <w:pPr>
              <w:pStyle w:val="P68B1DB1-Normal8"/>
              <w:spacing w:after="0" w:line="240" w:lineRule="auto"/>
              <w:jc w:val="center"/>
              <w:rPr>
                <w:rFonts w:eastAsia="Times New Roman" w:cs="Calibri"/>
                <w:noProof/>
              </w:rPr>
            </w:pPr>
            <w:r>
              <w:rPr>
                <w:noProof/>
              </w:rPr>
              <w:t xml:space="preserve">Antal </w:t>
            </w:r>
          </w:p>
        </w:tc>
        <w:tc>
          <w:tcPr>
            <w:tcW w:w="992" w:type="dxa"/>
            <w:shd w:val="clear" w:color="auto" w:fill="C4EFCE"/>
            <w:noWrap/>
            <w:vAlign w:val="center"/>
            <w:hideMark/>
          </w:tcPr>
          <w:p w14:paraId="77A7D296" w14:textId="77777777" w:rsidR="00E040FD" w:rsidRDefault="00740D64">
            <w:pPr>
              <w:pStyle w:val="P68B1DB1-Normal8"/>
              <w:spacing w:after="0" w:line="240" w:lineRule="auto"/>
              <w:jc w:val="center"/>
              <w:rPr>
                <w:rFonts w:eastAsia="Times New Roman" w:cs="Calibri"/>
                <w:noProof/>
              </w:rPr>
            </w:pPr>
            <w:r>
              <w:rPr>
                <w:noProof/>
              </w:rPr>
              <w:t>10 450</w:t>
            </w:r>
          </w:p>
        </w:tc>
        <w:tc>
          <w:tcPr>
            <w:tcW w:w="709" w:type="dxa"/>
            <w:shd w:val="clear" w:color="auto" w:fill="C4EFCE"/>
            <w:noWrap/>
            <w:vAlign w:val="center"/>
            <w:hideMark/>
          </w:tcPr>
          <w:p w14:paraId="7C46C763" w14:textId="77777777" w:rsidR="00E040FD" w:rsidRDefault="00740D64">
            <w:pPr>
              <w:pStyle w:val="P68B1DB1-Normal8"/>
              <w:spacing w:after="0" w:line="240" w:lineRule="auto"/>
              <w:jc w:val="center"/>
              <w:rPr>
                <w:rFonts w:eastAsia="Times New Roman" w:cs="Calibri"/>
                <w:noProof/>
              </w:rPr>
            </w:pPr>
            <w:r>
              <w:rPr>
                <w:noProof/>
              </w:rPr>
              <w:t>15 000</w:t>
            </w:r>
          </w:p>
        </w:tc>
        <w:tc>
          <w:tcPr>
            <w:tcW w:w="567" w:type="dxa"/>
            <w:shd w:val="clear" w:color="auto" w:fill="C4EFCE"/>
            <w:noWrap/>
            <w:vAlign w:val="center"/>
            <w:hideMark/>
          </w:tcPr>
          <w:p w14:paraId="425C2DC1"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65542AA4"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8F4B423" w14:textId="2FF52C31" w:rsidR="00E040FD" w:rsidRDefault="00740D64">
            <w:pPr>
              <w:pStyle w:val="P68B1DB1-Normal8"/>
              <w:spacing w:after="0" w:line="240" w:lineRule="auto"/>
              <w:jc w:val="both"/>
              <w:rPr>
                <w:rFonts w:eastAsia="Times New Roman" w:cs="Calibri"/>
                <w:noProof/>
              </w:rPr>
            </w:pPr>
            <w:r>
              <w:rPr>
                <w:noProof/>
              </w:rPr>
              <w:t>Antal allmänt tillgängliga laddningsstationer för elfordon (jämfört med referensscenariot för fjärde kvartalet 4 2024)</w:t>
            </w:r>
          </w:p>
        </w:tc>
      </w:tr>
      <w:tr w:rsidR="00E040FD" w14:paraId="6CDEF770" w14:textId="77777777">
        <w:trPr>
          <w:trHeight w:val="640"/>
        </w:trPr>
        <w:tc>
          <w:tcPr>
            <w:tcW w:w="1135" w:type="dxa"/>
            <w:shd w:val="clear" w:color="auto" w:fill="C4EFCE"/>
            <w:vAlign w:val="center"/>
            <w:hideMark/>
          </w:tcPr>
          <w:p w14:paraId="7E9D55FE" w14:textId="77777777" w:rsidR="00E040FD" w:rsidRDefault="00740D64">
            <w:pPr>
              <w:pStyle w:val="P68B1DB1-Normal7"/>
              <w:spacing w:after="0" w:line="240" w:lineRule="auto"/>
              <w:jc w:val="center"/>
              <w:rPr>
                <w:rFonts w:eastAsia="Times New Roman" w:cs="Calibri"/>
                <w:noProof/>
              </w:rPr>
            </w:pPr>
            <w:r>
              <w:rPr>
                <w:noProof/>
              </w:rPr>
              <w:t>7.4</w:t>
            </w:r>
          </w:p>
        </w:tc>
        <w:tc>
          <w:tcPr>
            <w:tcW w:w="1276" w:type="dxa"/>
            <w:shd w:val="clear" w:color="auto" w:fill="C4EFCE"/>
            <w:noWrap/>
            <w:vAlign w:val="center"/>
            <w:hideMark/>
          </w:tcPr>
          <w:p w14:paraId="74F8FD76" w14:textId="77777777" w:rsidR="00E040FD" w:rsidRDefault="00740D64">
            <w:pPr>
              <w:pStyle w:val="P68B1DB1-Normal8"/>
              <w:spacing w:after="0" w:line="240" w:lineRule="auto"/>
              <w:jc w:val="center"/>
              <w:rPr>
                <w:rFonts w:eastAsia="Times New Roman" w:cs="Calibri"/>
                <w:noProof/>
              </w:rPr>
            </w:pPr>
            <w:r>
              <w:rPr>
                <w:noProof/>
              </w:rPr>
              <w:t>RE-C07-i01</w:t>
            </w:r>
          </w:p>
        </w:tc>
        <w:tc>
          <w:tcPr>
            <w:tcW w:w="1134" w:type="dxa"/>
            <w:shd w:val="clear" w:color="auto" w:fill="C4EFCE"/>
            <w:noWrap/>
            <w:vAlign w:val="center"/>
            <w:hideMark/>
          </w:tcPr>
          <w:p w14:paraId="0F209261"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F9C461D" w14:textId="77777777" w:rsidR="00E040FD" w:rsidRDefault="00740D64">
            <w:pPr>
              <w:pStyle w:val="P68B1DB1-Normal8"/>
              <w:spacing w:after="0" w:line="240" w:lineRule="auto"/>
              <w:jc w:val="center"/>
              <w:rPr>
                <w:rFonts w:eastAsia="Times New Roman" w:cs="Calibri"/>
                <w:noProof/>
              </w:rPr>
            </w:pPr>
            <w:r>
              <w:rPr>
                <w:noProof/>
              </w:rPr>
              <w:t>Urval av mottagandeområden för insatser för att förbättra den miljömässiga hållbarheten och digitaliseringen</w:t>
            </w:r>
          </w:p>
        </w:tc>
        <w:tc>
          <w:tcPr>
            <w:tcW w:w="1275" w:type="dxa"/>
            <w:shd w:val="clear" w:color="auto" w:fill="C4EFCE"/>
            <w:noWrap/>
            <w:vAlign w:val="center"/>
            <w:hideMark/>
          </w:tcPr>
          <w:p w14:paraId="593AAD30" w14:textId="77777777" w:rsidR="00E040FD" w:rsidRDefault="00740D64">
            <w:pPr>
              <w:pStyle w:val="P68B1DB1-Normal8"/>
              <w:spacing w:after="0" w:line="240" w:lineRule="auto"/>
              <w:jc w:val="center"/>
              <w:rPr>
                <w:rFonts w:eastAsia="Times New Roman" w:cs="Calibri"/>
                <w:noProof/>
              </w:rPr>
            </w:pPr>
            <w:r>
              <w:rPr>
                <w:noProof/>
              </w:rPr>
              <w:t>Undertecknande av ett offentligt protokoll som bekräftar valet av mottagandeområden för företag</w:t>
            </w:r>
          </w:p>
        </w:tc>
        <w:tc>
          <w:tcPr>
            <w:tcW w:w="993" w:type="dxa"/>
            <w:shd w:val="clear" w:color="auto" w:fill="C4EFCE"/>
            <w:noWrap/>
            <w:vAlign w:val="center"/>
            <w:hideMark/>
          </w:tcPr>
          <w:p w14:paraId="3B12DE95"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DF1D34B" w14:textId="77777777" w:rsidR="00E040FD" w:rsidRDefault="00740D6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2143C3EF"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FC05994" w14:textId="77777777"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51394D9E" w14:textId="77777777" w:rsidR="00E040FD" w:rsidRDefault="00740D6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1E6391D9" w14:textId="77777777" w:rsidR="00E040FD" w:rsidRDefault="00740D64">
            <w:pPr>
              <w:pStyle w:val="P68B1DB1-Normal8"/>
              <w:spacing w:after="0" w:line="240" w:lineRule="auto"/>
              <w:jc w:val="both"/>
              <w:rPr>
                <w:rFonts w:eastAsia="Times New Roman" w:cs="Calibri"/>
                <w:noProof/>
              </w:rPr>
            </w:pPr>
            <w:r>
              <w:rPr>
                <w:noProof/>
              </w:rPr>
              <w:t xml:space="preserve">Mottagningsområden för företag ska väljas ut genom ett konkurrensutsatt anbudsförfarande. Ett undertecknat offentligt protokoll ska lämnas in till kommissionen som bekräftar att urvalet av mottagandeområden för företag har slutförts och som identifierar de utvalda mottagandeområdena för företag. </w:t>
            </w:r>
          </w:p>
        </w:tc>
      </w:tr>
      <w:tr w:rsidR="00E040FD" w14:paraId="0512DFAB" w14:textId="77777777">
        <w:trPr>
          <w:trHeight w:val="420"/>
        </w:trPr>
        <w:tc>
          <w:tcPr>
            <w:tcW w:w="1135" w:type="dxa"/>
            <w:shd w:val="clear" w:color="auto" w:fill="C4EFCE"/>
            <w:vAlign w:val="center"/>
            <w:hideMark/>
          </w:tcPr>
          <w:p w14:paraId="40C77A13" w14:textId="77777777" w:rsidR="00E040FD" w:rsidRDefault="00740D64">
            <w:pPr>
              <w:pStyle w:val="P68B1DB1-Normal7"/>
              <w:spacing w:after="0" w:line="240" w:lineRule="auto"/>
              <w:jc w:val="center"/>
              <w:rPr>
                <w:rFonts w:eastAsia="Times New Roman" w:cs="Calibri"/>
                <w:noProof/>
              </w:rPr>
            </w:pPr>
            <w:r>
              <w:rPr>
                <w:noProof/>
              </w:rPr>
              <w:t>7.5</w:t>
            </w:r>
          </w:p>
        </w:tc>
        <w:tc>
          <w:tcPr>
            <w:tcW w:w="1276" w:type="dxa"/>
            <w:shd w:val="clear" w:color="auto" w:fill="C4EFCE"/>
            <w:noWrap/>
            <w:vAlign w:val="center"/>
            <w:hideMark/>
          </w:tcPr>
          <w:p w14:paraId="3FA30471" w14:textId="77777777" w:rsidR="00E040FD" w:rsidRDefault="00740D64">
            <w:pPr>
              <w:pStyle w:val="P68B1DB1-Normal8"/>
              <w:spacing w:after="0" w:line="240" w:lineRule="auto"/>
              <w:jc w:val="center"/>
              <w:rPr>
                <w:rFonts w:eastAsia="Times New Roman" w:cs="Calibri"/>
                <w:noProof/>
              </w:rPr>
            </w:pPr>
            <w:r>
              <w:rPr>
                <w:noProof/>
              </w:rPr>
              <w:t>RE-C07-i01</w:t>
            </w:r>
          </w:p>
        </w:tc>
        <w:tc>
          <w:tcPr>
            <w:tcW w:w="1134" w:type="dxa"/>
            <w:shd w:val="clear" w:color="auto" w:fill="C4EFCE"/>
            <w:noWrap/>
            <w:vAlign w:val="center"/>
            <w:hideMark/>
          </w:tcPr>
          <w:p w14:paraId="6BEE3F36"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DFBE47E" w14:textId="77777777" w:rsidR="00E040FD" w:rsidRDefault="00740D64">
            <w:pPr>
              <w:pStyle w:val="P68B1DB1-Normal8"/>
              <w:spacing w:after="0" w:line="240" w:lineRule="auto"/>
              <w:jc w:val="center"/>
              <w:rPr>
                <w:rFonts w:eastAsia="Times New Roman" w:cs="Calibri"/>
                <w:noProof/>
              </w:rPr>
            </w:pPr>
            <w:r>
              <w:rPr>
                <w:noProof/>
              </w:rPr>
              <w:t xml:space="preserve">Slutförande av insatser i utvalda mottagningsområden för företag </w:t>
            </w:r>
          </w:p>
        </w:tc>
        <w:tc>
          <w:tcPr>
            <w:tcW w:w="1275" w:type="dxa"/>
            <w:shd w:val="clear" w:color="auto" w:fill="C4EFCE"/>
            <w:noWrap/>
            <w:vAlign w:val="center"/>
            <w:hideMark/>
          </w:tcPr>
          <w:p w14:paraId="33798293"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7932235"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42943F2B"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4C482E62" w14:textId="77777777" w:rsidR="00E040FD" w:rsidRDefault="00740D64">
            <w:pPr>
              <w:pStyle w:val="P68B1DB1-Normal8"/>
              <w:spacing w:after="0" w:line="240" w:lineRule="auto"/>
              <w:jc w:val="center"/>
              <w:rPr>
                <w:rFonts w:eastAsia="Times New Roman" w:cs="Calibri"/>
                <w:noProof/>
              </w:rPr>
            </w:pPr>
            <w:r>
              <w:rPr>
                <w:noProof/>
              </w:rPr>
              <w:t>10</w:t>
            </w:r>
          </w:p>
        </w:tc>
        <w:tc>
          <w:tcPr>
            <w:tcW w:w="567" w:type="dxa"/>
            <w:shd w:val="clear" w:color="auto" w:fill="C4EFCE"/>
            <w:noWrap/>
            <w:vAlign w:val="center"/>
            <w:hideMark/>
          </w:tcPr>
          <w:p w14:paraId="082856AC"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0E91BBA3"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C3A76A8" w14:textId="77777777" w:rsidR="00E040FD" w:rsidRDefault="00740D64">
            <w:pPr>
              <w:pStyle w:val="P68B1DB1-Normal8"/>
              <w:spacing w:after="0" w:line="240" w:lineRule="auto"/>
              <w:jc w:val="both"/>
              <w:rPr>
                <w:rFonts w:eastAsia="Times New Roman" w:cs="Calibri"/>
                <w:noProof/>
              </w:rPr>
            </w:pPr>
            <w:r>
              <w:rPr>
                <w:noProof/>
              </w:rPr>
              <w:t xml:space="preserve">Antal mottagningsplatser för företag som har slutfört arbete för att förbättra sin miljömässiga hållbarhet och digitalisering. </w:t>
            </w:r>
          </w:p>
          <w:p w14:paraId="07D803B5" w14:textId="10D8E79F" w:rsidR="00E040FD" w:rsidRDefault="00740D64">
            <w:pPr>
              <w:pStyle w:val="P68B1DB1-Normal8"/>
              <w:spacing w:after="0" w:line="240" w:lineRule="auto"/>
              <w:jc w:val="both"/>
              <w:rPr>
                <w:rFonts w:eastAsia="Times New Roman" w:cs="Calibri"/>
                <w:noProof/>
              </w:rPr>
            </w:pPr>
            <w:r>
              <w:rPr>
                <w:noProof/>
              </w:rPr>
              <w:t>Områden för mottagande av företag för intervention som valts ut i ett konkurrensutsatt anbudsförfarande.</w:t>
            </w:r>
          </w:p>
        </w:tc>
      </w:tr>
      <w:tr w:rsidR="00E040FD" w14:paraId="10CFA4E1" w14:textId="77777777">
        <w:trPr>
          <w:trHeight w:val="420"/>
        </w:trPr>
        <w:tc>
          <w:tcPr>
            <w:tcW w:w="1135" w:type="dxa"/>
            <w:shd w:val="clear" w:color="auto" w:fill="C4EFCE"/>
            <w:vAlign w:val="center"/>
            <w:hideMark/>
          </w:tcPr>
          <w:p w14:paraId="6BA90D44" w14:textId="77777777" w:rsidR="00E040FD" w:rsidRDefault="00740D64">
            <w:pPr>
              <w:pStyle w:val="P68B1DB1-Normal7"/>
              <w:spacing w:after="0" w:line="240" w:lineRule="auto"/>
              <w:jc w:val="center"/>
              <w:rPr>
                <w:rFonts w:eastAsia="Times New Roman" w:cs="Calibri"/>
                <w:noProof/>
              </w:rPr>
            </w:pPr>
            <w:r>
              <w:rPr>
                <w:noProof/>
              </w:rPr>
              <w:t>7.6</w:t>
            </w:r>
          </w:p>
        </w:tc>
        <w:tc>
          <w:tcPr>
            <w:tcW w:w="1276" w:type="dxa"/>
            <w:shd w:val="clear" w:color="auto" w:fill="C4EFCE"/>
            <w:noWrap/>
            <w:vAlign w:val="center"/>
            <w:hideMark/>
          </w:tcPr>
          <w:p w14:paraId="4F6EE5A3" w14:textId="77777777" w:rsidR="00E040FD" w:rsidRDefault="00740D64">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6C6C701C"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715D078" w14:textId="77777777" w:rsidR="00E040FD" w:rsidRDefault="00740D64">
            <w:pPr>
              <w:pStyle w:val="P68B1DB1-Normal8"/>
              <w:spacing w:after="0" w:line="240" w:lineRule="auto"/>
              <w:jc w:val="center"/>
              <w:rPr>
                <w:rFonts w:eastAsia="Times New Roman" w:cs="Calibri"/>
                <w:noProof/>
              </w:rPr>
            </w:pPr>
            <w:r>
              <w:rPr>
                <w:noProof/>
              </w:rPr>
              <w:t>Avtal undertecknat för 1 års vägprojekt</w:t>
            </w:r>
          </w:p>
        </w:tc>
        <w:tc>
          <w:tcPr>
            <w:tcW w:w="1275" w:type="dxa"/>
            <w:shd w:val="clear" w:color="auto" w:fill="C4EFCE"/>
            <w:noWrap/>
            <w:vAlign w:val="center"/>
            <w:hideMark/>
          </w:tcPr>
          <w:p w14:paraId="3AEB4D75" w14:textId="77777777" w:rsidR="00E040FD" w:rsidRDefault="00740D64">
            <w:pPr>
              <w:pStyle w:val="P68B1DB1-Normal8"/>
              <w:spacing w:after="0" w:line="240" w:lineRule="auto"/>
              <w:jc w:val="center"/>
              <w:rPr>
                <w:rFonts w:eastAsia="Times New Roman" w:cs="Calibri"/>
                <w:noProof/>
              </w:rPr>
            </w:pPr>
            <w:r>
              <w:rPr>
                <w:noProof/>
              </w:rPr>
              <w:t>Avtal undertecknat med avtalsparten för vägprojektet</w:t>
            </w:r>
          </w:p>
        </w:tc>
        <w:tc>
          <w:tcPr>
            <w:tcW w:w="993" w:type="dxa"/>
            <w:shd w:val="clear" w:color="auto" w:fill="C4EFCE"/>
            <w:noWrap/>
            <w:vAlign w:val="center"/>
            <w:hideMark/>
          </w:tcPr>
          <w:p w14:paraId="70074E61"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356C703" w14:textId="77777777" w:rsidR="00E040FD" w:rsidRDefault="00740D6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31DADF6"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74A7711C"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56AB2898" w14:textId="77777777" w:rsidR="00E040FD" w:rsidRDefault="00740D6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0518505D" w14:textId="77777777" w:rsidR="00E040FD" w:rsidRDefault="00740D64">
            <w:pPr>
              <w:pStyle w:val="P68B1DB1-Normal8"/>
              <w:spacing w:after="0" w:line="240" w:lineRule="auto"/>
              <w:jc w:val="both"/>
              <w:rPr>
                <w:rFonts w:eastAsia="Times New Roman" w:cs="Calibri"/>
                <w:noProof/>
              </w:rPr>
            </w:pPr>
            <w:r>
              <w:rPr>
                <w:noProof/>
              </w:rPr>
              <w:t>Parternas underskrift av den handling som reglerar deras skyldigheter i samband med utförandet av bygg- och anläggningsarbetena efter ett offentligt upphandlingsförfarande.</w:t>
            </w:r>
          </w:p>
        </w:tc>
      </w:tr>
      <w:tr w:rsidR="00E040FD" w14:paraId="0CFF3903" w14:textId="77777777">
        <w:trPr>
          <w:trHeight w:val="420"/>
        </w:trPr>
        <w:tc>
          <w:tcPr>
            <w:tcW w:w="1135" w:type="dxa"/>
            <w:shd w:val="clear" w:color="auto" w:fill="C4EFCE"/>
            <w:vAlign w:val="center"/>
            <w:hideMark/>
          </w:tcPr>
          <w:p w14:paraId="65D7863A" w14:textId="77777777" w:rsidR="00E040FD" w:rsidRDefault="00740D64">
            <w:pPr>
              <w:pStyle w:val="P68B1DB1-Normal7"/>
              <w:spacing w:after="0" w:line="240" w:lineRule="auto"/>
              <w:jc w:val="center"/>
              <w:rPr>
                <w:rFonts w:eastAsia="Times New Roman" w:cs="Calibri"/>
                <w:noProof/>
              </w:rPr>
            </w:pPr>
            <w:r>
              <w:rPr>
                <w:noProof/>
              </w:rPr>
              <w:t>7.7</w:t>
            </w:r>
          </w:p>
        </w:tc>
        <w:tc>
          <w:tcPr>
            <w:tcW w:w="1276" w:type="dxa"/>
            <w:shd w:val="clear" w:color="auto" w:fill="C4EFCE"/>
            <w:noWrap/>
            <w:vAlign w:val="center"/>
            <w:hideMark/>
          </w:tcPr>
          <w:p w14:paraId="184546E3" w14:textId="77777777" w:rsidR="00E040FD" w:rsidRDefault="00740D64">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34BD2C29"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853F57D" w14:textId="77777777" w:rsidR="00E040FD" w:rsidRDefault="00740D64">
            <w:pPr>
              <w:pStyle w:val="P68B1DB1-Normal8"/>
              <w:spacing w:after="0" w:line="240" w:lineRule="auto"/>
              <w:jc w:val="center"/>
              <w:rPr>
                <w:rFonts w:eastAsia="Times New Roman" w:cs="Calibri"/>
                <w:noProof/>
              </w:rPr>
            </w:pPr>
            <w:r>
              <w:rPr>
                <w:noProof/>
              </w:rPr>
              <w:t>Kontrakt undertecknat för 2 vägprojekt</w:t>
            </w:r>
          </w:p>
        </w:tc>
        <w:tc>
          <w:tcPr>
            <w:tcW w:w="1275" w:type="dxa"/>
            <w:shd w:val="clear" w:color="auto" w:fill="C4EFCE"/>
            <w:noWrap/>
            <w:vAlign w:val="center"/>
            <w:hideMark/>
          </w:tcPr>
          <w:p w14:paraId="27FD9906" w14:textId="77777777" w:rsidR="00E040FD" w:rsidRDefault="00740D64">
            <w:pPr>
              <w:pStyle w:val="P68B1DB1-Normal8"/>
              <w:spacing w:after="0" w:line="240" w:lineRule="auto"/>
              <w:jc w:val="center"/>
              <w:rPr>
                <w:rFonts w:eastAsia="Times New Roman" w:cs="Calibri"/>
                <w:noProof/>
              </w:rPr>
            </w:pPr>
            <w:r>
              <w:rPr>
                <w:noProof/>
              </w:rPr>
              <w:t>Kontrakt undertecknat med entreprenör för vägprojekt</w:t>
            </w:r>
          </w:p>
        </w:tc>
        <w:tc>
          <w:tcPr>
            <w:tcW w:w="993" w:type="dxa"/>
            <w:shd w:val="clear" w:color="auto" w:fill="C4EFCE"/>
            <w:noWrap/>
            <w:vAlign w:val="center"/>
            <w:hideMark/>
          </w:tcPr>
          <w:p w14:paraId="46E44223"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DCA1314" w14:textId="77777777" w:rsidR="00E040FD" w:rsidRDefault="00740D6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0C4AC25B"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B0ED99A"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73BEB9CA" w14:textId="77777777" w:rsidR="00E040FD" w:rsidRDefault="00740D6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1C5F3EF7" w14:textId="77777777" w:rsidR="00E040FD" w:rsidRDefault="00740D64">
            <w:pPr>
              <w:pStyle w:val="P68B1DB1-Normal8"/>
              <w:spacing w:after="0" w:line="240" w:lineRule="auto"/>
              <w:jc w:val="both"/>
              <w:rPr>
                <w:rFonts w:eastAsia="Times New Roman" w:cs="Calibri"/>
                <w:noProof/>
              </w:rPr>
            </w:pPr>
            <w:r>
              <w:rPr>
                <w:noProof/>
              </w:rPr>
              <w:t>Parternas underskrift av den handling som reglerar deras skyldigheter i samband med utförandet av bygg- och anläggningsarbetena efter ett offentligt upphandlingsförfarande.</w:t>
            </w:r>
          </w:p>
        </w:tc>
      </w:tr>
      <w:tr w:rsidR="00E040FD" w14:paraId="265A481C" w14:textId="77777777">
        <w:trPr>
          <w:trHeight w:val="420"/>
        </w:trPr>
        <w:tc>
          <w:tcPr>
            <w:tcW w:w="1135" w:type="dxa"/>
            <w:shd w:val="clear" w:color="auto" w:fill="C4EFCE"/>
            <w:vAlign w:val="center"/>
            <w:hideMark/>
          </w:tcPr>
          <w:p w14:paraId="5CB9830A" w14:textId="77777777" w:rsidR="00E040FD" w:rsidRDefault="00740D64">
            <w:pPr>
              <w:pStyle w:val="P68B1DB1-Normal7"/>
              <w:spacing w:after="0" w:line="240" w:lineRule="auto"/>
              <w:jc w:val="center"/>
              <w:rPr>
                <w:rFonts w:eastAsia="Times New Roman" w:cs="Calibri"/>
                <w:noProof/>
              </w:rPr>
            </w:pPr>
            <w:r>
              <w:rPr>
                <w:noProof/>
              </w:rPr>
              <w:t>7.8</w:t>
            </w:r>
          </w:p>
        </w:tc>
        <w:tc>
          <w:tcPr>
            <w:tcW w:w="1276" w:type="dxa"/>
            <w:shd w:val="clear" w:color="auto" w:fill="C4EFCE"/>
            <w:noWrap/>
            <w:vAlign w:val="center"/>
            <w:hideMark/>
          </w:tcPr>
          <w:p w14:paraId="53E4F8B7" w14:textId="77777777" w:rsidR="00E040FD" w:rsidRDefault="00740D64">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12265568"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3A730D9" w14:textId="77777777" w:rsidR="00E040FD" w:rsidRDefault="00740D64">
            <w:pPr>
              <w:pStyle w:val="P68B1DB1-Normal8"/>
              <w:spacing w:after="0" w:line="240" w:lineRule="auto"/>
              <w:jc w:val="center"/>
              <w:rPr>
                <w:rFonts w:eastAsia="Times New Roman" w:cs="Calibri"/>
                <w:noProof/>
              </w:rPr>
            </w:pPr>
            <w:r>
              <w:rPr>
                <w:noProof/>
              </w:rPr>
              <w:t>Vägar som har byggts eller renoverats</w:t>
            </w:r>
          </w:p>
        </w:tc>
        <w:tc>
          <w:tcPr>
            <w:tcW w:w="1275" w:type="dxa"/>
            <w:shd w:val="clear" w:color="auto" w:fill="C4EFCE"/>
            <w:noWrap/>
            <w:vAlign w:val="center"/>
            <w:hideMark/>
          </w:tcPr>
          <w:p w14:paraId="2009EC45"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7B9DB13" w14:textId="77777777" w:rsidR="00E040FD" w:rsidRDefault="00740D64">
            <w:pPr>
              <w:pStyle w:val="P68B1DB1-Normal8"/>
              <w:spacing w:after="0" w:line="240" w:lineRule="auto"/>
              <w:jc w:val="center"/>
              <w:rPr>
                <w:rFonts w:eastAsia="Times New Roman" w:cs="Calibri"/>
                <w:noProof/>
              </w:rPr>
            </w:pPr>
            <w:r>
              <w:rPr>
                <w:noProof/>
              </w:rPr>
              <w:t>km</w:t>
            </w:r>
          </w:p>
        </w:tc>
        <w:tc>
          <w:tcPr>
            <w:tcW w:w="992" w:type="dxa"/>
            <w:shd w:val="clear" w:color="auto" w:fill="C4EFCE"/>
            <w:noWrap/>
            <w:vAlign w:val="center"/>
            <w:hideMark/>
          </w:tcPr>
          <w:p w14:paraId="701630BB"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E58650E" w14:textId="77777777" w:rsidR="00E040FD" w:rsidRDefault="00740D64">
            <w:pPr>
              <w:pStyle w:val="P68B1DB1-Normal8"/>
              <w:spacing w:after="0" w:line="240" w:lineRule="auto"/>
              <w:jc w:val="center"/>
              <w:rPr>
                <w:rFonts w:eastAsia="Times New Roman" w:cs="Calibri"/>
                <w:noProof/>
              </w:rPr>
            </w:pPr>
            <w:r>
              <w:rPr>
                <w:noProof/>
              </w:rPr>
              <w:t>111</w:t>
            </w:r>
          </w:p>
        </w:tc>
        <w:tc>
          <w:tcPr>
            <w:tcW w:w="567" w:type="dxa"/>
            <w:shd w:val="clear" w:color="auto" w:fill="C4EFCE"/>
            <w:noWrap/>
            <w:vAlign w:val="center"/>
            <w:hideMark/>
          </w:tcPr>
          <w:p w14:paraId="40298BF3"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14EAB628"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38015658" w14:textId="77777777" w:rsidR="00E040FD" w:rsidRDefault="00740D64">
            <w:pPr>
              <w:pStyle w:val="P68B1DB1-Normal8"/>
              <w:spacing w:after="0" w:line="240" w:lineRule="auto"/>
              <w:jc w:val="both"/>
              <w:rPr>
                <w:rFonts w:eastAsia="Times New Roman" w:cs="Calibri"/>
                <w:noProof/>
              </w:rPr>
            </w:pPr>
            <w:r>
              <w:rPr>
                <w:noProof/>
              </w:rPr>
              <w:t>Km vägar som har byggts eller sanerats i enlighet med de tekniska specifikationerna i anbudet och med fullständigt införlivande av alla resultat och villkor från miljökonsekvensbedömningen.</w:t>
            </w:r>
          </w:p>
        </w:tc>
      </w:tr>
      <w:tr w:rsidR="00E040FD" w14:paraId="2261DAAD" w14:textId="77777777">
        <w:trPr>
          <w:trHeight w:val="420"/>
        </w:trPr>
        <w:tc>
          <w:tcPr>
            <w:tcW w:w="1135" w:type="dxa"/>
            <w:shd w:val="clear" w:color="auto" w:fill="C4EFCE"/>
            <w:vAlign w:val="center"/>
            <w:hideMark/>
          </w:tcPr>
          <w:p w14:paraId="4034FC64" w14:textId="77777777" w:rsidR="00E040FD" w:rsidRDefault="00740D64">
            <w:pPr>
              <w:pStyle w:val="P68B1DB1-Normal7"/>
              <w:spacing w:after="0" w:line="240" w:lineRule="auto"/>
              <w:jc w:val="center"/>
              <w:rPr>
                <w:rFonts w:eastAsia="Times New Roman" w:cs="Calibri"/>
                <w:noProof/>
              </w:rPr>
            </w:pPr>
            <w:r>
              <w:rPr>
                <w:noProof/>
              </w:rPr>
              <w:t>7.13</w:t>
            </w:r>
          </w:p>
        </w:tc>
        <w:tc>
          <w:tcPr>
            <w:tcW w:w="1276" w:type="dxa"/>
            <w:shd w:val="clear" w:color="auto" w:fill="C4EFCE"/>
            <w:noWrap/>
            <w:vAlign w:val="center"/>
            <w:hideMark/>
          </w:tcPr>
          <w:p w14:paraId="4BC36517" w14:textId="77777777" w:rsidR="00E040FD" w:rsidRDefault="00740D64">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2209F840"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385815E" w14:textId="77777777" w:rsidR="00E040FD" w:rsidRDefault="00740D64">
            <w:pPr>
              <w:pStyle w:val="P68B1DB1-Normal8"/>
              <w:spacing w:after="0" w:line="240" w:lineRule="auto"/>
              <w:jc w:val="center"/>
              <w:rPr>
                <w:rFonts w:eastAsia="Times New Roman" w:cs="Calibri"/>
                <w:noProof/>
              </w:rPr>
            </w:pPr>
            <w:r>
              <w:rPr>
                <w:noProof/>
              </w:rPr>
              <w:t>Kontrakt undertecknat för 2 vägprojekt</w:t>
            </w:r>
          </w:p>
        </w:tc>
        <w:tc>
          <w:tcPr>
            <w:tcW w:w="1275" w:type="dxa"/>
            <w:shd w:val="clear" w:color="auto" w:fill="C4EFCE"/>
            <w:noWrap/>
            <w:vAlign w:val="center"/>
            <w:hideMark/>
          </w:tcPr>
          <w:p w14:paraId="63C0F659" w14:textId="77777777" w:rsidR="00E040FD" w:rsidRDefault="00740D64">
            <w:pPr>
              <w:pStyle w:val="P68B1DB1-Normal8"/>
              <w:spacing w:after="0" w:line="240" w:lineRule="auto"/>
              <w:jc w:val="center"/>
              <w:rPr>
                <w:rFonts w:eastAsia="Times New Roman" w:cs="Calibri"/>
                <w:noProof/>
              </w:rPr>
            </w:pPr>
            <w:r>
              <w:rPr>
                <w:noProof/>
              </w:rPr>
              <w:t xml:space="preserve">Kontrakt undertecknat med entreprenör för vägprojekt </w:t>
            </w:r>
          </w:p>
        </w:tc>
        <w:tc>
          <w:tcPr>
            <w:tcW w:w="993" w:type="dxa"/>
            <w:shd w:val="clear" w:color="auto" w:fill="C4EFCE"/>
            <w:noWrap/>
            <w:vAlign w:val="center"/>
            <w:hideMark/>
          </w:tcPr>
          <w:p w14:paraId="7CB79044"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9267C09" w14:textId="77777777" w:rsidR="00E040FD" w:rsidRDefault="00740D6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44713E82"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777E7E1"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5E0776BB" w14:textId="77777777" w:rsidR="00E040FD" w:rsidRDefault="00740D6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6DA65D9A" w14:textId="77777777" w:rsidR="00E040FD" w:rsidRDefault="00740D64">
            <w:pPr>
              <w:pStyle w:val="P68B1DB1-Normal8"/>
              <w:spacing w:after="0" w:line="240" w:lineRule="auto"/>
              <w:jc w:val="both"/>
              <w:rPr>
                <w:rFonts w:eastAsia="Times New Roman" w:cs="Calibri"/>
                <w:noProof/>
              </w:rPr>
            </w:pPr>
            <w:r>
              <w:rPr>
                <w:noProof/>
              </w:rPr>
              <w:t>Parternas underskrift av den handling som reglerar deras skyldigheter i samband med utförandet av byggentreprenaden, till ett pris, efter ett offentligt upphandlingsförfarande.</w:t>
            </w:r>
          </w:p>
        </w:tc>
      </w:tr>
      <w:tr w:rsidR="00E040FD" w14:paraId="0682BEE4" w14:textId="77777777">
        <w:trPr>
          <w:trHeight w:val="401"/>
        </w:trPr>
        <w:tc>
          <w:tcPr>
            <w:tcW w:w="1135" w:type="dxa"/>
            <w:shd w:val="clear" w:color="auto" w:fill="C4EFCE"/>
            <w:vAlign w:val="center"/>
            <w:hideMark/>
          </w:tcPr>
          <w:p w14:paraId="1CA58A5D" w14:textId="77777777" w:rsidR="00E040FD" w:rsidRDefault="00740D64">
            <w:pPr>
              <w:pStyle w:val="P68B1DB1-Normal7"/>
              <w:spacing w:after="0" w:line="240" w:lineRule="auto"/>
              <w:jc w:val="center"/>
              <w:rPr>
                <w:rFonts w:eastAsia="Times New Roman" w:cs="Calibri"/>
                <w:noProof/>
              </w:rPr>
            </w:pPr>
            <w:r>
              <w:rPr>
                <w:noProof/>
              </w:rPr>
              <w:t>7.14</w:t>
            </w:r>
          </w:p>
        </w:tc>
        <w:tc>
          <w:tcPr>
            <w:tcW w:w="1276" w:type="dxa"/>
            <w:shd w:val="clear" w:color="auto" w:fill="C4EFCE"/>
            <w:noWrap/>
            <w:vAlign w:val="center"/>
            <w:hideMark/>
          </w:tcPr>
          <w:p w14:paraId="15B9C650" w14:textId="77777777" w:rsidR="00E040FD" w:rsidRDefault="00740D64">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12F9B6B5"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0E2EC1A" w14:textId="77777777" w:rsidR="00E040FD" w:rsidRDefault="00740D64">
            <w:pPr>
              <w:pStyle w:val="P68B1DB1-Normal8"/>
              <w:spacing w:after="0" w:line="240" w:lineRule="auto"/>
              <w:jc w:val="center"/>
              <w:rPr>
                <w:rFonts w:eastAsia="Times New Roman" w:cs="Calibri"/>
                <w:noProof/>
              </w:rPr>
            </w:pPr>
            <w:r>
              <w:rPr>
                <w:noProof/>
              </w:rPr>
              <w:t>Kontrakt undertecknat för 8 vägprojekt</w:t>
            </w:r>
          </w:p>
        </w:tc>
        <w:tc>
          <w:tcPr>
            <w:tcW w:w="1275" w:type="dxa"/>
            <w:shd w:val="clear" w:color="auto" w:fill="C4EFCE"/>
            <w:noWrap/>
            <w:vAlign w:val="center"/>
            <w:hideMark/>
          </w:tcPr>
          <w:p w14:paraId="6C884EF6" w14:textId="77777777" w:rsidR="00E040FD" w:rsidRDefault="00740D64">
            <w:pPr>
              <w:pStyle w:val="P68B1DB1-Normal8"/>
              <w:spacing w:after="0" w:line="240" w:lineRule="auto"/>
              <w:jc w:val="center"/>
              <w:rPr>
                <w:rFonts w:eastAsia="Times New Roman" w:cs="Calibri"/>
                <w:noProof/>
              </w:rPr>
            </w:pPr>
            <w:r>
              <w:rPr>
                <w:noProof/>
              </w:rPr>
              <w:t xml:space="preserve">Kontrakt undertecknat med entreprenören för vägprojekten </w:t>
            </w:r>
          </w:p>
        </w:tc>
        <w:tc>
          <w:tcPr>
            <w:tcW w:w="993" w:type="dxa"/>
            <w:shd w:val="clear" w:color="auto" w:fill="C4EFCE"/>
            <w:noWrap/>
            <w:vAlign w:val="center"/>
            <w:hideMark/>
          </w:tcPr>
          <w:p w14:paraId="444A2DB0"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CC793F9" w14:textId="77777777" w:rsidR="00E040FD" w:rsidRDefault="00740D6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3F84ABE5"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5FC35485" w14:textId="1E6AD43C"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638E5478" w14:textId="77777777" w:rsidR="00E040FD" w:rsidRDefault="00740D64">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7927CA24" w14:textId="1065D024" w:rsidR="00E040FD" w:rsidRDefault="00740D64">
            <w:pPr>
              <w:pStyle w:val="P68B1DB1-Normal8"/>
              <w:spacing w:after="0" w:line="240" w:lineRule="auto"/>
              <w:jc w:val="both"/>
              <w:rPr>
                <w:rFonts w:eastAsia="Times New Roman" w:cs="Calibri"/>
                <w:noProof/>
              </w:rPr>
            </w:pPr>
            <w:r>
              <w:rPr>
                <w:noProof/>
              </w:rPr>
              <w:t xml:space="preserve">Parternas underskrift av den handling som reglerar deras skyldigheter i samband med utförandet av byggentreprenaden, till ett pris, efter ett offentligt upphandlingsförfarande. </w:t>
            </w:r>
          </w:p>
        </w:tc>
      </w:tr>
      <w:tr w:rsidR="00E040FD" w14:paraId="7B5B5CC1" w14:textId="77777777">
        <w:trPr>
          <w:trHeight w:val="420"/>
        </w:trPr>
        <w:tc>
          <w:tcPr>
            <w:tcW w:w="1135" w:type="dxa"/>
            <w:shd w:val="clear" w:color="auto" w:fill="C4EFCE"/>
            <w:vAlign w:val="center"/>
            <w:hideMark/>
          </w:tcPr>
          <w:p w14:paraId="700C397C" w14:textId="77777777" w:rsidR="00E040FD" w:rsidRDefault="00740D64">
            <w:pPr>
              <w:pStyle w:val="P68B1DB1-Normal7"/>
              <w:spacing w:after="0" w:line="240" w:lineRule="auto"/>
              <w:jc w:val="center"/>
              <w:rPr>
                <w:rFonts w:eastAsia="Times New Roman" w:cs="Calibri"/>
                <w:noProof/>
              </w:rPr>
            </w:pPr>
            <w:r>
              <w:rPr>
                <w:noProof/>
              </w:rPr>
              <w:t>7.15</w:t>
            </w:r>
          </w:p>
        </w:tc>
        <w:tc>
          <w:tcPr>
            <w:tcW w:w="1276" w:type="dxa"/>
            <w:shd w:val="clear" w:color="auto" w:fill="C4EFCE"/>
            <w:noWrap/>
            <w:vAlign w:val="center"/>
            <w:hideMark/>
          </w:tcPr>
          <w:p w14:paraId="20063F9D" w14:textId="77777777" w:rsidR="00E040FD" w:rsidRDefault="00740D64">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2AC31D5D"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A4A3C86" w14:textId="77777777" w:rsidR="00E040FD" w:rsidRDefault="00740D64">
            <w:pPr>
              <w:pStyle w:val="P68B1DB1-Normal8"/>
              <w:spacing w:after="0" w:line="240" w:lineRule="auto"/>
              <w:jc w:val="center"/>
              <w:rPr>
                <w:rFonts w:eastAsia="Times New Roman" w:cs="Calibri"/>
                <w:noProof/>
              </w:rPr>
            </w:pPr>
            <w:r>
              <w:rPr>
                <w:noProof/>
              </w:rPr>
              <w:t>Vägar som har byggts eller renoverats</w:t>
            </w:r>
          </w:p>
        </w:tc>
        <w:tc>
          <w:tcPr>
            <w:tcW w:w="1275" w:type="dxa"/>
            <w:shd w:val="clear" w:color="auto" w:fill="C4EFCE"/>
            <w:noWrap/>
            <w:vAlign w:val="center"/>
            <w:hideMark/>
          </w:tcPr>
          <w:p w14:paraId="2D009BF3"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B6B86C2" w14:textId="77777777" w:rsidR="00E040FD" w:rsidRDefault="00740D64">
            <w:pPr>
              <w:pStyle w:val="P68B1DB1-Normal8"/>
              <w:spacing w:after="0" w:line="240" w:lineRule="auto"/>
              <w:jc w:val="center"/>
              <w:rPr>
                <w:rFonts w:eastAsia="Times New Roman" w:cs="Calibri"/>
                <w:noProof/>
              </w:rPr>
            </w:pPr>
            <w:r>
              <w:rPr>
                <w:noProof/>
              </w:rPr>
              <w:t>km</w:t>
            </w:r>
          </w:p>
        </w:tc>
        <w:tc>
          <w:tcPr>
            <w:tcW w:w="992" w:type="dxa"/>
            <w:shd w:val="clear" w:color="auto" w:fill="C4EFCE"/>
            <w:noWrap/>
            <w:vAlign w:val="center"/>
            <w:hideMark/>
          </w:tcPr>
          <w:p w14:paraId="371D6CE9"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EE7F577" w14:textId="77777777" w:rsidR="00E040FD" w:rsidRDefault="00740D64">
            <w:pPr>
              <w:pStyle w:val="P68B1DB1-Normal8"/>
              <w:spacing w:after="0" w:line="240" w:lineRule="auto"/>
              <w:jc w:val="center"/>
              <w:rPr>
                <w:rFonts w:eastAsia="Times New Roman" w:cs="Calibri"/>
                <w:noProof/>
              </w:rPr>
            </w:pPr>
            <w:r>
              <w:rPr>
                <w:noProof/>
              </w:rPr>
              <w:t>34.38</w:t>
            </w:r>
          </w:p>
        </w:tc>
        <w:tc>
          <w:tcPr>
            <w:tcW w:w="567" w:type="dxa"/>
            <w:shd w:val="clear" w:color="auto" w:fill="C4EFCE"/>
            <w:noWrap/>
            <w:vAlign w:val="center"/>
            <w:hideMark/>
          </w:tcPr>
          <w:p w14:paraId="23C0D9BB" w14:textId="035CC7DC"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386DAC62" w14:textId="196BF008" w:rsidR="00E040FD" w:rsidRDefault="00740D6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21595695" w14:textId="77777777" w:rsidR="00E040FD" w:rsidRDefault="00740D64">
            <w:pPr>
              <w:pStyle w:val="P68B1DB1-Normal8"/>
              <w:spacing w:after="0" w:line="240" w:lineRule="auto"/>
              <w:jc w:val="both"/>
              <w:rPr>
                <w:rFonts w:eastAsia="Times New Roman" w:cs="Calibri"/>
                <w:noProof/>
              </w:rPr>
            </w:pPr>
            <w:r>
              <w:rPr>
                <w:noProof/>
              </w:rPr>
              <w:t>Km vägar som har byggts eller sanerats i enlighet med de tekniska specifikationerna i anbudet och med fullständigt införlivande av alla resultat och villkor från miljökonsekvensbedömningen.</w:t>
            </w:r>
          </w:p>
        </w:tc>
      </w:tr>
    </w:tbl>
    <w:p w14:paraId="215FEBDE" w14:textId="77777777" w:rsidR="00E040FD" w:rsidRDefault="00E040FD">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E040FD" w:rsidSect="00E00EDD">
          <w:headerReference w:type="even" r:id="rId150"/>
          <w:headerReference w:type="default" r:id="rId151"/>
          <w:footerReference w:type="even" r:id="rId152"/>
          <w:footerReference w:type="default" r:id="rId153"/>
          <w:headerReference w:type="first" r:id="rId154"/>
          <w:footerReference w:type="first" r:id="rId155"/>
          <w:pgSz w:w="16839" w:h="11907" w:orient="landscape"/>
          <w:pgMar w:top="1134" w:right="1134" w:bottom="1134" w:left="1134" w:header="567" w:footer="567" w:gutter="0"/>
          <w:cols w:space="720"/>
          <w:docGrid w:linePitch="360"/>
        </w:sectPr>
      </w:pPr>
    </w:p>
    <w:p w14:paraId="5FFBA500" w14:textId="77777777" w:rsidR="00E040FD" w:rsidRDefault="00740D64">
      <w:pPr>
        <w:pStyle w:val="P68B1DB1-Normal3"/>
        <w:keepNext/>
        <w:spacing w:before="240" w:after="0" w:line="259" w:lineRule="auto"/>
        <w:ind w:left="851"/>
        <w:jc w:val="both"/>
        <w:outlineLvl w:val="3"/>
        <w:rPr>
          <w:rFonts w:eastAsiaTheme="minorEastAsia" w:cs="Times New Roman"/>
          <w:noProof/>
        </w:rPr>
      </w:pPr>
      <w:r>
        <w:rPr>
          <w:noProof/>
        </w:rPr>
        <w:t>G.3. Beskrivning av reformerna och investeringarna för lånet</w:t>
      </w:r>
    </w:p>
    <w:p w14:paraId="5DC9AA23"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RE-C07-i03: Gränsöverskridande länkar</w:t>
      </w:r>
    </w:p>
    <w:p w14:paraId="1C90E8F1" w14:textId="77777777" w:rsidR="00E040FD" w:rsidRDefault="00740D64">
      <w:pPr>
        <w:pStyle w:val="P68B1DB1-Normal4"/>
        <w:keepNext/>
        <w:spacing w:before="40" w:after="0" w:line="259" w:lineRule="auto"/>
        <w:jc w:val="both"/>
        <w:rPr>
          <w:rFonts w:eastAsiaTheme="minorEastAsia" w:cs="Times New Roman"/>
          <w:noProof/>
        </w:rPr>
      </w:pPr>
      <w:r>
        <w:rPr>
          <w:noProof/>
        </w:rPr>
        <w:t>Syftet med åtgärden är att stimulera utvecklingen av gränsöverskridande rörlighet och förbättra företagens konkurrenskraft, t.ex. genom att främja arbetskraftens rörlighet. Förstärkningen av korridorer med hög kapacitet syftar också till att möjliggöra en gemensam användning av infrastruktur, såsom höghastighetsjärnvägslinjen i Sanabria eller flygplatsen i Bragança, och att förbättra trafiksäkerheten.</w:t>
      </w:r>
    </w:p>
    <w:p w14:paraId="7E45326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bestå i skapande och uppgradering av väginfrastruktur för att stärka de gränsöverskridande förbindelserna med Spanien. </w:t>
      </w:r>
    </w:p>
    <w:p w14:paraId="3FAC6760"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I synnerhet säkerställs efterlevnaden av principen om att inte orsaka betydande skada genom investering C07 – I0 (Utvidgning av nätet för laddning av elfordon) som en kompletterande åtgärd. Alla vägprojekt som kan antas medföra betydande negativ miljöpåverkan ska bli föremål för en miljökonsekvensbedömning (MKB) i enlighet med direktiv 2011/92/EU, för att säkerställa att efterlevnaden av principen om att inte orsaka betydande skada integreras i projektet och strikt efterlevs under konstruktions-, drifts- och avvecklingsstadierna av infrastrukturen. </w:t>
      </w:r>
    </w:p>
    <w:p w14:paraId="54069761" w14:textId="73841A5B" w:rsidR="00E040FD" w:rsidRDefault="00740D64">
      <w:pPr>
        <w:pStyle w:val="P68B1DB1-Normal4"/>
        <w:keepNext/>
        <w:spacing w:before="40" w:after="0" w:line="259" w:lineRule="auto"/>
        <w:jc w:val="both"/>
        <w:rPr>
          <w:rFonts w:eastAsiaTheme="minorEastAsia" w:cs="Times New Roman"/>
          <w:noProof/>
        </w:rPr>
      </w:pPr>
      <w:r>
        <w:rPr>
          <w:noProof/>
        </w:rPr>
        <w:t>Av de angivna vägarna ska 30 kilometer byggas eller uppgraderas enligt följande:</w:t>
      </w:r>
    </w:p>
    <w:p w14:paraId="1BEA4559" w14:textId="77777777" w:rsidR="00E040FD" w:rsidRDefault="00740D64">
      <w:pPr>
        <w:pStyle w:val="P68B1DB1-Normal4"/>
        <w:keepNext/>
        <w:numPr>
          <w:ilvl w:val="0"/>
          <w:numId w:val="23"/>
        </w:numPr>
        <w:spacing w:before="40" w:after="160" w:line="259" w:lineRule="auto"/>
        <w:contextualSpacing/>
        <w:jc w:val="both"/>
        <w:rPr>
          <w:rFonts w:eastAsiaTheme="minorEastAsia" w:cs="Times New Roman"/>
          <w:noProof/>
        </w:rPr>
      </w:pPr>
      <w:r>
        <w:rPr>
          <w:noProof/>
        </w:rPr>
        <w:t>EN103: Vinhais/Bragança (förbifartsled).</w:t>
      </w:r>
    </w:p>
    <w:p w14:paraId="05732A66" w14:textId="77777777" w:rsidR="00E040FD" w:rsidRDefault="00740D64">
      <w:pPr>
        <w:pStyle w:val="P68B1DB1-Normal4"/>
        <w:keepNext/>
        <w:numPr>
          <w:ilvl w:val="0"/>
          <w:numId w:val="23"/>
        </w:numPr>
        <w:spacing w:before="40" w:after="160" w:line="259" w:lineRule="auto"/>
        <w:contextualSpacing/>
        <w:jc w:val="both"/>
        <w:rPr>
          <w:rFonts w:eastAsiaTheme="minorEastAsia" w:cs="Times New Roman"/>
          <w:noProof/>
        </w:rPr>
      </w:pPr>
      <w:r>
        <w:rPr>
          <w:noProof/>
        </w:rPr>
        <w:t>Länk från Bragança till Puebla de Sanabria (Spanien).</w:t>
      </w:r>
    </w:p>
    <w:p w14:paraId="2E2E2DF9" w14:textId="77777777" w:rsidR="00E040FD" w:rsidRDefault="00740D64">
      <w:pPr>
        <w:pStyle w:val="P68B1DB1-Normal4"/>
        <w:keepNext/>
        <w:numPr>
          <w:ilvl w:val="0"/>
          <w:numId w:val="23"/>
        </w:numPr>
        <w:spacing w:before="40" w:after="160" w:line="259" w:lineRule="auto"/>
        <w:contextualSpacing/>
        <w:jc w:val="both"/>
        <w:rPr>
          <w:rFonts w:eastAsiaTheme="minorEastAsia" w:cs="Times New Roman"/>
          <w:noProof/>
        </w:rPr>
      </w:pPr>
      <w:r>
        <w:rPr>
          <w:noProof/>
        </w:rPr>
        <w:t>Internationell bro över floden Sever.</w:t>
      </w:r>
    </w:p>
    <w:p w14:paraId="3CA675A9" w14:textId="77777777" w:rsidR="00E040FD" w:rsidRDefault="00740D64">
      <w:pPr>
        <w:pStyle w:val="P68B1DB1-Normal4"/>
        <w:keepNext/>
        <w:numPr>
          <w:ilvl w:val="0"/>
          <w:numId w:val="23"/>
        </w:numPr>
        <w:spacing w:before="40" w:after="160" w:line="259" w:lineRule="auto"/>
        <w:contextualSpacing/>
        <w:jc w:val="both"/>
        <w:rPr>
          <w:rFonts w:eastAsiaTheme="minorEastAsia" w:cs="Times New Roman"/>
          <w:noProof/>
        </w:rPr>
      </w:pPr>
      <w:r>
        <w:rPr>
          <w:noProof/>
        </w:rPr>
        <w:t>Bron Alcoutim – Saluncar de Guadiana (Spanien).</w:t>
      </w:r>
    </w:p>
    <w:p w14:paraId="58FCA3D1"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6F257771"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RE-C07-i04: Mottagandeområden för företag – Vägtillgänglighet</w:t>
      </w:r>
    </w:p>
    <w:p w14:paraId="0B64272F" w14:textId="77777777" w:rsidR="00E040FD" w:rsidRDefault="00740D64">
      <w:pPr>
        <w:pStyle w:val="P68B1DB1-Normal4"/>
        <w:keepNext/>
        <w:spacing w:before="40" w:after="0" w:line="259" w:lineRule="auto"/>
        <w:jc w:val="both"/>
        <w:rPr>
          <w:rFonts w:eastAsiaTheme="minorEastAsia" w:cs="Times New Roman"/>
          <w:noProof/>
        </w:rPr>
      </w:pPr>
      <w:r>
        <w:rPr>
          <w:noProof/>
        </w:rPr>
        <w:t>Syftet med åtgärderna är att förbättra konkurrenskraften hos företagsparker genom att förbättra vägnätsförbindelserna och bidra till återindustrialiseringen av landsbygdsområden.</w:t>
      </w:r>
    </w:p>
    <w:p w14:paraId="1C3FF6BD"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bestå av investeringar i utbyggnad och uppgradering av väginfrastruktur. Det kompletterar investeringen RE-CCT-C7-I1, som syftar till att modernisera företagsparker. </w:t>
      </w:r>
    </w:p>
    <w:p w14:paraId="5CE98122"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I synnerhet säkerställs efterlevnaden av principen om att inte orsaka betydande skada genom investering C07 – I0 (Utvidgning av nätet för laddning av elfordon) som en kompletterande åtgärd. Alla vägprojekt som kan antas medföra betydande negativ miljöpåverkan ska bli föremål för en miljökonsekvensbedömning (MKB) i enlighet med direktiv 2011/92/EU, för att säkerställa att efterlevnaden av principen om att inte orsaka betydande skada integreras i projektet och strikt efterlevs under konstruktions-, drifts- och avvecklingsstadierna av infrastrukturen. </w:t>
      </w:r>
    </w:p>
    <w:p w14:paraId="050BD257" w14:textId="4CB0EAD2" w:rsidR="00E040FD" w:rsidRDefault="00740D64">
      <w:pPr>
        <w:pStyle w:val="P68B1DB1-Normal4"/>
        <w:keepNext/>
        <w:spacing w:before="40" w:after="0" w:line="259" w:lineRule="auto"/>
        <w:jc w:val="both"/>
        <w:rPr>
          <w:rFonts w:eastAsiaTheme="minorEastAsia" w:cs="Times New Roman"/>
          <w:noProof/>
        </w:rPr>
      </w:pPr>
      <w:r>
        <w:rPr>
          <w:noProof/>
        </w:rPr>
        <w:t>Av de angivna vägarna ska 42 kilometer byggas eller uppgraderas enligt följande:</w:t>
      </w:r>
    </w:p>
    <w:p w14:paraId="3191170B"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Anslutning till industriparken Mundão: ta bort begränsningar i EN229 Viseu/Sátão. </w:t>
      </w:r>
    </w:p>
    <w:p w14:paraId="262DC6C2"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Anslutning till industriparken Mundão: En 229 – ex-IP5/Mundão industripark; </w:t>
      </w:r>
    </w:p>
    <w:p w14:paraId="452EB813"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Tillgänglighet till industriområdet Riachos. </w:t>
      </w:r>
    </w:p>
    <w:p w14:paraId="2C588233"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Tillträde för IC8 (Ansião) till Camporês företagspark. </w:t>
      </w:r>
    </w:p>
    <w:p w14:paraId="5A87BB70"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EN10–4: Setúbal/Mitrena; </w:t>
      </w:r>
    </w:p>
    <w:p w14:paraId="242E9A85"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Anslutning till industriparken Fontiscos och återställande av noden Ermida (Santo Tirso). </w:t>
      </w:r>
    </w:p>
    <w:p w14:paraId="2AEAAA33"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Anslutning av A8 till industriparken Palhagueiras i Torres Vedras. </w:t>
      </w:r>
    </w:p>
    <w:p w14:paraId="07901DC1"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Anslutning av A11 till industriområdet Cabeça de Porca (Felgueiras).</w:t>
      </w:r>
    </w:p>
    <w:p w14:paraId="3ED22392"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Anslutning av EN114 till industriområdet Rio Maior. </w:t>
      </w:r>
    </w:p>
    <w:p w14:paraId="1EAB6332"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Förbättrad tillgång till Lavagueiras affärsområde (Castelo de Paiva). </w:t>
      </w:r>
    </w:p>
    <w:p w14:paraId="30092FC2"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Förbättrad tillgänglighet till industriområdet Campo Maior.</w:t>
      </w:r>
    </w:p>
    <w:p w14:paraId="6B7A00F6"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EN248 (Arruda dos Vinhos) förbifartsleden </w:t>
      </w:r>
    </w:p>
    <w:p w14:paraId="4283D541"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Förbifartsled Aljustrel – Förbättring av tillträdet till gruvdriftsområdet och affärslokaliseringsområdet. </w:t>
      </w:r>
    </w:p>
    <w:p w14:paraId="5698EA11"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Via Tâmega av förbifartsleden i EN210 (Celorico de Basto), </w:t>
      </w:r>
    </w:p>
    <w:p w14:paraId="435864A5"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Anslutning av IC2 till industriparken Casarão. </w:t>
      </w:r>
    </w:p>
    <w:p w14:paraId="3119D8F2"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Ny korsning av Rio Lima mellan EN203 – Deocriste och EN202 – Nogueira. </w:t>
      </w:r>
    </w:p>
    <w:p w14:paraId="47A48EEF"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Rondabout i EN246 för tillträde till industriområdet Portalegre. </w:t>
      </w:r>
    </w:p>
    <w:p w14:paraId="0F0C4A8F"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Tillträde till Avepark – vetenskaps- och teknikparken i Taipas (Guimarães). </w:t>
      </w:r>
    </w:p>
    <w:p w14:paraId="6594FA5B" w14:textId="77777777" w:rsidR="00E040FD" w:rsidRDefault="00740D64">
      <w:pPr>
        <w:pStyle w:val="P68B1DB1-Normal4"/>
        <w:keepNext/>
        <w:numPr>
          <w:ilvl w:val="0"/>
          <w:numId w:val="24"/>
        </w:numPr>
        <w:spacing w:before="40" w:after="160" w:line="259" w:lineRule="auto"/>
        <w:contextualSpacing/>
        <w:jc w:val="both"/>
        <w:rPr>
          <w:rFonts w:eastAsiaTheme="minorEastAsia" w:cs="Times New Roman"/>
          <w:noProof/>
        </w:rPr>
      </w:pPr>
      <w:r>
        <w:rPr>
          <w:noProof/>
        </w:rPr>
        <w:t>Tillträde till industriområdet Vale do Neiva vid A28-noden.</w:t>
      </w:r>
    </w:p>
    <w:p w14:paraId="1F556DE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vara genomförd senast den 31 december 2025. </w:t>
      </w:r>
    </w:p>
    <w:p w14:paraId="529BEBFB"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4B27D11F"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028DDE69" w14:textId="77777777" w:rsidR="00E040FD" w:rsidRDefault="00E040FD">
      <w:pPr>
        <w:keepNext/>
        <w:spacing w:before="40" w:after="0" w:line="259" w:lineRule="auto"/>
        <w:jc w:val="both"/>
        <w:rPr>
          <w:rFonts w:ascii="Times New Roman" w:eastAsiaTheme="minorEastAsia" w:hAnsi="Times New Roman" w:cs="Times New Roman"/>
          <w:noProof/>
          <w:sz w:val="24"/>
        </w:rPr>
        <w:sectPr w:rsidR="00E040FD" w:rsidSect="00BF3640">
          <w:headerReference w:type="even" r:id="rId156"/>
          <w:headerReference w:type="default" r:id="rId157"/>
          <w:footerReference w:type="even" r:id="rId158"/>
          <w:footerReference w:type="default" r:id="rId159"/>
          <w:headerReference w:type="first" r:id="rId160"/>
          <w:footerReference w:type="first" r:id="rId161"/>
          <w:type w:val="continuous"/>
          <w:pgSz w:w="11907" w:h="16839" w:code="9"/>
          <w:pgMar w:top="1134" w:right="1134" w:bottom="1134" w:left="1134" w:header="567" w:footer="567" w:gutter="0"/>
          <w:cols w:space="720"/>
          <w:docGrid w:linePitch="360"/>
        </w:sectPr>
      </w:pPr>
    </w:p>
    <w:p w14:paraId="6299134D" w14:textId="7FD7908A" w:rsidR="00E040FD" w:rsidRDefault="00740D64">
      <w:pPr>
        <w:pStyle w:val="P68B1DB1-Normal3"/>
        <w:spacing w:before="40" w:after="0" w:line="259" w:lineRule="auto"/>
        <w:ind w:left="130" w:firstLine="720"/>
        <w:jc w:val="both"/>
        <w:outlineLvl w:val="2"/>
        <w:rPr>
          <w:rFonts w:eastAsiaTheme="minorEastAsia" w:cs="Times New Roman"/>
          <w:noProof/>
        </w:rPr>
      </w:pPr>
      <w:r>
        <w:rPr>
          <w:noProof/>
        </w:rPr>
        <w:t>G.4. Delmål, mål, indikatorer och tidsplan för övervakning och genomförande av lånet</w:t>
      </w:r>
    </w:p>
    <w:p w14:paraId="2F2CB9FD" w14:textId="77777777" w:rsidR="00E040FD" w:rsidRDefault="00E040FD">
      <w:pPr>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E040FD" w14:paraId="36A011EF" w14:textId="77777777">
        <w:trPr>
          <w:trHeight w:val="910"/>
          <w:tblHeader/>
        </w:trPr>
        <w:tc>
          <w:tcPr>
            <w:tcW w:w="1135" w:type="dxa"/>
            <w:vMerge w:val="restart"/>
            <w:shd w:val="clear" w:color="auto" w:fill="BDD6EE"/>
            <w:vAlign w:val="center"/>
            <w:hideMark/>
          </w:tcPr>
          <w:p w14:paraId="44FD47D0"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vAlign w:val="center"/>
            <w:hideMark/>
          </w:tcPr>
          <w:p w14:paraId="43B8D62C"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vAlign w:val="center"/>
            <w:hideMark/>
          </w:tcPr>
          <w:p w14:paraId="24FD2722" w14:textId="77777777" w:rsidR="00E040FD" w:rsidRDefault="00740D64">
            <w:pPr>
              <w:pStyle w:val="P68B1DB1-Normal6"/>
              <w:spacing w:after="0" w:line="240" w:lineRule="auto"/>
              <w:jc w:val="center"/>
              <w:rPr>
                <w:rFonts w:eastAsia="Times New Roman" w:cs="Times New Roman"/>
                <w:noProof/>
              </w:rPr>
            </w:pPr>
            <w:r>
              <w:rPr>
                <w:noProof/>
              </w:rPr>
              <w:t>Delmål/mål</w:t>
            </w:r>
          </w:p>
        </w:tc>
        <w:tc>
          <w:tcPr>
            <w:tcW w:w="1701" w:type="dxa"/>
            <w:vMerge w:val="restart"/>
            <w:shd w:val="clear" w:color="auto" w:fill="BDD6EE"/>
            <w:vAlign w:val="center"/>
            <w:hideMark/>
          </w:tcPr>
          <w:p w14:paraId="1ED31254"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75" w:type="dxa"/>
            <w:vMerge w:val="restart"/>
            <w:shd w:val="clear" w:color="auto" w:fill="BDD6EE"/>
            <w:vAlign w:val="center"/>
            <w:hideMark/>
          </w:tcPr>
          <w:p w14:paraId="2272E53A"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694" w:type="dxa"/>
            <w:gridSpan w:val="3"/>
            <w:shd w:val="clear" w:color="auto" w:fill="BDD6EE"/>
            <w:vAlign w:val="center"/>
            <w:hideMark/>
          </w:tcPr>
          <w:p w14:paraId="2CD0AB34"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vAlign w:val="center"/>
            <w:hideMark/>
          </w:tcPr>
          <w:p w14:paraId="5C44A828"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3969" w:type="dxa"/>
            <w:vMerge w:val="restart"/>
            <w:shd w:val="clear" w:color="auto" w:fill="BDD6EE"/>
            <w:vAlign w:val="center"/>
            <w:hideMark/>
          </w:tcPr>
          <w:p w14:paraId="50F3DE32"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6E3E0C94" w14:textId="77777777">
        <w:trPr>
          <w:trHeight w:val="470"/>
          <w:tblHeader/>
        </w:trPr>
        <w:tc>
          <w:tcPr>
            <w:tcW w:w="1135" w:type="dxa"/>
            <w:vMerge/>
            <w:vAlign w:val="center"/>
            <w:hideMark/>
          </w:tcPr>
          <w:p w14:paraId="35DCDBA3"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74E2BF93"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vAlign w:val="center"/>
            <w:hideMark/>
          </w:tcPr>
          <w:p w14:paraId="39DC4F8E" w14:textId="77777777" w:rsidR="00E040FD" w:rsidRDefault="00E040FD">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53E4DCD1" w14:textId="77777777" w:rsidR="00E040FD" w:rsidRDefault="00E040FD">
            <w:pPr>
              <w:spacing w:after="0" w:line="240" w:lineRule="auto"/>
              <w:rPr>
                <w:rFonts w:ascii="Times New Roman" w:eastAsia="Times New Roman" w:hAnsi="Times New Roman" w:cs="Times New Roman"/>
                <w:b/>
                <w:noProof/>
                <w:sz w:val="18"/>
              </w:rPr>
            </w:pPr>
          </w:p>
        </w:tc>
        <w:tc>
          <w:tcPr>
            <w:tcW w:w="1275" w:type="dxa"/>
            <w:vMerge/>
            <w:vAlign w:val="center"/>
            <w:hideMark/>
          </w:tcPr>
          <w:p w14:paraId="0DF81CCA" w14:textId="77777777" w:rsidR="00E040FD" w:rsidRDefault="00E040FD">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02752337"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vAlign w:val="center"/>
            <w:hideMark/>
          </w:tcPr>
          <w:p w14:paraId="62D4A070"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709" w:type="dxa"/>
            <w:shd w:val="clear" w:color="auto" w:fill="BDD6EE"/>
            <w:vAlign w:val="center"/>
            <w:hideMark/>
          </w:tcPr>
          <w:p w14:paraId="121BD005"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7" w:type="dxa"/>
            <w:shd w:val="clear" w:color="auto" w:fill="BDD6EE"/>
            <w:vAlign w:val="center"/>
            <w:hideMark/>
          </w:tcPr>
          <w:p w14:paraId="50080670"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5EEBE07C" w14:textId="77777777" w:rsidR="00E040FD" w:rsidRDefault="00740D64">
            <w:pPr>
              <w:pStyle w:val="P68B1DB1-Normal6"/>
              <w:spacing w:after="0" w:line="240" w:lineRule="auto"/>
              <w:jc w:val="center"/>
              <w:rPr>
                <w:rFonts w:eastAsia="Times New Roman" w:cs="Times New Roman"/>
                <w:noProof/>
              </w:rPr>
            </w:pPr>
            <w:r>
              <w:rPr>
                <w:noProof/>
              </w:rPr>
              <w:t>Året</w:t>
            </w:r>
          </w:p>
        </w:tc>
        <w:tc>
          <w:tcPr>
            <w:tcW w:w="3969" w:type="dxa"/>
            <w:vMerge/>
            <w:vAlign w:val="center"/>
            <w:hideMark/>
          </w:tcPr>
          <w:p w14:paraId="1A0FE12C" w14:textId="77777777" w:rsidR="00E040FD" w:rsidRDefault="00E040FD">
            <w:pPr>
              <w:spacing w:after="0" w:line="240" w:lineRule="auto"/>
              <w:rPr>
                <w:rFonts w:ascii="Times New Roman" w:eastAsia="Times New Roman" w:hAnsi="Times New Roman" w:cs="Times New Roman"/>
                <w:b/>
                <w:noProof/>
                <w:sz w:val="18"/>
              </w:rPr>
            </w:pPr>
          </w:p>
        </w:tc>
      </w:tr>
      <w:tr w:rsidR="00E040FD" w14:paraId="59915854" w14:textId="77777777">
        <w:trPr>
          <w:trHeight w:val="503"/>
          <w:tblHeader/>
        </w:trPr>
        <w:tc>
          <w:tcPr>
            <w:tcW w:w="1135" w:type="dxa"/>
            <w:shd w:val="clear" w:color="auto" w:fill="C4EFCE"/>
            <w:vAlign w:val="center"/>
            <w:hideMark/>
          </w:tcPr>
          <w:p w14:paraId="01EFD0C3" w14:textId="77777777" w:rsidR="00E040FD" w:rsidRDefault="00740D64">
            <w:pPr>
              <w:pStyle w:val="P68B1DB1-Normal7"/>
              <w:spacing w:after="0" w:line="240" w:lineRule="auto"/>
              <w:jc w:val="center"/>
              <w:rPr>
                <w:rFonts w:eastAsia="Times New Roman" w:cs="Calibri"/>
                <w:noProof/>
              </w:rPr>
            </w:pPr>
            <w:r>
              <w:rPr>
                <w:noProof/>
              </w:rPr>
              <w:t>7.9</w:t>
            </w:r>
          </w:p>
        </w:tc>
        <w:tc>
          <w:tcPr>
            <w:tcW w:w="1276" w:type="dxa"/>
            <w:shd w:val="clear" w:color="auto" w:fill="C4EFCE"/>
            <w:noWrap/>
            <w:vAlign w:val="center"/>
            <w:hideMark/>
          </w:tcPr>
          <w:p w14:paraId="68287771" w14:textId="77777777" w:rsidR="00E040FD" w:rsidRDefault="00740D64">
            <w:pPr>
              <w:pStyle w:val="P68B1DB1-Normal8"/>
              <w:spacing w:after="0" w:line="240" w:lineRule="auto"/>
              <w:jc w:val="center"/>
              <w:rPr>
                <w:rFonts w:eastAsia="Times New Roman" w:cs="Calibri"/>
                <w:noProof/>
              </w:rPr>
            </w:pPr>
            <w:r>
              <w:rPr>
                <w:noProof/>
              </w:rPr>
              <w:t>RE-C07-i03</w:t>
            </w:r>
          </w:p>
        </w:tc>
        <w:tc>
          <w:tcPr>
            <w:tcW w:w="1134" w:type="dxa"/>
            <w:shd w:val="clear" w:color="auto" w:fill="C4EFCE"/>
            <w:noWrap/>
            <w:vAlign w:val="center"/>
            <w:hideMark/>
          </w:tcPr>
          <w:p w14:paraId="737B2981"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6F42995" w14:textId="77777777" w:rsidR="00E040FD" w:rsidRDefault="00740D64">
            <w:pPr>
              <w:pStyle w:val="P68B1DB1-Normal8"/>
              <w:spacing w:after="0" w:line="240" w:lineRule="auto"/>
              <w:jc w:val="center"/>
              <w:rPr>
                <w:rFonts w:eastAsia="Times New Roman" w:cs="Calibri"/>
                <w:noProof/>
              </w:rPr>
            </w:pPr>
            <w:r>
              <w:rPr>
                <w:noProof/>
              </w:rPr>
              <w:t>Den första miljökonsekvensbedömningen slutförd</w:t>
            </w:r>
          </w:p>
        </w:tc>
        <w:tc>
          <w:tcPr>
            <w:tcW w:w="1275" w:type="dxa"/>
            <w:shd w:val="clear" w:color="auto" w:fill="C4EFCE"/>
            <w:noWrap/>
            <w:vAlign w:val="center"/>
            <w:hideMark/>
          </w:tcPr>
          <w:p w14:paraId="6FEC0C5F" w14:textId="77777777" w:rsidR="00E040FD" w:rsidRDefault="00740D64">
            <w:pPr>
              <w:pStyle w:val="P68B1DB1-Normal8"/>
              <w:spacing w:after="0" w:line="240" w:lineRule="auto"/>
              <w:jc w:val="center"/>
              <w:rPr>
                <w:rFonts w:eastAsia="Times New Roman" w:cs="Calibri"/>
                <w:noProof/>
              </w:rPr>
            </w:pPr>
            <w:r>
              <w:rPr>
                <w:noProof/>
              </w:rPr>
              <w:t>Slutförande av miljökonsekvensbedömningen</w:t>
            </w:r>
          </w:p>
        </w:tc>
        <w:tc>
          <w:tcPr>
            <w:tcW w:w="993" w:type="dxa"/>
            <w:shd w:val="clear" w:color="auto" w:fill="C4EFCE"/>
            <w:noWrap/>
            <w:vAlign w:val="center"/>
            <w:hideMark/>
          </w:tcPr>
          <w:p w14:paraId="4DA39125"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704235E" w14:textId="77777777" w:rsidR="00E040FD" w:rsidRDefault="00740D6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4CD8858"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BF45E7A"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58D9453C" w14:textId="77777777" w:rsidR="00E040FD" w:rsidRDefault="00740D6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242039D" w14:textId="77777777" w:rsidR="00E040FD" w:rsidRDefault="00740D64">
            <w:pPr>
              <w:pStyle w:val="P68B1DB1-Normal8"/>
              <w:spacing w:after="0" w:line="240" w:lineRule="auto"/>
              <w:jc w:val="both"/>
              <w:rPr>
                <w:rFonts w:eastAsia="Times New Roman" w:cs="Calibri"/>
                <w:noProof/>
              </w:rPr>
            </w:pPr>
            <w:r>
              <w:rPr>
                <w:noProof/>
              </w:rPr>
              <w:t>En miljökonsekvensbedömning av ett vägprojekt har slutförts.</w:t>
            </w:r>
          </w:p>
        </w:tc>
      </w:tr>
      <w:tr w:rsidR="00E040FD" w14:paraId="18BA168D" w14:textId="77777777">
        <w:trPr>
          <w:trHeight w:val="420"/>
          <w:tblHeader/>
        </w:trPr>
        <w:tc>
          <w:tcPr>
            <w:tcW w:w="1135" w:type="dxa"/>
            <w:shd w:val="clear" w:color="auto" w:fill="C4EFCE"/>
            <w:vAlign w:val="center"/>
            <w:hideMark/>
          </w:tcPr>
          <w:p w14:paraId="37F6747E" w14:textId="77777777" w:rsidR="00E040FD" w:rsidRDefault="00740D64">
            <w:pPr>
              <w:pStyle w:val="P68B1DB1-Normal7"/>
              <w:spacing w:after="0" w:line="240" w:lineRule="auto"/>
              <w:jc w:val="center"/>
              <w:rPr>
                <w:rFonts w:eastAsia="Times New Roman" w:cs="Calibri"/>
                <w:noProof/>
              </w:rPr>
            </w:pPr>
            <w:r>
              <w:rPr>
                <w:noProof/>
              </w:rPr>
              <w:t>7.10</w:t>
            </w:r>
          </w:p>
        </w:tc>
        <w:tc>
          <w:tcPr>
            <w:tcW w:w="1276" w:type="dxa"/>
            <w:shd w:val="clear" w:color="auto" w:fill="C4EFCE"/>
            <w:noWrap/>
            <w:vAlign w:val="center"/>
            <w:hideMark/>
          </w:tcPr>
          <w:p w14:paraId="04DFE7C9" w14:textId="77777777" w:rsidR="00E040FD" w:rsidRDefault="00740D64">
            <w:pPr>
              <w:pStyle w:val="P68B1DB1-Normal8"/>
              <w:spacing w:after="0" w:line="240" w:lineRule="auto"/>
              <w:jc w:val="center"/>
              <w:rPr>
                <w:rFonts w:eastAsia="Times New Roman" w:cs="Calibri"/>
                <w:noProof/>
              </w:rPr>
            </w:pPr>
            <w:r>
              <w:rPr>
                <w:noProof/>
              </w:rPr>
              <w:t>RE-C07-i03</w:t>
            </w:r>
          </w:p>
        </w:tc>
        <w:tc>
          <w:tcPr>
            <w:tcW w:w="1134" w:type="dxa"/>
            <w:shd w:val="clear" w:color="auto" w:fill="C4EFCE"/>
            <w:noWrap/>
            <w:vAlign w:val="center"/>
            <w:hideMark/>
          </w:tcPr>
          <w:p w14:paraId="1CCBAD9D"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CD01E3A" w14:textId="77777777" w:rsidR="00E040FD" w:rsidRDefault="00740D64">
            <w:pPr>
              <w:pStyle w:val="P68B1DB1-Normal8"/>
              <w:spacing w:after="0" w:line="240" w:lineRule="auto"/>
              <w:jc w:val="center"/>
              <w:rPr>
                <w:rFonts w:eastAsia="Times New Roman" w:cs="Calibri"/>
                <w:noProof/>
              </w:rPr>
            </w:pPr>
            <w:r>
              <w:rPr>
                <w:noProof/>
              </w:rPr>
              <w:t>Vägar som har byggts eller renoverats</w:t>
            </w:r>
          </w:p>
        </w:tc>
        <w:tc>
          <w:tcPr>
            <w:tcW w:w="1275" w:type="dxa"/>
            <w:shd w:val="clear" w:color="auto" w:fill="C4EFCE"/>
            <w:noWrap/>
            <w:vAlign w:val="center"/>
            <w:hideMark/>
          </w:tcPr>
          <w:p w14:paraId="672467C4"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AADBC17" w14:textId="77777777" w:rsidR="00E040FD" w:rsidRDefault="00740D64">
            <w:pPr>
              <w:pStyle w:val="P68B1DB1-Normal8"/>
              <w:spacing w:after="0" w:line="240" w:lineRule="auto"/>
              <w:jc w:val="center"/>
              <w:rPr>
                <w:rFonts w:eastAsia="Times New Roman" w:cs="Calibri"/>
                <w:noProof/>
              </w:rPr>
            </w:pPr>
            <w:r>
              <w:rPr>
                <w:noProof/>
              </w:rPr>
              <w:t>km</w:t>
            </w:r>
          </w:p>
        </w:tc>
        <w:tc>
          <w:tcPr>
            <w:tcW w:w="992" w:type="dxa"/>
            <w:shd w:val="clear" w:color="auto" w:fill="C4EFCE"/>
            <w:noWrap/>
            <w:vAlign w:val="center"/>
            <w:hideMark/>
          </w:tcPr>
          <w:p w14:paraId="7615C227"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BC63F7D" w14:textId="77777777" w:rsidR="00E040FD" w:rsidRDefault="00740D64">
            <w:pPr>
              <w:pStyle w:val="P68B1DB1-Normal8"/>
              <w:spacing w:after="0" w:line="240" w:lineRule="auto"/>
              <w:jc w:val="center"/>
              <w:rPr>
                <w:rFonts w:eastAsia="Times New Roman" w:cs="Calibri"/>
                <w:noProof/>
              </w:rPr>
            </w:pPr>
            <w:r>
              <w:rPr>
                <w:noProof/>
              </w:rPr>
              <w:t>30</w:t>
            </w:r>
          </w:p>
        </w:tc>
        <w:tc>
          <w:tcPr>
            <w:tcW w:w="567" w:type="dxa"/>
            <w:shd w:val="clear" w:color="auto" w:fill="C4EFCE"/>
            <w:noWrap/>
            <w:vAlign w:val="center"/>
            <w:hideMark/>
          </w:tcPr>
          <w:p w14:paraId="3F7E78D9"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71EEFFE2"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8DB863F" w14:textId="77777777" w:rsidR="00E040FD" w:rsidRDefault="00740D64">
            <w:pPr>
              <w:pStyle w:val="P68B1DB1-Normal8"/>
              <w:spacing w:after="0" w:line="240" w:lineRule="auto"/>
              <w:jc w:val="both"/>
              <w:rPr>
                <w:rFonts w:eastAsia="Times New Roman" w:cs="Calibri"/>
                <w:noProof/>
              </w:rPr>
            </w:pPr>
            <w:r>
              <w:rPr>
                <w:noProof/>
              </w:rPr>
              <w:t>Km vägar som har byggts eller sanerats i enlighet med de tekniska specifikationerna i anbudet och med fullständigt införlivande av alla resultat och villkor från miljökonsekvensbedömningen.</w:t>
            </w:r>
          </w:p>
        </w:tc>
      </w:tr>
      <w:tr w:rsidR="00E040FD" w14:paraId="5BBC378C" w14:textId="77777777">
        <w:trPr>
          <w:trHeight w:val="420"/>
          <w:tblHeader/>
        </w:trPr>
        <w:tc>
          <w:tcPr>
            <w:tcW w:w="1135" w:type="dxa"/>
            <w:shd w:val="clear" w:color="auto" w:fill="C4EFCE"/>
            <w:vAlign w:val="center"/>
            <w:hideMark/>
          </w:tcPr>
          <w:p w14:paraId="35FFD5D9" w14:textId="77777777" w:rsidR="00E040FD" w:rsidRDefault="00740D64">
            <w:pPr>
              <w:pStyle w:val="P68B1DB1-Normal7"/>
              <w:spacing w:after="0" w:line="240" w:lineRule="auto"/>
              <w:jc w:val="center"/>
              <w:rPr>
                <w:rFonts w:eastAsia="Times New Roman" w:cs="Calibri"/>
                <w:noProof/>
              </w:rPr>
            </w:pPr>
            <w:r>
              <w:rPr>
                <w:noProof/>
              </w:rPr>
              <w:t>7.11</w:t>
            </w:r>
          </w:p>
        </w:tc>
        <w:tc>
          <w:tcPr>
            <w:tcW w:w="1276" w:type="dxa"/>
            <w:shd w:val="clear" w:color="auto" w:fill="C4EFCE"/>
            <w:noWrap/>
            <w:vAlign w:val="center"/>
            <w:hideMark/>
          </w:tcPr>
          <w:p w14:paraId="32BBA945" w14:textId="77777777" w:rsidR="00E040FD" w:rsidRDefault="00740D64">
            <w:pPr>
              <w:pStyle w:val="P68B1DB1-Normal8"/>
              <w:spacing w:after="0" w:line="240" w:lineRule="auto"/>
              <w:jc w:val="center"/>
              <w:rPr>
                <w:rFonts w:eastAsia="Times New Roman" w:cs="Calibri"/>
                <w:noProof/>
              </w:rPr>
            </w:pPr>
            <w:r>
              <w:rPr>
                <w:noProof/>
              </w:rPr>
              <w:t>RE-C07-i04</w:t>
            </w:r>
          </w:p>
        </w:tc>
        <w:tc>
          <w:tcPr>
            <w:tcW w:w="1134" w:type="dxa"/>
            <w:shd w:val="clear" w:color="auto" w:fill="C4EFCE"/>
            <w:noWrap/>
            <w:vAlign w:val="center"/>
            <w:hideMark/>
          </w:tcPr>
          <w:p w14:paraId="645981D3"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8D6599C" w14:textId="77777777" w:rsidR="00E040FD" w:rsidRDefault="00740D64">
            <w:pPr>
              <w:pStyle w:val="P68B1DB1-Normal8"/>
              <w:spacing w:after="0" w:line="240" w:lineRule="auto"/>
              <w:jc w:val="center"/>
              <w:rPr>
                <w:rFonts w:eastAsia="Times New Roman" w:cs="Calibri"/>
                <w:noProof/>
              </w:rPr>
            </w:pPr>
            <w:r>
              <w:rPr>
                <w:noProof/>
              </w:rPr>
              <w:t>Kontrakt undertecknat för 10 vägprojekt</w:t>
            </w:r>
          </w:p>
        </w:tc>
        <w:tc>
          <w:tcPr>
            <w:tcW w:w="1275" w:type="dxa"/>
            <w:shd w:val="clear" w:color="auto" w:fill="C4EFCE"/>
            <w:noWrap/>
            <w:vAlign w:val="center"/>
            <w:hideMark/>
          </w:tcPr>
          <w:p w14:paraId="3238AD55" w14:textId="77777777" w:rsidR="00E040FD" w:rsidRDefault="00740D64">
            <w:pPr>
              <w:pStyle w:val="P68B1DB1-Normal8"/>
              <w:spacing w:after="0" w:line="240" w:lineRule="auto"/>
              <w:jc w:val="center"/>
              <w:rPr>
                <w:rFonts w:eastAsia="Times New Roman" w:cs="Calibri"/>
                <w:noProof/>
              </w:rPr>
            </w:pPr>
            <w:r>
              <w:rPr>
                <w:noProof/>
              </w:rPr>
              <w:t>Kontrakt undertecknat med entreprenör för vägprojekt</w:t>
            </w:r>
          </w:p>
        </w:tc>
        <w:tc>
          <w:tcPr>
            <w:tcW w:w="993" w:type="dxa"/>
            <w:shd w:val="clear" w:color="auto" w:fill="C4EFCE"/>
            <w:noWrap/>
            <w:vAlign w:val="center"/>
            <w:hideMark/>
          </w:tcPr>
          <w:p w14:paraId="435E72CA"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9669237" w14:textId="77777777" w:rsidR="00E040FD" w:rsidRDefault="00740D6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0F0411DD"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A2E0282" w14:textId="77777777"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42230A0C" w14:textId="77777777" w:rsidR="00E040FD" w:rsidRDefault="00740D64">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55453983" w14:textId="77777777" w:rsidR="00E040FD" w:rsidRDefault="00740D64">
            <w:pPr>
              <w:pStyle w:val="P68B1DB1-Normal8"/>
              <w:spacing w:after="0" w:line="240" w:lineRule="auto"/>
              <w:jc w:val="both"/>
              <w:rPr>
                <w:rFonts w:eastAsia="Times New Roman" w:cs="Calibri"/>
                <w:noProof/>
              </w:rPr>
            </w:pPr>
            <w:r>
              <w:rPr>
                <w:noProof/>
              </w:rPr>
              <w:t>Parternas underskrift av den handling som reglerar deras skyldigheter i samband med utförandet av byggentreprenaden, till ett pris, efter ett offentligt upphandlingsförfarande.</w:t>
            </w:r>
          </w:p>
        </w:tc>
      </w:tr>
      <w:tr w:rsidR="00E040FD" w14:paraId="10AD745D" w14:textId="77777777">
        <w:trPr>
          <w:trHeight w:val="420"/>
          <w:tblHeader/>
        </w:trPr>
        <w:tc>
          <w:tcPr>
            <w:tcW w:w="1135" w:type="dxa"/>
            <w:shd w:val="clear" w:color="auto" w:fill="C4EFCE"/>
            <w:vAlign w:val="center"/>
            <w:hideMark/>
          </w:tcPr>
          <w:p w14:paraId="5EABD158" w14:textId="77777777" w:rsidR="00E040FD" w:rsidRDefault="00740D64">
            <w:pPr>
              <w:pStyle w:val="P68B1DB1-Normal7"/>
              <w:spacing w:after="0" w:line="240" w:lineRule="auto"/>
              <w:jc w:val="center"/>
              <w:rPr>
                <w:rFonts w:eastAsia="Times New Roman" w:cs="Calibri"/>
                <w:noProof/>
              </w:rPr>
            </w:pPr>
            <w:r>
              <w:rPr>
                <w:noProof/>
              </w:rPr>
              <w:t>7.12</w:t>
            </w:r>
          </w:p>
        </w:tc>
        <w:tc>
          <w:tcPr>
            <w:tcW w:w="1276" w:type="dxa"/>
            <w:shd w:val="clear" w:color="auto" w:fill="C4EFCE"/>
            <w:noWrap/>
            <w:vAlign w:val="center"/>
            <w:hideMark/>
          </w:tcPr>
          <w:p w14:paraId="008B14DC" w14:textId="77777777" w:rsidR="00E040FD" w:rsidRDefault="00740D64">
            <w:pPr>
              <w:pStyle w:val="P68B1DB1-Normal8"/>
              <w:spacing w:after="0" w:line="240" w:lineRule="auto"/>
              <w:jc w:val="center"/>
              <w:rPr>
                <w:rFonts w:eastAsia="Times New Roman" w:cs="Calibri"/>
                <w:noProof/>
              </w:rPr>
            </w:pPr>
            <w:r>
              <w:rPr>
                <w:noProof/>
              </w:rPr>
              <w:t>RE-C07-i04</w:t>
            </w:r>
          </w:p>
        </w:tc>
        <w:tc>
          <w:tcPr>
            <w:tcW w:w="1134" w:type="dxa"/>
            <w:shd w:val="clear" w:color="auto" w:fill="C4EFCE"/>
            <w:noWrap/>
            <w:vAlign w:val="center"/>
            <w:hideMark/>
          </w:tcPr>
          <w:p w14:paraId="72ABE102"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6E4068F" w14:textId="77777777" w:rsidR="00E040FD" w:rsidRDefault="00740D64">
            <w:pPr>
              <w:pStyle w:val="P68B1DB1-Normal8"/>
              <w:spacing w:after="0" w:line="240" w:lineRule="auto"/>
              <w:jc w:val="center"/>
              <w:rPr>
                <w:rFonts w:eastAsia="Times New Roman" w:cs="Calibri"/>
                <w:noProof/>
              </w:rPr>
            </w:pPr>
            <w:r>
              <w:rPr>
                <w:noProof/>
              </w:rPr>
              <w:t>Vägar som har byggts eller renoverats</w:t>
            </w:r>
          </w:p>
        </w:tc>
        <w:tc>
          <w:tcPr>
            <w:tcW w:w="1275" w:type="dxa"/>
            <w:shd w:val="clear" w:color="auto" w:fill="C4EFCE"/>
            <w:noWrap/>
            <w:vAlign w:val="center"/>
            <w:hideMark/>
          </w:tcPr>
          <w:p w14:paraId="34DC727E"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8211DC0" w14:textId="77777777" w:rsidR="00E040FD" w:rsidRDefault="00740D64">
            <w:pPr>
              <w:pStyle w:val="P68B1DB1-Normal8"/>
              <w:spacing w:after="0" w:line="240" w:lineRule="auto"/>
              <w:jc w:val="center"/>
              <w:rPr>
                <w:rFonts w:eastAsia="Times New Roman" w:cs="Calibri"/>
                <w:noProof/>
              </w:rPr>
            </w:pPr>
            <w:r>
              <w:rPr>
                <w:noProof/>
              </w:rPr>
              <w:t>km</w:t>
            </w:r>
          </w:p>
        </w:tc>
        <w:tc>
          <w:tcPr>
            <w:tcW w:w="992" w:type="dxa"/>
            <w:shd w:val="clear" w:color="auto" w:fill="C4EFCE"/>
            <w:noWrap/>
            <w:vAlign w:val="center"/>
            <w:hideMark/>
          </w:tcPr>
          <w:p w14:paraId="797EF748"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6E18FA0" w14:textId="77777777" w:rsidR="00E040FD" w:rsidRDefault="00740D64">
            <w:pPr>
              <w:pStyle w:val="P68B1DB1-Normal8"/>
              <w:spacing w:after="0" w:line="240" w:lineRule="auto"/>
              <w:jc w:val="center"/>
              <w:rPr>
                <w:rFonts w:eastAsia="Times New Roman" w:cs="Calibri"/>
                <w:noProof/>
              </w:rPr>
            </w:pPr>
            <w:r>
              <w:rPr>
                <w:noProof/>
              </w:rPr>
              <w:t>42</w:t>
            </w:r>
          </w:p>
        </w:tc>
        <w:tc>
          <w:tcPr>
            <w:tcW w:w="567" w:type="dxa"/>
            <w:shd w:val="clear" w:color="auto" w:fill="C4EFCE"/>
            <w:noWrap/>
            <w:vAlign w:val="center"/>
            <w:hideMark/>
          </w:tcPr>
          <w:p w14:paraId="664FBA60"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1BADD922"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76FA22C" w14:textId="77777777" w:rsidR="00E040FD" w:rsidRDefault="00740D64">
            <w:pPr>
              <w:pStyle w:val="P68B1DB1-Normal8"/>
              <w:spacing w:after="0" w:line="240" w:lineRule="auto"/>
              <w:jc w:val="both"/>
              <w:rPr>
                <w:rFonts w:eastAsia="Times New Roman" w:cs="Calibri"/>
                <w:noProof/>
              </w:rPr>
            </w:pPr>
            <w:r>
              <w:rPr>
                <w:noProof/>
              </w:rPr>
              <w:t>Km vägar som har byggts eller sanerats i enlighet med de tekniska specifikationerna i anbudet och med fullständigt införlivande av alla resultat och villkor från miljökonsekvensbedömningen.</w:t>
            </w:r>
          </w:p>
        </w:tc>
      </w:tr>
    </w:tbl>
    <w:p w14:paraId="7B849270" w14:textId="77777777" w:rsidR="00E040FD" w:rsidRDefault="00E040FD">
      <w:pPr>
        <w:spacing w:before="40" w:after="0" w:line="259" w:lineRule="auto"/>
        <w:jc w:val="both"/>
        <w:rPr>
          <w:rFonts w:ascii="Times New Roman" w:eastAsiaTheme="minorEastAsia" w:hAnsi="Times New Roman" w:cs="Times New Roman"/>
          <w:noProof/>
          <w:sz w:val="24"/>
        </w:rPr>
      </w:pPr>
    </w:p>
    <w:p w14:paraId="29354AB7" w14:textId="77777777" w:rsidR="00E040FD" w:rsidRDefault="00E040FD">
      <w:pPr>
        <w:spacing w:before="40" w:after="0" w:line="259" w:lineRule="auto"/>
        <w:jc w:val="both"/>
        <w:rPr>
          <w:rFonts w:ascii="Times New Roman" w:eastAsiaTheme="minorEastAsia" w:hAnsi="Times New Roman" w:cs="Times New Roman"/>
          <w:noProof/>
          <w:sz w:val="24"/>
        </w:rPr>
      </w:pPr>
    </w:p>
    <w:p w14:paraId="179A26C8" w14:textId="77777777" w:rsidR="00E040FD" w:rsidRDefault="00E040FD">
      <w:pPr>
        <w:spacing w:before="40" w:after="0" w:line="259" w:lineRule="auto"/>
        <w:jc w:val="both"/>
        <w:rPr>
          <w:rFonts w:ascii="Times New Roman" w:eastAsiaTheme="minorEastAsia" w:hAnsi="Times New Roman" w:cs="Times New Roman"/>
          <w:noProof/>
          <w:sz w:val="24"/>
        </w:rPr>
        <w:sectPr w:rsidR="00E040FD" w:rsidSect="00FD562E">
          <w:headerReference w:type="even" r:id="rId162"/>
          <w:headerReference w:type="default" r:id="rId163"/>
          <w:footerReference w:type="even" r:id="rId164"/>
          <w:footerReference w:type="default" r:id="rId165"/>
          <w:headerReference w:type="first" r:id="rId166"/>
          <w:footerReference w:type="first" r:id="rId167"/>
          <w:pgSz w:w="16839" w:h="11907" w:orient="landscape"/>
          <w:pgMar w:top="1134" w:right="1134" w:bottom="1134" w:left="1134" w:header="567" w:footer="567" w:gutter="0"/>
          <w:cols w:space="720"/>
          <w:docGrid w:linePitch="360"/>
        </w:sectPr>
      </w:pPr>
    </w:p>
    <w:p w14:paraId="77E856F9" w14:textId="214EB4BC"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H. KOMPONENT 8: Skogar</w:t>
      </w:r>
    </w:p>
    <w:p w14:paraId="275D788F"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Komponenten tar itu med följande utmaningar: den socioekonomiska och demografiska nedgången i landsbygdsområden, förekomsten av vidsträckta områden utan aktiv förvaltning för att förebygga bränder eller skydda den biologiska mångfalden och det mycket fragmenterade privata ägandet av marken. Utflyttningen av befolkningen till de stora tätorterna och den allt äldre befolkningen på landsbygden har lett till att landsbygdsområden och traditionella ekonomiska sektorer har övergivits. Detta ledde till en gradvis utvidgning av skogsområden, oplanerade och oförvaltade och med en hög koncentration av bränslebelastningen. Dessa områden är starkt utsatta för risken för bränder på landsbygden, vilket kan leda till förlust av människoliv, omfattande skador på mark och egendom samt förstörelse av skogar och varor och tjänster. Portugal är det land i södra Europa som har den största andelen brända områden på landsbygden och det högsta genomsnittliga antalet bränder. Enligt det europeiska informationssystemet för skogsbränder (EFFIS) brändes omkring 169 000 hektar i genomsnitt per år mellan 2015 och 2019. </w:t>
      </w:r>
    </w:p>
    <w:p w14:paraId="47E6C138"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Målen för denna del är följande: </w:t>
      </w:r>
    </w:p>
    <w:p w14:paraId="7A8F4ED1" w14:textId="6664DD94" w:rsidR="00E040FD" w:rsidRDefault="00740D64">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främja aktiv planering och förvaltning av sårbar jord- och skogsbruksmark med högt miljövärde. </w:t>
      </w:r>
    </w:p>
    <w:p w14:paraId="66CFA115" w14:textId="77777777" w:rsidR="00E040FD" w:rsidRDefault="00740D64">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skydda den biologiska mångfalden genom att stödja återställande av jord- och skogsbruksekosystem, särskilt i brända områden. </w:t>
      </w:r>
    </w:p>
    <w:p w14:paraId="466397E4" w14:textId="77777777" w:rsidR="00E040FD" w:rsidRDefault="00740D64">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bidra till territoriell sammanhållning och skapande av arbetstillfällen genom att blåsa nytt liv i den ekonomiska verksamheten i landsbygdsområden. och </w:t>
      </w:r>
    </w:p>
    <w:p w14:paraId="75C6E9EE" w14:textId="77777777" w:rsidR="00E040FD" w:rsidRDefault="00740D64">
      <w:pPr>
        <w:pStyle w:val="P68B1DB1-Normal4"/>
        <w:keepNext/>
        <w:numPr>
          <w:ilvl w:val="0"/>
          <w:numId w:val="25"/>
        </w:numPr>
        <w:spacing w:before="40" w:after="160" w:line="259" w:lineRule="auto"/>
        <w:contextualSpacing/>
        <w:jc w:val="both"/>
        <w:rPr>
          <w:rFonts w:eastAsiaTheme="minorEastAsia" w:cs="Times New Roman"/>
          <w:noProof/>
        </w:rPr>
      </w:pPr>
      <w:r>
        <w:rPr>
          <w:noProof/>
        </w:rPr>
        <w:t>att öka dessa territoriers motståndskraft genom att minska risken för bränder genom effektivt och effektivt brandförebyggande och, i händelse av bränder, genom att minska skadorna genom ändamålsenlig och effektiv brandbekämpning.</w:t>
      </w:r>
    </w:p>
    <w:p w14:paraId="6B094313" w14:textId="77777777" w:rsidR="00E040FD" w:rsidRDefault="00740D64">
      <w:pPr>
        <w:pStyle w:val="P68B1DB1-Normal4"/>
        <w:keepNext/>
        <w:spacing w:before="40" w:after="0" w:line="259" w:lineRule="auto"/>
        <w:jc w:val="both"/>
        <w:rPr>
          <w:rFonts w:eastAsiaTheme="minorEastAsia" w:cs="Times New Roman"/>
          <w:noProof/>
        </w:rPr>
      </w:pPr>
      <w:r>
        <w:rPr>
          <w:noProof/>
        </w:rPr>
        <w:t>Komponenten bidrar till att följa den landsspecifika rekommendationen om att förbättra de offentliga finansernas kvalitet genom att prioritera tillväxtfrämjande utgifter (landsspecifik rekommendation 1 2019). Offentliga utgifter i samband med uppgraderingen av registret över landsbygdsfastigheter skulle främja en lämplig förvaltning av dessa och eventuellt göra den ekonomiska verksamheten i landsbygdsområden mer dynamisk. Dessutom ger komponenten ett viktigt bidrag till genomförandet av de landsspecifika rekommendationerna om att inrikta investeringarna på den gröna och den digitala omställningen, med beaktande av regionala skillnader (landsspecifik rekommendation 3 2019 och landsspecifik rekommendation 3 2020).</w:t>
      </w:r>
    </w:p>
    <w:p w14:paraId="5D5F143B" w14:textId="77777777" w:rsidR="00E040FD" w:rsidRDefault="00740D64">
      <w:pPr>
        <w:pStyle w:val="P68B1DB1-Normal4"/>
        <w:keepNext/>
        <w:spacing w:before="40" w:after="0" w:line="259" w:lineRule="auto"/>
        <w:jc w:val="both"/>
        <w:rPr>
          <w:rFonts w:eastAsiaTheme="minorEastAsia" w:cs="Times New Roman"/>
          <w:noProof/>
        </w:rPr>
      </w:pPr>
      <w:r>
        <w:rPr>
          <w:noProof/>
        </w:rPr>
        <w:t>Denna komponent förväntas bidra till både den gröna och den digitala omställningen. När det gäller den gröna dimensionen bidrar komponenten direkt till klimatanpassningen eftersom den syftar till att öka landsbygdsområdenas motståndskraft mot bränder. Dessutom bidrar en aktiv hållbar förvaltning av dessa områden till att förebygga jorderosion, bekämpa invasiva arter och skadegörare och binda koldioxid i skogarna. När det slutligen gäller den digitala dimensionen framhålls de planerade åtgärderna för systemet med fastighetsregister, systemet för övervakning av marktäckning (Land Cover Monitoring System, SMOS), inklusive Light Detection and Ranging (Light Detection and Ranging) och högupplösta satellitbilder, eftersom de främjar e-förvaltning och digitala offentliga tjänster.</w:t>
      </w:r>
    </w:p>
    <w:p w14:paraId="2397FDAB" w14:textId="5B73F43F" w:rsidR="00E040FD" w:rsidRDefault="00740D64">
      <w:pPr>
        <w:pStyle w:val="P68B1DB1-Normal4"/>
        <w:keepNext/>
        <w:spacing w:before="40" w:after="0" w:line="259" w:lineRule="auto"/>
        <w:jc w:val="both"/>
        <w:rPr>
          <w:rFonts w:eastAsiaTheme="minorEastAsia" w:cs="Times New Roman"/>
          <w:noProof/>
        </w:rPr>
      </w:pPr>
      <w:r>
        <w:rPr>
          <w:noProof/>
        </w:rPr>
        <w:t xml:space="preserve">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 </w:t>
      </w:r>
    </w:p>
    <w:p w14:paraId="0A6E08A8" w14:textId="3A4EBA7F" w:rsidR="00E040FD" w:rsidRDefault="00E040FD">
      <w:pPr>
        <w:keepNext/>
        <w:spacing w:before="40" w:after="0" w:line="259" w:lineRule="auto"/>
        <w:jc w:val="both"/>
        <w:rPr>
          <w:rFonts w:ascii="Times New Roman" w:eastAsiaTheme="minorEastAsia" w:hAnsi="Times New Roman" w:cs="Times New Roman"/>
          <w:noProof/>
          <w:sz w:val="24"/>
        </w:rPr>
      </w:pPr>
    </w:p>
    <w:p w14:paraId="79556D14" w14:textId="5D469B64" w:rsidR="00E040FD" w:rsidRDefault="00E040FD">
      <w:pPr>
        <w:keepNext/>
        <w:spacing w:before="40" w:after="0" w:line="259" w:lineRule="auto"/>
        <w:jc w:val="both"/>
        <w:rPr>
          <w:rFonts w:ascii="Times New Roman" w:eastAsiaTheme="minorEastAsia" w:hAnsi="Times New Roman" w:cs="Times New Roman"/>
          <w:noProof/>
          <w:sz w:val="24"/>
        </w:rPr>
      </w:pPr>
    </w:p>
    <w:p w14:paraId="78C4205E"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18EB419F"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14412298" w14:textId="77777777"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H.1. Beskrivning av reformer och investeringar avseende icke återbetalningspliktigt ekonomiskt stöd</w:t>
      </w:r>
    </w:p>
    <w:p w14:paraId="21D8CCAE"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 xml:space="preserve">Reform RE-r19: Landskapsomvandling i känsliga skogsområden </w:t>
      </w:r>
    </w:p>
    <w:p w14:paraId="1530F02D"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åtgärd är att omvandla landskapet i sårbara skogsområden med vidsträckta områden med oförvaltade monokulturer och hög risk för bränder, i syfte att förebygga bränder på landsbygden och öka klimatresiliensen och den ekonomiska motståndskraften. </w:t>
      </w:r>
    </w:p>
    <w:p w14:paraId="117AB455"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reform ska genomföras genom investering RE-C08-i01 (landskapsomvandling i sårbara skogsområden). Reformen ska bestå av fyra åtgärder som kompletterar varandra och beskrivs nedan: </w:t>
      </w:r>
    </w:p>
    <w:p w14:paraId="2B64ED62" w14:textId="2E148AA3" w:rsidR="00E040FD" w:rsidRDefault="00740D64">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planerings- och förvaltningsprogrammen (PRGP). </w:t>
      </w:r>
    </w:p>
    <w:p w14:paraId="59F38D89" w14:textId="240A2AF0" w:rsidR="00E040FD" w:rsidRDefault="00740D64">
      <w:pPr>
        <w:pStyle w:val="P68B1DB1-Normal4"/>
        <w:keepNext/>
        <w:numPr>
          <w:ilvl w:val="0"/>
          <w:numId w:val="26"/>
        </w:numPr>
        <w:spacing w:before="40" w:after="160" w:line="259" w:lineRule="auto"/>
        <w:contextualSpacing/>
        <w:jc w:val="both"/>
        <w:rPr>
          <w:rFonts w:eastAsiaTheme="minorEastAsia" w:cs="Times New Roman"/>
          <w:noProof/>
        </w:rPr>
      </w:pPr>
      <w:r>
        <w:rPr>
          <w:noProof/>
        </w:rPr>
        <w:t>det integrerade landskapsförvaltningsområdet (AIGP).</w:t>
      </w:r>
    </w:p>
    <w:p w14:paraId="6F899ECD" w14:textId="77777777" w:rsidR="00E040FD" w:rsidRDefault="00740D64">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ett integrerat stödprogram för byar på landsbygden i skogsområden (bysamhällen). och </w:t>
      </w:r>
    </w:p>
    <w:p w14:paraId="0D9E1D1B" w14:textId="77777777" w:rsidR="00E040FD" w:rsidRDefault="00740D64">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programmet </w:t>
      </w:r>
      <w:r>
        <w:rPr>
          <w:i/>
          <w:noProof/>
        </w:rPr>
        <w:t>Emparcelar para</w:t>
      </w:r>
      <w:r>
        <w:rPr>
          <w:noProof/>
        </w:rPr>
        <w:t xml:space="preserve"> Ordenar. </w:t>
      </w:r>
    </w:p>
    <w:p w14:paraId="05CF4764" w14:textId="77777777" w:rsidR="00E040FD" w:rsidRDefault="00740D64">
      <w:pPr>
        <w:pStyle w:val="P68B1DB1-Normal4"/>
        <w:keepNext/>
        <w:spacing w:before="40" w:after="0" w:line="259" w:lineRule="auto"/>
        <w:jc w:val="both"/>
        <w:rPr>
          <w:rFonts w:eastAsiaTheme="minorEastAsia" w:cs="Times New Roman"/>
          <w:noProof/>
        </w:rPr>
      </w:pPr>
      <w:r>
        <w:rPr>
          <w:noProof/>
        </w:rPr>
        <w:t>Reformen bygger på och stöder programmet för landskapsomvandling (</w:t>
      </w:r>
      <w:r>
        <w:rPr>
          <w:i/>
          <w:noProof/>
        </w:rPr>
        <w:t>Programa de Transformação da paisagem –</w:t>
      </w:r>
      <w:r>
        <w:rPr>
          <w:noProof/>
        </w:rPr>
        <w:t xml:space="preserve"> PTP) med den nödvändiga rättsliga ramen. Denna rättsliga ram ska åtminstone omfatta lagstiftningen om omvandling av landskap genom program för landskapsplanering och integrerad förvaltning av landskap, den lagstiftning som syftar till att godkänna avgränsningen av känsliga områden som kan omfattas av program för landskapsplanering och integrerad förvaltning av landskap samt lagstiftning om obligatoriskt innehav av jordbruksmark i skogsområden.</w:t>
      </w:r>
    </w:p>
    <w:p w14:paraId="7BF26BBD" w14:textId="77777777" w:rsidR="00E040FD" w:rsidRDefault="00740D64">
      <w:pPr>
        <w:pStyle w:val="P68B1DB1-Normal4"/>
        <w:keepNext/>
        <w:spacing w:after="0" w:line="259" w:lineRule="auto"/>
        <w:jc w:val="both"/>
        <w:rPr>
          <w:rFonts w:eastAsiaTheme="minorEastAsia" w:cs="Times New Roman"/>
          <w:noProof/>
        </w:rPr>
      </w:pPr>
      <w:r>
        <w:rPr>
          <w:noProof/>
        </w:rPr>
        <w:t xml:space="preserve">Genomförandet av reformen ska vara slutfört senast den 30 september 2021. </w:t>
      </w:r>
    </w:p>
    <w:p w14:paraId="1E1C3C81"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Reform RE-r20: Omorganisation av fastighetsregistret och systemet för övervakning av marktäckning</w:t>
      </w:r>
    </w:p>
    <w:p w14:paraId="3C49EAAB"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åtgärd är att åtgärda avsaknaden av ett multifunktionellt fastighetsregister genom att införa och utveckla ett system för identifiering och kontroll av gränserna för markägande och efterföljande registrering av markägande. Detta ska möjliggöra en sammanhängande, aktuell och holistisk syn på territoriet som ska öka markens värde för dess ägare och göra det möjligt för staten att utveckla en konkret, hållbar och sektorsövergripande offentlig politik.</w:t>
      </w:r>
    </w:p>
    <w:p w14:paraId="7ABC78BC" w14:textId="760D1E29" w:rsidR="00E040FD" w:rsidRDefault="00740D64">
      <w:pPr>
        <w:pStyle w:val="P68B1DB1-Normal4"/>
        <w:keepNext/>
        <w:spacing w:before="40" w:after="0" w:line="259" w:lineRule="auto"/>
        <w:jc w:val="both"/>
        <w:rPr>
          <w:rFonts w:eastAsiaTheme="minorEastAsia" w:cs="Times New Roman"/>
          <w:noProof/>
        </w:rPr>
      </w:pPr>
      <w:r>
        <w:rPr>
          <w:noProof/>
        </w:rPr>
        <w:t>Reformen ska bestå av idrifttagande av systemet för övervakning av marktäckning (SMOS) och utveckling av plattformen BUPi (Digital Land Registry), en fysisk och virtuell disk med georefererad information om fastigheter, som ska sammanställa den information som krävs för deras registrering och underlätta medborgarnas interaktion med den offentliga förvaltningen inom ramen för fastighetsregistret. Genom reformen inrättas också den nödvändiga rättsliga ramen för att genomföra investeringar RE-C08 – i02: Fastighetsregister på landsbygden och system för övervakning av marktäckning. Reformen ska omfatta följande:</w:t>
      </w:r>
    </w:p>
    <w:p w14:paraId="2B70C39A" w14:textId="77777777" w:rsidR="00E040FD" w:rsidRDefault="00740D6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antagande av en lag om inrättande av uppdragsstrukturen för utvidgningen av det förenklade informationssystemet för fastighetsregister, ett offentligt organ som ska övervaka utvidgningen av det förenklade nationella informationssystemet för fastighetsregister och utvecklingen av plattformen BUPi. </w:t>
      </w:r>
    </w:p>
    <w:p w14:paraId="200CB5CD" w14:textId="77777777" w:rsidR="00E040FD" w:rsidRDefault="00740D6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antagande av en rättsakt om inrättande av systemet för drift och finansiering av modellen för organisation och utveckling av det förenklade informationssystemet för fastighetsregister. </w:t>
      </w:r>
    </w:p>
    <w:p w14:paraId="22A73E8F" w14:textId="704AFECE" w:rsidR="00E040FD" w:rsidRDefault="00740D64">
      <w:pPr>
        <w:pStyle w:val="P68B1DB1-Normal4"/>
        <w:keepNext/>
        <w:numPr>
          <w:ilvl w:val="0"/>
          <w:numId w:val="40"/>
        </w:numPr>
        <w:spacing w:before="40" w:after="160" w:line="259" w:lineRule="auto"/>
        <w:contextualSpacing/>
        <w:jc w:val="both"/>
        <w:rPr>
          <w:rFonts w:eastAsiaTheme="minorEastAsia" w:cs="Times New Roman"/>
          <w:noProof/>
        </w:rPr>
      </w:pPr>
      <w:r>
        <w:rPr>
          <w:noProof/>
        </w:rPr>
        <w:t>antagande av en lag om godkännande av den rättsliga ordningen för fastighetsregistret, om inrättande av det nationella systemet för fastighetsinformation, kopplat till det förenklade systemet för fastighetsinformation och stadfäster fastighetsstadgan som nationell karta över fastighetsregistret.</w:t>
      </w:r>
    </w:p>
    <w:p w14:paraId="0517B990" w14:textId="77777777" w:rsidR="00E040FD" w:rsidRDefault="00740D64">
      <w:pPr>
        <w:pStyle w:val="P68B1DB1-Normal4"/>
        <w:keepNext/>
        <w:numPr>
          <w:ilvl w:val="0"/>
          <w:numId w:val="40"/>
        </w:numPr>
        <w:spacing w:before="40" w:after="160" w:line="259" w:lineRule="auto"/>
        <w:contextualSpacing/>
        <w:jc w:val="both"/>
        <w:rPr>
          <w:rFonts w:eastAsiaTheme="minorEastAsia" w:cs="Times New Roman"/>
          <w:noProof/>
        </w:rPr>
      </w:pPr>
      <w:r>
        <w:rPr>
          <w:noProof/>
        </w:rPr>
        <w:t>antagande av en rättsakt om ändring av dekret nr 9-A/2017 av den 3 november</w:t>
      </w:r>
      <w:r>
        <w:rPr>
          <w:noProof/>
        </w:rPr>
        <w:footnoteReference w:id="39"/>
      </w:r>
      <w:r>
        <w:rPr>
          <w:noProof/>
        </w:rPr>
        <w:t xml:space="preserve"> som förtydligar driften av det förenklade informationssystemet för fastighetsregister och BUPi-plattformen, genom antagande av åtgärder för omedelbar identifiering av markstruktur och ägande av jordbruksmark och blandad mark. och</w:t>
      </w:r>
    </w:p>
    <w:p w14:paraId="15E59400" w14:textId="77777777" w:rsidR="00E040FD" w:rsidRDefault="00740D64">
      <w:pPr>
        <w:pStyle w:val="P68B1DB1-Normal4"/>
        <w:keepNext/>
        <w:numPr>
          <w:ilvl w:val="0"/>
          <w:numId w:val="40"/>
        </w:numPr>
        <w:spacing w:before="40" w:after="160" w:line="259" w:lineRule="auto"/>
        <w:contextualSpacing/>
        <w:jc w:val="both"/>
        <w:rPr>
          <w:rFonts w:eastAsiaTheme="minorEastAsia" w:cs="Times New Roman"/>
          <w:noProof/>
        </w:rPr>
      </w:pPr>
      <w:r>
        <w:rPr>
          <w:noProof/>
        </w:rPr>
        <w:t>utarbetande av ett förslag till lag om inrättande av ett extraordinärt system för registrering av jordbruksmark och ändring av lagen om fastighetsregister (CRP).</w:t>
      </w:r>
    </w:p>
    <w:p w14:paraId="236B79E0" w14:textId="77777777" w:rsidR="00E040FD" w:rsidRDefault="00740D64">
      <w:pPr>
        <w:pStyle w:val="P68B1DB1-Normal4"/>
        <w:keepNext/>
        <w:spacing w:before="40" w:after="0" w:line="259" w:lineRule="auto"/>
        <w:jc w:val="both"/>
        <w:rPr>
          <w:rFonts w:eastAsiaTheme="minorEastAsia" w:cs="Times New Roman"/>
          <w:noProof/>
        </w:rPr>
      </w:pPr>
      <w:r>
        <w:rPr>
          <w:noProof/>
        </w:rPr>
        <w:t>Genomförandet av reformen ska vara slutfört senast den 31 december 2022.</w:t>
      </w:r>
    </w:p>
    <w:p w14:paraId="6D2F50DA"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Reform RE-r21: Förebyggande och bekämpning av bränder på landsbygden</w:t>
      </w:r>
    </w:p>
    <w:p w14:paraId="4B3DAA2A"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åtgärd är att öka förebyggandet av och förbättra kampen mot bränder på landsbygden genom att inrätta ett primärnät för avbrott i bränslehanteringen och stärka de enheter som ansvarar för hanteringen av och skyddet mot bränder på landsbygden. </w:t>
      </w:r>
    </w:p>
    <w:p w14:paraId="17B5E78D"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Reformen ska bestå av följande:  </w:t>
      </w:r>
    </w:p>
    <w:p w14:paraId="3880BAFB" w14:textId="77777777" w:rsidR="00E040FD" w:rsidRDefault="00740D6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antagande av en akt om godkännande av den nationella planen för integrerad förvaltning av landsbygdsbränder (PNGIFR). </w:t>
      </w:r>
    </w:p>
    <w:p w14:paraId="3D91EFD9" w14:textId="77777777" w:rsidR="00E040FD" w:rsidRDefault="00740D6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antagande av en lag om inrättande av det integrerade förvaltningssystemet för bränder på landsbygden (SIGIFR). och </w:t>
      </w:r>
    </w:p>
    <w:p w14:paraId="22AB284F" w14:textId="77777777" w:rsidR="00E040FD" w:rsidRDefault="00740D6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antagande av en rättsakt om godkännande av det nationella handlingsprogrammet för den nationella planen för integrerad förvaltning av landsbygdsbränder. </w:t>
      </w:r>
    </w:p>
    <w:p w14:paraId="1B361553" w14:textId="49B20966" w:rsidR="00E040FD" w:rsidRDefault="00740D64">
      <w:pPr>
        <w:pStyle w:val="P68B1DB1-Normal4"/>
        <w:keepNext/>
        <w:spacing w:before="40" w:after="0" w:line="259" w:lineRule="auto"/>
        <w:jc w:val="both"/>
        <w:rPr>
          <w:rFonts w:eastAsiaTheme="minorEastAsia" w:cs="Times New Roman"/>
          <w:noProof/>
        </w:rPr>
      </w:pPr>
      <w:r>
        <w:rPr>
          <w:noProof/>
        </w:rPr>
        <w:t xml:space="preserve">Det integrerade förvaltningssystemet för bränder på landsbygden (SIGIFR) ska på nationell nivå tillhandahålla makropolitik och strategiska riktlinjer som ska bidra till att minska risken för bränder på landsbygden och till att ändra beteendet hos ägare, användare och direkta och indirekta stödmottagare på landsbygden. Systemet ska fastställa interministeriella samordningsmodeller, med en avgränsning av befogenheter och verksamhetsområde för varje enhet inom SIGIFR, med större ansvarsskyldighet för de olika aktörerna i beslutsprocessen. Den ska fastställa en modell för styrning, övervakning och utvärdering, som ska bidra till en kontinuerlig förbättring av den offentliga politiken och de offentliga programmen. </w:t>
      </w:r>
    </w:p>
    <w:p w14:paraId="04DCD497" w14:textId="77777777" w:rsidR="00E040FD" w:rsidRDefault="00740D64">
      <w:pPr>
        <w:pStyle w:val="P68B1DB1-Normal4"/>
        <w:keepNext/>
        <w:spacing w:before="40" w:after="0" w:line="259" w:lineRule="auto"/>
        <w:jc w:val="both"/>
        <w:rPr>
          <w:rFonts w:eastAsiaTheme="minorEastAsia" w:cs="Times New Roman"/>
          <w:noProof/>
        </w:rPr>
      </w:pPr>
      <w:r>
        <w:rPr>
          <w:noProof/>
        </w:rPr>
        <w:t>Ett landsvägsbrandinformationssystem ska inrättas för att sammanställa och sprida all relevant teknisk information från SIGIFR. Dessutom ska den fastställa en modell som bygger på riskförebyggande och riskminimering, antingen genom medvetandehöjande verksamhet eller genom inrättande av regionala försvarsnätverk, där bränslehanteringen spelar en ledande roll i sanktionssystemet.</w:t>
      </w:r>
    </w:p>
    <w:p w14:paraId="26D46A9E" w14:textId="77777777" w:rsidR="00E040FD" w:rsidRDefault="00740D64">
      <w:pPr>
        <w:pStyle w:val="P68B1DB1-Normal4"/>
        <w:keepNext/>
        <w:spacing w:before="40" w:after="0" w:line="259" w:lineRule="auto"/>
        <w:jc w:val="both"/>
        <w:rPr>
          <w:rFonts w:eastAsiaTheme="minorEastAsia" w:cs="Times New Roman"/>
          <w:noProof/>
        </w:rPr>
      </w:pPr>
      <w:r>
        <w:rPr>
          <w:noProof/>
        </w:rPr>
        <w:t>Genomförandet av reformen ska vara slutfört senast den 30 september 2021.</w:t>
      </w:r>
    </w:p>
    <w:p w14:paraId="3E0AE6FF"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RE-C08-i01: Landskapsomvandling i känsliga skogsområden</w:t>
      </w:r>
    </w:p>
    <w:p w14:paraId="434C95EF"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åtgärd är att öka sårbara områdens motståndskraft mot de risker som är förknippade med klimatförändringar, särskilt bränder på landsbygden och förlusten av biologisk mångfald, och att främja hållbar tillväxt och territoriell sammanhållning. Dessa mål ska uppnås genom omvandling av landskapet, en ökning av den genomsnittliga storleken på jordbruksfastigheter, förändrad markanvändning och planering av ny ekonomisk verksamhet.</w:t>
      </w:r>
    </w:p>
    <w:p w14:paraId="6C20CEB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ska bestå av följande program: </w:t>
      </w:r>
    </w:p>
    <w:p w14:paraId="41A7E521" w14:textId="77777777" w:rsidR="00E040FD" w:rsidRDefault="00740D64">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program för landskapsplanering och landskapsvård som ska utforma det önskvärda landskapet och fastställa en övergångsmatris på medellång till lång sikt med stöd av en finansieringsmodell som säkerställer dess genomförande. </w:t>
      </w:r>
    </w:p>
    <w:p w14:paraId="2E501077" w14:textId="077FC262" w:rsidR="00E040FD" w:rsidRDefault="00740D64">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de integrerade landskapsförvaltningsområdena (AIGP) som ska öka storleken på det skogsområde som förvaltas, skapa avbrott i vidsträckta områden med monokulter av tall och eukalyptus och göra det möjligt att ersätta områden med eukalyptus med andra arter, särskilt inhemska arter, för att uppnå en omfattning som främjar motståndskraft mot bränder och tillvaratagande av naturkapital och skapar de nödvändiga förutsättningarna för utvecklingen av integrerade insatser för landskapsförvaltning som fastställer programplaneringen för insatserna, driftsmodellen, de ekonomiska resurser som ska anslås och förvaltnings- och övervakningssystemet. </w:t>
      </w:r>
    </w:p>
    <w:p w14:paraId="6E47BE1A" w14:textId="77777777" w:rsidR="00E040FD" w:rsidRDefault="00740D64">
      <w:pPr>
        <w:pStyle w:val="P68B1DB1-Normal4"/>
        <w:keepNext/>
        <w:numPr>
          <w:ilvl w:val="0"/>
          <w:numId w:val="36"/>
        </w:numPr>
        <w:spacing w:before="40" w:after="160" w:line="259" w:lineRule="auto"/>
        <w:contextualSpacing/>
        <w:jc w:val="both"/>
        <w:rPr>
          <w:rFonts w:eastAsiaTheme="minorEastAsia" w:cs="Times New Roman"/>
          <w:noProof/>
        </w:rPr>
      </w:pPr>
      <w:r>
        <w:rPr>
          <w:noProof/>
        </w:rPr>
        <w:t>det integrerade stödprogrammet för landsbygdsbyar belägna i skogsområden som ska stödja en uppsättning åtgärder för att säkerställa förändrad markanvändning och markanvändning samt hantering av bränsle runt byar på landsbygden. och</w:t>
      </w:r>
    </w:p>
    <w:p w14:paraId="5154E281" w14:textId="7B63E210" w:rsidR="00E040FD" w:rsidRDefault="00740D64">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programmet </w:t>
      </w:r>
      <w:r>
        <w:rPr>
          <w:i/>
          <w:noProof/>
        </w:rPr>
        <w:t>Emparcelar para</w:t>
      </w:r>
      <w:r>
        <w:rPr>
          <w:noProof/>
        </w:rPr>
        <w:t xml:space="preserve"> Ordenar som ska öka den genomsnittliga storleken på landsbygdsfastigheter och därmed bidra till livskraften och den ekonomiska hållbarheten hos de jordbruksföretag som installeras eller ska installeras där.</w:t>
      </w:r>
    </w:p>
    <w:p w14:paraId="408260D4"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vara genomförd senast den 30 september 2025. </w:t>
      </w:r>
    </w:p>
    <w:p w14:paraId="64C9896B"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RE-C08-i02: Fastighetsregister på landsbygden och system för övervakning av marktäckning</w:t>
      </w:r>
    </w:p>
    <w:p w14:paraId="22A9B6FF"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åtgärd är att förse den portugisiska staten med en bas för kunskap om</w:t>
      </w:r>
      <w:r>
        <w:rPr>
          <w:noProof/>
          <w:bdr w:val="none" w:sz="0" w:space="0" w:color="auto" w:frame="1"/>
        </w:rPr>
        <w:t xml:space="preserve">vägarna i området, särskilt när det gäller typen av och gränserna för landsbygdsfastigheter, så att det blir möjligt att identifiera markägare. Detta är avgörande för att planera, förvalta och stödja beslut om territoriets ockupation och användning. </w:t>
      </w:r>
    </w:p>
    <w:p w14:paraId="63DE2868" w14:textId="6BEEED40"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ska bestå av utveckling av BUPi-plattformen och utarbetande av referenskartor för systemet för övervakning av marktäckning (SMOS), inbegripet en digital 3-D-representation av mark genom Light Detection and Ranging (LiDAR) täckning, vegetationskartor, kartor över biomassa och timmervolymer, kartor över marktäcke och markanvändning samt satellitbildens täckning. Dessa åtgärder kompletterar varandra och ska göra det möjligt att fullt ut ta BUPi-plattformen i drift, samtidigt som man säkerställer interoperabilitet mellan alla befintliga informationssystem med anknytning till fastighetsgeometri, fastighetsregistret och skattematriser som för närvarande förvaltas av olika myndigheter, däribland Tributarie- och tullmyndigheten, Institutet för registrering och notariefrågor och generaldirektoratet för territoriella frågor. Medborgare, företag och alla offentliga myndigheter ska erhålla ett unikt identifikationsnummer för sina fastigheter, inklusive information om deras gränser och egenskaper. För att säkerställa ett framgångsrikt genomförande av de ovannämnda åtgärderna ska investeringen även omfatta utbildning av behörig teknisk personal vid kommunerna, registratorer och skattemyndigheternas ombud. </w:t>
      </w:r>
    </w:p>
    <w:p w14:paraId="5CC0FA77"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vara genomförd senast den 31 mars 2025. </w:t>
      </w:r>
    </w:p>
    <w:p w14:paraId="72559B84"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RE-C08-i03: Avbrott i bränslehanteringen – primärnät</w:t>
      </w:r>
    </w:p>
    <w:p w14:paraId="593C138F"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åtgärd är att skapa horisontella diskontinuiteter i landskapet genom ett primärnät av avbrott i bränslehanteringen (RPFGC). Detta nätverk ska isolera brandutbrott, skydda kommunikationsvägar, social infrastruktur och utrustning, minska den genomsnittliga yta som förstörs av bränder genom att dela upp landskapet, underlätta brandbekämpningsåtgärder och säkerställa brandmännens säkerhet genom att skapa utrymningsvägar. </w:t>
      </w:r>
    </w:p>
    <w:p w14:paraId="70C7317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omfatta följande åtgärder: </w:t>
      </w:r>
    </w:p>
    <w:p w14:paraId="24C24867" w14:textId="045052BF" w:rsidR="00E040FD" w:rsidRDefault="00740D64">
      <w:pPr>
        <w:pStyle w:val="P68B1DB1-Normal4"/>
        <w:keepNext/>
        <w:numPr>
          <w:ilvl w:val="0"/>
          <w:numId w:val="37"/>
        </w:numPr>
        <w:spacing w:before="40" w:after="160" w:line="259" w:lineRule="auto"/>
        <w:contextualSpacing/>
        <w:jc w:val="both"/>
        <w:rPr>
          <w:rFonts w:eastAsiaTheme="minorEastAsia" w:cs="Times New Roman"/>
          <w:noProof/>
        </w:rPr>
      </w:pPr>
      <w:r>
        <w:rPr>
          <w:noProof/>
        </w:rPr>
        <w:t>kartläggning och bedömning av markanvändningen av mark som ingår i det primära nätet för bränslehantering.</w:t>
      </w:r>
    </w:p>
    <w:p w14:paraId="7E5F956F" w14:textId="1DA906D0" w:rsidR="00E040FD" w:rsidRDefault="00740D64">
      <w:pPr>
        <w:pStyle w:val="P68B1DB1-Normal4"/>
        <w:keepNext/>
        <w:numPr>
          <w:ilvl w:val="0"/>
          <w:numId w:val="37"/>
        </w:numPr>
        <w:spacing w:before="40" w:after="160" w:line="259" w:lineRule="auto"/>
        <w:contextualSpacing/>
        <w:jc w:val="both"/>
        <w:rPr>
          <w:rFonts w:eastAsiaTheme="minorEastAsia" w:cs="Times New Roman"/>
          <w:noProof/>
        </w:rPr>
      </w:pPr>
      <w:r>
        <w:rPr>
          <w:noProof/>
        </w:rPr>
        <w:t>identifiering av ägare, bedömning och beräkning av ersättningsnivån och andra faktorer som leder till anmälan av allmännyttig information till markägare, ingående av avtal och betalning av tillhörande ersättningar</w:t>
      </w:r>
    </w:p>
    <w:p w14:paraId="25DDFC97" w14:textId="481096AD" w:rsidR="00E040FD" w:rsidRDefault="00740D64">
      <w:pPr>
        <w:pStyle w:val="P68B1DB1-Normal4"/>
        <w:keepNext/>
        <w:numPr>
          <w:ilvl w:val="0"/>
          <w:numId w:val="37"/>
        </w:numPr>
        <w:spacing w:before="40" w:after="160" w:line="259" w:lineRule="auto"/>
        <w:contextualSpacing/>
        <w:jc w:val="both"/>
        <w:rPr>
          <w:rFonts w:eastAsiaTheme="minorEastAsia" w:cs="Times New Roman"/>
          <w:noProof/>
        </w:rPr>
      </w:pPr>
      <w:r>
        <w:rPr>
          <w:noProof/>
        </w:rPr>
        <w:t>införande i BUPi-plattformen av den georefererade grafiska representationen av den landsbygdsmark som ingår i inrättandet av servitut i syfte att möjliggöra efterföljande särskilda registreringsförfaranden. och</w:t>
      </w:r>
    </w:p>
    <w:p w14:paraId="502FE4AD" w14:textId="77777777" w:rsidR="00E040FD" w:rsidRDefault="00740D64">
      <w:pPr>
        <w:pStyle w:val="P68B1DB1-Normal4"/>
        <w:keepNext/>
        <w:numPr>
          <w:ilvl w:val="0"/>
          <w:numId w:val="37"/>
        </w:numPr>
        <w:spacing w:before="40" w:after="160" w:line="259" w:lineRule="auto"/>
        <w:contextualSpacing/>
        <w:jc w:val="both"/>
        <w:rPr>
          <w:rFonts w:eastAsiaTheme="minorEastAsia" w:cs="Times New Roman"/>
          <w:noProof/>
        </w:rPr>
      </w:pPr>
      <w:r>
        <w:rPr>
          <w:noProof/>
        </w:rPr>
        <w:t>genomförandet av det primära nätet av bränslehanteringsavbrott på nationell nivå.</w:t>
      </w:r>
    </w:p>
    <w:p w14:paraId="5864A70C" w14:textId="76764FD1" w:rsidR="00E040FD" w:rsidRDefault="00E040FD">
      <w:pPr>
        <w:keepNext/>
        <w:spacing w:before="40" w:after="0" w:line="259" w:lineRule="auto"/>
        <w:jc w:val="both"/>
        <w:rPr>
          <w:rFonts w:ascii="Times New Roman" w:eastAsiaTheme="minorEastAsia" w:hAnsi="Times New Roman" w:cs="Times New Roman"/>
          <w:noProof/>
          <w:sz w:val="24"/>
        </w:rPr>
      </w:pPr>
    </w:p>
    <w:p w14:paraId="28696E46"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vara genomförd senast den 31 december 2025. </w:t>
      </w:r>
    </w:p>
    <w:p w14:paraId="6FB83105"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RE-C08-i04: Metoder för att förebygga och bekämpa bränder på landsbygden</w:t>
      </w:r>
    </w:p>
    <w:p w14:paraId="083D727F" w14:textId="5A761AE0"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åtgärd är att stärka de statliga enheter som deltar i arbetet med att förebygga och bekämpa bränder på landsbygden. Mer specifikt ska denna åtgärd stärka kapaciteten i fråga om infrastruktur och utrustning hos det portugisiska flygvapnet och hos institutet för natur- och skogsskydd (ICNF) för att öka deras effektivitet och ändamålsenlighet när det gäller att förebygga och bekämpa bränder på landsbygden. Denna åtgärd ska dessutom förbättra riskbedömningen genom att standardisera och uppdatera det portugisiska havsinstitutet och radarnätet i Atmosfären (IPMA). </w:t>
      </w:r>
    </w:p>
    <w:p w14:paraId="385E3858" w14:textId="14B08B85"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ska bestå av inköp av två lätta och nio medelhöga brandstridshelikoptrar, uppförande av nya byggnader och renovering av befintliga byggnader (operationscentrum och hangarer för underhåll), inköp av fordon, maskiner och utrustning som behövs för att hantera brandbekämpningsinsatser, såsom personlig skyddsutrustning, brandbekämpningsfordon, skjutbogserare och traktorer, samt standardisering och uppgradering av det meteorologiska radarnätet. </w:t>
      </w:r>
    </w:p>
    <w:p w14:paraId="11A46961" w14:textId="77777777" w:rsidR="00E040FD" w:rsidRDefault="00740D64">
      <w:pPr>
        <w:pStyle w:val="P68B1DB1-Normal4"/>
        <w:keepNext/>
        <w:spacing w:before="40" w:after="0" w:line="259" w:lineRule="auto"/>
        <w:jc w:val="both"/>
        <w:rPr>
          <w:rFonts w:eastAsiaTheme="minorEastAsia" w:cs="Times New Roman"/>
          <w:noProof/>
        </w:rPr>
      </w:pPr>
      <w:r>
        <w:rPr>
          <w:noProof/>
        </w:rPr>
        <w:t>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För att säkerställa överensstämmelse med den tekniska vägledningen om att inte orsaka betydande skada (2021/C58/01) ska de fordon, maskiner och utrustning som ska köpas in vara utsläppsfria. Om det inte finns några utsläppsfria alternativ ska de fordon, maskiner och utrustning som ska köpas in motsvara bästa tillgängliga miljöprestandanivåer inom sektorn.</w:t>
      </w:r>
    </w:p>
    <w:p w14:paraId="6B6B66CF"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vara genomförd senast den 31 december 2025. </w:t>
      </w:r>
    </w:p>
    <w:p w14:paraId="1253F25C"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RE-C08-i05: Mer skogsprogram</w:t>
      </w:r>
    </w:p>
    <w:p w14:paraId="39858146" w14:textId="591325CE" w:rsidR="00E040FD" w:rsidRDefault="00740D64">
      <w:pPr>
        <w:pStyle w:val="P68B1DB1-Normal4"/>
        <w:keepNext/>
        <w:spacing w:before="40" w:after="0" w:line="259" w:lineRule="auto"/>
        <w:jc w:val="both"/>
        <w:rPr>
          <w:rFonts w:eastAsiaTheme="minorEastAsia" w:cs="Times New Roman"/>
          <w:noProof/>
        </w:rPr>
      </w:pPr>
      <w:r>
        <w:rPr>
          <w:noProof/>
        </w:rPr>
        <w:t xml:space="preserve">Syftet med åtgärden är att uppgradera systemet för förebyggande av bränder och brandbekämpning genom att övergå från brandbekämpningsmodellen till modellen med förebyggande åtgärder och att stärka skogsproducentorganisationernas och kompetenscentrumens åtgärder inom skogsbrukssektorn genom att involvera specialister och öka de tekniska kvalifikationerna hos alla berörda aktörer i dessa enheter. </w:t>
      </w:r>
    </w:p>
    <w:p w14:paraId="51BD29B4" w14:textId="77777777" w:rsidR="00E040FD" w:rsidRDefault="00740D64">
      <w:pPr>
        <w:pStyle w:val="P68B1DB1-Normal4"/>
        <w:keepNext/>
        <w:spacing w:before="40" w:after="0" w:line="259" w:lineRule="auto"/>
        <w:jc w:val="both"/>
        <w:rPr>
          <w:rFonts w:eastAsiaTheme="minorEastAsia" w:cs="Times New Roman"/>
          <w:noProof/>
        </w:rPr>
      </w:pPr>
      <w:r>
        <w:rPr>
          <w:noProof/>
        </w:rPr>
        <w:t>Denna investering ska bestå av följande åtgärder:</w:t>
      </w:r>
    </w:p>
    <w:p w14:paraId="60F5BEF9" w14:textId="77777777" w:rsidR="00E040FD" w:rsidRDefault="00740D64">
      <w:pPr>
        <w:pStyle w:val="P68B1DB1-Normal4"/>
        <w:keepNext/>
        <w:numPr>
          <w:ilvl w:val="0"/>
          <w:numId w:val="27"/>
        </w:numPr>
        <w:spacing w:before="40" w:after="160" w:line="259" w:lineRule="auto"/>
        <w:contextualSpacing/>
        <w:jc w:val="both"/>
        <w:rPr>
          <w:rFonts w:eastAsiaTheme="minorEastAsia" w:cs="Times New Roman"/>
          <w:noProof/>
        </w:rPr>
      </w:pPr>
      <w:r>
        <w:rPr>
          <w:noProof/>
        </w:rPr>
        <w:t xml:space="preserve">utvidgning av programmen ”Secure Village” och ”Safe People” som syftar till att främja medvetandehöjande åtgärder för att förebygga riskbeteenden hos befolkningen, självskyddsåtgärder och simuleringar av evakueringsplaner, i samarbete med lokala myndigheter. </w:t>
      </w:r>
    </w:p>
    <w:p w14:paraId="4EAC3577" w14:textId="313E43B8" w:rsidR="00E040FD" w:rsidRDefault="00740D64">
      <w:pPr>
        <w:pStyle w:val="P68B1DB1-Normal4"/>
        <w:keepNext/>
        <w:numPr>
          <w:ilvl w:val="0"/>
          <w:numId w:val="27"/>
        </w:numPr>
        <w:spacing w:before="40" w:after="160" w:line="259" w:lineRule="auto"/>
        <w:contextualSpacing/>
        <w:jc w:val="both"/>
        <w:rPr>
          <w:rFonts w:eastAsiaTheme="minorEastAsia" w:cs="Times New Roman"/>
          <w:noProof/>
        </w:rPr>
      </w:pPr>
      <w:r>
        <w:rPr>
          <w:noProof/>
        </w:rPr>
        <w:t>förstärkning av den operativa insatskapaciteten hos den nationella myndigheten för katastrof- och civilskydd (ANEPC) och det nationella gendarmeriet (GNR) i kampen mot bränder på landsbygden, särskilt genom inköp av fordon och personlig skyddsutrustning, renovering av befintlig infrastruktur och inrättande av nya regionala och subregionala strukturer inom ANEPC.</w:t>
      </w:r>
    </w:p>
    <w:p w14:paraId="3F8BFC5C" w14:textId="77777777" w:rsidR="00E040FD" w:rsidRDefault="00740D64">
      <w:pPr>
        <w:pStyle w:val="P68B1DB1-Normal4"/>
        <w:keepNext/>
        <w:numPr>
          <w:ilvl w:val="0"/>
          <w:numId w:val="27"/>
        </w:numPr>
        <w:spacing w:before="40" w:after="160" w:line="259" w:lineRule="auto"/>
        <w:contextualSpacing/>
        <w:jc w:val="both"/>
        <w:rPr>
          <w:rFonts w:eastAsiaTheme="minorEastAsia" w:cs="Times New Roman"/>
          <w:noProof/>
        </w:rPr>
      </w:pPr>
      <w:r>
        <w:rPr>
          <w:noProof/>
        </w:rPr>
        <w:t xml:space="preserve">tillhandahållande av utbildning och kvalifikationer för operativ personal som arbetar med brandbekämpning och till OPF-tekniker. och </w:t>
      </w:r>
    </w:p>
    <w:p w14:paraId="785D1F00" w14:textId="6F05047A" w:rsidR="00E040FD" w:rsidRDefault="00740D64">
      <w:pPr>
        <w:pStyle w:val="P68B1DB1-Normal4"/>
        <w:keepNext/>
        <w:numPr>
          <w:ilvl w:val="0"/>
          <w:numId w:val="27"/>
        </w:numPr>
        <w:spacing w:before="40" w:after="160" w:line="259" w:lineRule="auto"/>
        <w:contextualSpacing/>
        <w:jc w:val="both"/>
        <w:rPr>
          <w:rFonts w:eastAsiaTheme="minorEastAsia" w:cs="Times New Roman"/>
          <w:noProof/>
        </w:rPr>
      </w:pPr>
      <w:r>
        <w:rPr>
          <w:noProof/>
        </w:rPr>
        <w:t>förstärkning av skogsägarorganisationer och kompetenscentrum på områden som är avgörande för skogsresursernas hållbarhet.</w:t>
      </w:r>
    </w:p>
    <w:p w14:paraId="277B2B14" w14:textId="06CF270D"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469B9600" w14:textId="77777777" w:rsidR="00E040FD" w:rsidRDefault="00740D64">
      <w:pPr>
        <w:pStyle w:val="P68B1DB1-Normal4"/>
        <w:keepNext/>
        <w:spacing w:before="40" w:after="0" w:line="259" w:lineRule="auto"/>
        <w:jc w:val="both"/>
        <w:rPr>
          <w:rFonts w:eastAsiaTheme="minorEastAsia" w:cs="Times New Roman"/>
          <w:noProof/>
        </w:rPr>
        <w:sectPr w:rsidR="00E040FD" w:rsidSect="00E00EDD">
          <w:headerReference w:type="even" r:id="rId168"/>
          <w:headerReference w:type="default" r:id="rId169"/>
          <w:footerReference w:type="even" r:id="rId170"/>
          <w:footerReference w:type="default" r:id="rId171"/>
          <w:headerReference w:type="first" r:id="rId172"/>
          <w:footerReference w:type="first" r:id="rId173"/>
          <w:pgSz w:w="11907" w:h="16839"/>
          <w:pgMar w:top="1134" w:right="1134" w:bottom="1134" w:left="1134" w:header="567" w:footer="567" w:gutter="0"/>
          <w:cols w:space="720"/>
          <w:docGrid w:linePitch="360"/>
        </w:sectPr>
      </w:pPr>
      <w:r>
        <w:rPr>
          <w:noProof/>
        </w:rPr>
        <w:t xml:space="preserve"> </w:t>
      </w:r>
    </w:p>
    <w:p w14:paraId="6A15D49E" w14:textId="77777777"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H.2. Delmål, mål, indikatorer och tidsplan för övervakning och genomförande avseende icke återbetalningspliktigt ekonomiskt stöd</w:t>
      </w:r>
    </w:p>
    <w:p w14:paraId="628AB07A"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245"/>
        <w:gridCol w:w="1107"/>
        <w:gridCol w:w="1658"/>
        <w:gridCol w:w="1244"/>
        <w:gridCol w:w="971"/>
        <w:gridCol w:w="970"/>
        <w:gridCol w:w="603"/>
        <w:gridCol w:w="649"/>
        <w:gridCol w:w="694"/>
        <w:gridCol w:w="4204"/>
      </w:tblGrid>
      <w:tr w:rsidR="00E040FD" w14:paraId="23FD5241" w14:textId="77777777">
        <w:trPr>
          <w:trHeight w:val="910"/>
          <w:tblHeader/>
          <w:jc w:val="center"/>
        </w:trPr>
        <w:tc>
          <w:tcPr>
            <w:tcW w:w="1114" w:type="dxa"/>
            <w:vMerge w:val="restart"/>
            <w:shd w:val="clear" w:color="auto" w:fill="BDD6EE"/>
            <w:vAlign w:val="center"/>
            <w:hideMark/>
          </w:tcPr>
          <w:p w14:paraId="7DA1148E"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45" w:type="dxa"/>
            <w:vMerge w:val="restart"/>
            <w:shd w:val="clear" w:color="auto" w:fill="BDD6EE"/>
            <w:vAlign w:val="center"/>
            <w:hideMark/>
          </w:tcPr>
          <w:p w14:paraId="279E7C6E"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07" w:type="dxa"/>
            <w:vMerge w:val="restart"/>
            <w:shd w:val="clear" w:color="auto" w:fill="BDD6EE"/>
            <w:vAlign w:val="center"/>
            <w:hideMark/>
          </w:tcPr>
          <w:p w14:paraId="061850B8" w14:textId="5E5DB946" w:rsidR="00E040FD" w:rsidRDefault="00740D64">
            <w:pPr>
              <w:pStyle w:val="P68B1DB1-Normal6"/>
              <w:spacing w:after="0" w:line="240" w:lineRule="auto"/>
              <w:jc w:val="center"/>
              <w:rPr>
                <w:rFonts w:eastAsia="Times New Roman" w:cs="Times New Roman"/>
                <w:noProof/>
                <w:sz w:val="14"/>
              </w:rPr>
            </w:pPr>
            <w:r>
              <w:rPr>
                <w:noProof/>
              </w:rPr>
              <w:t>Milestone/Mål</w:t>
            </w:r>
          </w:p>
        </w:tc>
        <w:tc>
          <w:tcPr>
            <w:tcW w:w="1658" w:type="dxa"/>
            <w:vMerge w:val="restart"/>
            <w:shd w:val="clear" w:color="auto" w:fill="BDD6EE"/>
            <w:vAlign w:val="center"/>
            <w:hideMark/>
          </w:tcPr>
          <w:p w14:paraId="6DDD64A1"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44" w:type="dxa"/>
            <w:vMerge w:val="restart"/>
            <w:shd w:val="clear" w:color="auto" w:fill="BDD6EE"/>
            <w:vAlign w:val="center"/>
            <w:hideMark/>
          </w:tcPr>
          <w:p w14:paraId="616A60C2"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544" w:type="dxa"/>
            <w:gridSpan w:val="3"/>
            <w:shd w:val="clear" w:color="auto" w:fill="BDD6EE"/>
            <w:vAlign w:val="center"/>
            <w:hideMark/>
          </w:tcPr>
          <w:p w14:paraId="490EDE73"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343" w:type="dxa"/>
            <w:gridSpan w:val="2"/>
            <w:shd w:val="clear" w:color="auto" w:fill="BDD6EE"/>
            <w:vAlign w:val="center"/>
            <w:hideMark/>
          </w:tcPr>
          <w:p w14:paraId="5A78B1CD"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4204" w:type="dxa"/>
            <w:vMerge w:val="restart"/>
            <w:shd w:val="clear" w:color="auto" w:fill="BDD6EE"/>
            <w:vAlign w:val="center"/>
            <w:hideMark/>
          </w:tcPr>
          <w:p w14:paraId="6349DF03"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2A0BDCBA" w14:textId="77777777">
        <w:trPr>
          <w:trHeight w:val="470"/>
          <w:tblHeader/>
          <w:jc w:val="center"/>
        </w:trPr>
        <w:tc>
          <w:tcPr>
            <w:tcW w:w="1114" w:type="dxa"/>
            <w:vMerge/>
            <w:vAlign w:val="center"/>
            <w:hideMark/>
          </w:tcPr>
          <w:p w14:paraId="48494B20" w14:textId="77777777" w:rsidR="00E040FD" w:rsidRDefault="00E040FD">
            <w:pPr>
              <w:spacing w:after="0" w:line="240" w:lineRule="auto"/>
              <w:rPr>
                <w:rFonts w:ascii="Times New Roman" w:eastAsia="Times New Roman" w:hAnsi="Times New Roman" w:cs="Times New Roman"/>
                <w:b/>
                <w:noProof/>
                <w:sz w:val="18"/>
              </w:rPr>
            </w:pPr>
          </w:p>
        </w:tc>
        <w:tc>
          <w:tcPr>
            <w:tcW w:w="1245" w:type="dxa"/>
            <w:vMerge/>
            <w:vAlign w:val="center"/>
            <w:hideMark/>
          </w:tcPr>
          <w:p w14:paraId="3ED3D75A" w14:textId="77777777" w:rsidR="00E040FD" w:rsidRDefault="00E040FD">
            <w:pPr>
              <w:spacing w:after="0" w:line="240" w:lineRule="auto"/>
              <w:rPr>
                <w:rFonts w:ascii="Times New Roman" w:eastAsia="Times New Roman" w:hAnsi="Times New Roman" w:cs="Times New Roman"/>
                <w:b/>
                <w:noProof/>
                <w:sz w:val="18"/>
              </w:rPr>
            </w:pPr>
          </w:p>
        </w:tc>
        <w:tc>
          <w:tcPr>
            <w:tcW w:w="1107" w:type="dxa"/>
            <w:vMerge/>
            <w:vAlign w:val="center"/>
            <w:hideMark/>
          </w:tcPr>
          <w:p w14:paraId="5FF97188" w14:textId="3E0237B4" w:rsidR="00E040FD" w:rsidRDefault="00E040FD">
            <w:pPr>
              <w:spacing w:after="0" w:line="240" w:lineRule="auto"/>
              <w:jc w:val="center"/>
              <w:rPr>
                <w:rFonts w:ascii="Times New Roman" w:eastAsia="Times New Roman" w:hAnsi="Times New Roman" w:cs="Times New Roman"/>
                <w:b/>
                <w:noProof/>
                <w:sz w:val="14"/>
              </w:rPr>
            </w:pPr>
          </w:p>
        </w:tc>
        <w:tc>
          <w:tcPr>
            <w:tcW w:w="1658" w:type="dxa"/>
            <w:vMerge/>
            <w:vAlign w:val="center"/>
            <w:hideMark/>
          </w:tcPr>
          <w:p w14:paraId="7F856670" w14:textId="77777777" w:rsidR="00E040FD" w:rsidRDefault="00E040FD">
            <w:pPr>
              <w:spacing w:after="0" w:line="240" w:lineRule="auto"/>
              <w:rPr>
                <w:rFonts w:ascii="Times New Roman" w:eastAsia="Times New Roman" w:hAnsi="Times New Roman" w:cs="Times New Roman"/>
                <w:b/>
                <w:noProof/>
                <w:sz w:val="18"/>
              </w:rPr>
            </w:pPr>
          </w:p>
        </w:tc>
        <w:tc>
          <w:tcPr>
            <w:tcW w:w="1244" w:type="dxa"/>
            <w:vMerge/>
            <w:vAlign w:val="center"/>
            <w:hideMark/>
          </w:tcPr>
          <w:p w14:paraId="3BB7D671" w14:textId="77777777" w:rsidR="00E040FD" w:rsidRDefault="00E040FD">
            <w:pPr>
              <w:spacing w:after="0" w:line="240" w:lineRule="auto"/>
              <w:rPr>
                <w:rFonts w:ascii="Times New Roman" w:eastAsia="Times New Roman" w:hAnsi="Times New Roman" w:cs="Times New Roman"/>
                <w:b/>
                <w:noProof/>
                <w:sz w:val="18"/>
              </w:rPr>
            </w:pPr>
          </w:p>
        </w:tc>
        <w:tc>
          <w:tcPr>
            <w:tcW w:w="971" w:type="dxa"/>
            <w:shd w:val="clear" w:color="auto" w:fill="BDD6EE"/>
            <w:vAlign w:val="center"/>
            <w:hideMark/>
          </w:tcPr>
          <w:p w14:paraId="16AA7B5B"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70" w:type="dxa"/>
            <w:shd w:val="clear" w:color="auto" w:fill="BDD6EE"/>
            <w:vAlign w:val="center"/>
            <w:hideMark/>
          </w:tcPr>
          <w:p w14:paraId="254AFE6B"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603" w:type="dxa"/>
            <w:shd w:val="clear" w:color="auto" w:fill="BDD6EE"/>
            <w:vAlign w:val="center"/>
            <w:hideMark/>
          </w:tcPr>
          <w:p w14:paraId="490F16BA" w14:textId="77777777" w:rsidR="00E040FD" w:rsidRDefault="00740D64">
            <w:pPr>
              <w:pStyle w:val="P68B1DB1-Normal6"/>
              <w:spacing w:after="0" w:line="240" w:lineRule="auto"/>
              <w:jc w:val="center"/>
              <w:rPr>
                <w:rFonts w:eastAsia="Times New Roman" w:cs="Times New Roman"/>
                <w:noProof/>
              </w:rPr>
            </w:pPr>
            <w:r>
              <w:rPr>
                <w:noProof/>
              </w:rPr>
              <w:t>Mål</w:t>
            </w:r>
          </w:p>
        </w:tc>
        <w:tc>
          <w:tcPr>
            <w:tcW w:w="649" w:type="dxa"/>
            <w:shd w:val="clear" w:color="auto" w:fill="BDD6EE"/>
            <w:vAlign w:val="center"/>
            <w:hideMark/>
          </w:tcPr>
          <w:p w14:paraId="62E7BED3" w14:textId="77777777" w:rsidR="00E040FD" w:rsidRDefault="00740D64">
            <w:pPr>
              <w:pStyle w:val="P68B1DB1-Normal6"/>
              <w:spacing w:after="0" w:line="240" w:lineRule="auto"/>
              <w:jc w:val="center"/>
              <w:rPr>
                <w:rFonts w:eastAsia="Times New Roman" w:cs="Times New Roman"/>
                <w:noProof/>
              </w:rPr>
            </w:pPr>
            <w:r>
              <w:rPr>
                <w:noProof/>
              </w:rPr>
              <w:t>Q</w:t>
            </w:r>
          </w:p>
        </w:tc>
        <w:tc>
          <w:tcPr>
            <w:tcW w:w="694" w:type="dxa"/>
            <w:shd w:val="clear" w:color="auto" w:fill="BDD6EE"/>
            <w:vAlign w:val="center"/>
            <w:hideMark/>
          </w:tcPr>
          <w:p w14:paraId="6F909C03" w14:textId="77777777" w:rsidR="00E040FD" w:rsidRDefault="00740D64">
            <w:pPr>
              <w:pStyle w:val="P68B1DB1-Normal6"/>
              <w:spacing w:after="0" w:line="240" w:lineRule="auto"/>
              <w:jc w:val="center"/>
              <w:rPr>
                <w:rFonts w:eastAsia="Times New Roman" w:cs="Times New Roman"/>
                <w:noProof/>
              </w:rPr>
            </w:pPr>
            <w:r>
              <w:rPr>
                <w:noProof/>
              </w:rPr>
              <w:t>Året</w:t>
            </w:r>
          </w:p>
        </w:tc>
        <w:tc>
          <w:tcPr>
            <w:tcW w:w="4204" w:type="dxa"/>
            <w:vMerge/>
            <w:vAlign w:val="center"/>
            <w:hideMark/>
          </w:tcPr>
          <w:p w14:paraId="19BE067E" w14:textId="77777777" w:rsidR="00E040FD" w:rsidRDefault="00E040FD">
            <w:pPr>
              <w:spacing w:after="0" w:line="240" w:lineRule="auto"/>
              <w:rPr>
                <w:rFonts w:ascii="Times New Roman" w:eastAsia="Times New Roman" w:hAnsi="Times New Roman" w:cs="Times New Roman"/>
                <w:b/>
                <w:noProof/>
                <w:sz w:val="18"/>
              </w:rPr>
            </w:pPr>
          </w:p>
        </w:tc>
      </w:tr>
      <w:tr w:rsidR="00E040FD" w14:paraId="6DA303CE" w14:textId="77777777">
        <w:trPr>
          <w:trHeight w:val="640"/>
          <w:jc w:val="center"/>
        </w:trPr>
        <w:tc>
          <w:tcPr>
            <w:tcW w:w="1114" w:type="dxa"/>
            <w:shd w:val="clear" w:color="auto" w:fill="C4EFCE"/>
            <w:vAlign w:val="center"/>
            <w:hideMark/>
          </w:tcPr>
          <w:p w14:paraId="241F93F4" w14:textId="77777777" w:rsidR="00E040FD" w:rsidRDefault="00740D64">
            <w:pPr>
              <w:pStyle w:val="P68B1DB1-Normal7"/>
              <w:spacing w:after="0" w:line="240" w:lineRule="auto"/>
              <w:jc w:val="center"/>
              <w:rPr>
                <w:rFonts w:eastAsia="Times New Roman" w:cs="Calibri"/>
                <w:noProof/>
              </w:rPr>
            </w:pPr>
            <w:r>
              <w:rPr>
                <w:noProof/>
              </w:rPr>
              <w:t>8.1</w:t>
            </w:r>
          </w:p>
        </w:tc>
        <w:tc>
          <w:tcPr>
            <w:tcW w:w="1245" w:type="dxa"/>
            <w:shd w:val="clear" w:color="auto" w:fill="C4EFCE"/>
            <w:noWrap/>
            <w:vAlign w:val="center"/>
            <w:hideMark/>
          </w:tcPr>
          <w:p w14:paraId="6A7BBCF2" w14:textId="77777777" w:rsidR="00E040FD" w:rsidRDefault="00740D64">
            <w:pPr>
              <w:pStyle w:val="P68B1DB1-Normal8"/>
              <w:spacing w:after="0" w:line="240" w:lineRule="auto"/>
              <w:jc w:val="center"/>
              <w:rPr>
                <w:rFonts w:eastAsia="Times New Roman" w:cs="Calibri"/>
                <w:noProof/>
              </w:rPr>
            </w:pPr>
            <w:r>
              <w:rPr>
                <w:noProof/>
              </w:rPr>
              <w:t>RE-C08-i01</w:t>
            </w:r>
          </w:p>
        </w:tc>
        <w:tc>
          <w:tcPr>
            <w:tcW w:w="1107" w:type="dxa"/>
            <w:shd w:val="clear" w:color="auto" w:fill="C4EFCE"/>
            <w:noWrap/>
            <w:vAlign w:val="center"/>
            <w:hideMark/>
          </w:tcPr>
          <w:p w14:paraId="280C90CB" w14:textId="77777777" w:rsidR="00E040FD" w:rsidRDefault="00740D6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051B7F69" w14:textId="382A7EDD" w:rsidR="00E040FD" w:rsidRDefault="00740D64">
            <w:pPr>
              <w:pStyle w:val="P68B1DB1-Normal8"/>
              <w:spacing w:after="0" w:line="240" w:lineRule="auto"/>
              <w:jc w:val="center"/>
              <w:rPr>
                <w:rFonts w:eastAsia="Times New Roman" w:cs="Calibri"/>
                <w:noProof/>
              </w:rPr>
            </w:pPr>
            <w:r>
              <w:rPr>
                <w:noProof/>
              </w:rPr>
              <w:t>Utveckling av program för landskapsplanering och landskapsvård (PRGP) i de områden som definieras som sårbara.</w:t>
            </w:r>
          </w:p>
        </w:tc>
        <w:tc>
          <w:tcPr>
            <w:tcW w:w="1244" w:type="dxa"/>
            <w:shd w:val="clear" w:color="auto" w:fill="C4EFCE"/>
            <w:noWrap/>
            <w:vAlign w:val="center"/>
            <w:hideMark/>
          </w:tcPr>
          <w:p w14:paraId="0AF39373"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D6C4E03" w14:textId="77777777" w:rsidR="00E040FD" w:rsidRDefault="00740D64">
            <w:pPr>
              <w:pStyle w:val="P68B1DB1-Normal8"/>
              <w:spacing w:after="0" w:line="240" w:lineRule="auto"/>
              <w:jc w:val="center"/>
              <w:rPr>
                <w:rFonts w:eastAsia="Times New Roman" w:cs="Calibri"/>
                <w:noProof/>
              </w:rPr>
            </w:pPr>
            <w:r>
              <w:rPr>
                <w:noProof/>
              </w:rPr>
              <w:t xml:space="preserve"> Antal</w:t>
            </w:r>
          </w:p>
        </w:tc>
        <w:tc>
          <w:tcPr>
            <w:tcW w:w="970" w:type="dxa"/>
            <w:shd w:val="clear" w:color="auto" w:fill="C4EFCE"/>
            <w:noWrap/>
            <w:vAlign w:val="center"/>
            <w:hideMark/>
          </w:tcPr>
          <w:p w14:paraId="7EF99B82" w14:textId="77777777" w:rsidR="00E040FD" w:rsidRDefault="00740D6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8CFC2F0" w14:textId="77777777" w:rsidR="00E040FD" w:rsidRDefault="00740D64">
            <w:pPr>
              <w:pStyle w:val="P68B1DB1-Normal8"/>
              <w:spacing w:after="0" w:line="240" w:lineRule="auto"/>
              <w:jc w:val="center"/>
              <w:rPr>
                <w:rFonts w:eastAsia="Times New Roman" w:cs="Calibri"/>
                <w:noProof/>
              </w:rPr>
            </w:pPr>
            <w:r>
              <w:rPr>
                <w:noProof/>
              </w:rPr>
              <w:t>20</w:t>
            </w:r>
          </w:p>
        </w:tc>
        <w:tc>
          <w:tcPr>
            <w:tcW w:w="649" w:type="dxa"/>
            <w:shd w:val="clear" w:color="auto" w:fill="C4EFCE"/>
            <w:noWrap/>
            <w:vAlign w:val="center"/>
            <w:hideMark/>
          </w:tcPr>
          <w:p w14:paraId="65763CA3" w14:textId="77777777" w:rsidR="00E040FD" w:rsidRDefault="00740D64">
            <w:pPr>
              <w:pStyle w:val="P68B1DB1-Normal8"/>
              <w:spacing w:after="0" w:line="240" w:lineRule="auto"/>
              <w:jc w:val="center"/>
              <w:rPr>
                <w:rFonts w:eastAsia="Times New Roman" w:cs="Calibri"/>
                <w:noProof/>
              </w:rPr>
            </w:pPr>
            <w:r>
              <w:rPr>
                <w:noProof/>
              </w:rPr>
              <w:t>KVARTAL 3</w:t>
            </w:r>
          </w:p>
        </w:tc>
        <w:tc>
          <w:tcPr>
            <w:tcW w:w="694" w:type="dxa"/>
            <w:shd w:val="clear" w:color="auto" w:fill="C4EFCE"/>
            <w:noWrap/>
            <w:vAlign w:val="center"/>
            <w:hideMark/>
          </w:tcPr>
          <w:p w14:paraId="0401360D" w14:textId="77777777" w:rsidR="00E040FD" w:rsidRDefault="00740D6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3D83355D" w14:textId="03A571B2" w:rsidR="00E040FD" w:rsidRDefault="00740D64">
            <w:pPr>
              <w:pStyle w:val="P68B1DB1-Normal8"/>
              <w:spacing w:after="0" w:line="240" w:lineRule="auto"/>
              <w:rPr>
                <w:rFonts w:eastAsia="Times New Roman" w:cs="Calibri"/>
                <w:noProof/>
              </w:rPr>
            </w:pPr>
            <w:r>
              <w:rPr>
                <w:noProof/>
              </w:rPr>
              <w:t>Regeringens godkännande av program för landskapsplanering och landskapsvård för 20 homogena sårbara områden eller områden som drabbats av större bränder, med beaktande av stadgan för landskapsenheter i Portugals fastland och den territoriella modellen för det nationella programmet för fysisk planering.</w:t>
            </w:r>
          </w:p>
        </w:tc>
      </w:tr>
      <w:tr w:rsidR="00E040FD" w14:paraId="08B19252" w14:textId="77777777">
        <w:trPr>
          <w:trHeight w:val="640"/>
          <w:jc w:val="center"/>
        </w:trPr>
        <w:tc>
          <w:tcPr>
            <w:tcW w:w="1114" w:type="dxa"/>
            <w:shd w:val="clear" w:color="auto" w:fill="C4EFCE"/>
            <w:vAlign w:val="center"/>
            <w:hideMark/>
          </w:tcPr>
          <w:p w14:paraId="21D5D991" w14:textId="77777777" w:rsidR="00E040FD" w:rsidRDefault="00740D64">
            <w:pPr>
              <w:pStyle w:val="P68B1DB1-Normal7"/>
              <w:spacing w:after="0" w:line="240" w:lineRule="auto"/>
              <w:jc w:val="center"/>
              <w:rPr>
                <w:rFonts w:eastAsia="Times New Roman" w:cs="Calibri"/>
                <w:noProof/>
              </w:rPr>
            </w:pPr>
            <w:r>
              <w:rPr>
                <w:noProof/>
              </w:rPr>
              <w:t>8.2</w:t>
            </w:r>
          </w:p>
        </w:tc>
        <w:tc>
          <w:tcPr>
            <w:tcW w:w="1245" w:type="dxa"/>
            <w:shd w:val="clear" w:color="auto" w:fill="C4EFCE"/>
            <w:noWrap/>
            <w:vAlign w:val="center"/>
            <w:hideMark/>
          </w:tcPr>
          <w:p w14:paraId="24086087" w14:textId="77777777" w:rsidR="00E040FD" w:rsidRDefault="00740D64">
            <w:pPr>
              <w:pStyle w:val="P68B1DB1-Normal8"/>
              <w:spacing w:after="0" w:line="240" w:lineRule="auto"/>
              <w:jc w:val="center"/>
              <w:rPr>
                <w:rFonts w:eastAsia="Times New Roman" w:cs="Calibri"/>
                <w:noProof/>
              </w:rPr>
            </w:pPr>
            <w:r>
              <w:rPr>
                <w:noProof/>
              </w:rPr>
              <w:t>RE-C08-i01</w:t>
            </w:r>
          </w:p>
        </w:tc>
        <w:tc>
          <w:tcPr>
            <w:tcW w:w="1107" w:type="dxa"/>
            <w:shd w:val="clear" w:color="auto" w:fill="C4EFCE"/>
            <w:noWrap/>
            <w:vAlign w:val="center"/>
            <w:hideMark/>
          </w:tcPr>
          <w:p w14:paraId="706BCE24" w14:textId="77777777" w:rsidR="00E040FD" w:rsidRDefault="00740D6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72D036A2" w14:textId="77777777" w:rsidR="00E040FD" w:rsidRDefault="00740D64">
            <w:pPr>
              <w:pStyle w:val="P68B1DB1-Normal8"/>
              <w:spacing w:after="0" w:line="240" w:lineRule="auto"/>
              <w:jc w:val="center"/>
              <w:rPr>
                <w:rFonts w:eastAsia="Times New Roman" w:cs="Calibri"/>
                <w:noProof/>
              </w:rPr>
            </w:pPr>
            <w:r>
              <w:rPr>
                <w:noProof/>
              </w:rPr>
              <w:t xml:space="preserve"> Publicering av integrerade insatser för landskapsförvaltning (OIGP) i Diário da Republica</w:t>
            </w:r>
          </w:p>
        </w:tc>
        <w:tc>
          <w:tcPr>
            <w:tcW w:w="1244" w:type="dxa"/>
            <w:shd w:val="clear" w:color="auto" w:fill="C4EFCE"/>
            <w:noWrap/>
            <w:vAlign w:val="center"/>
            <w:hideMark/>
          </w:tcPr>
          <w:p w14:paraId="38CCD2EC"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4C47B22" w14:textId="77777777" w:rsidR="00E040FD" w:rsidRDefault="00740D64">
            <w:pPr>
              <w:pStyle w:val="P68B1DB1-Normal8"/>
              <w:spacing w:after="0" w:line="240" w:lineRule="auto"/>
              <w:jc w:val="center"/>
              <w:rPr>
                <w:rFonts w:eastAsia="Times New Roman" w:cs="Calibri"/>
                <w:noProof/>
              </w:rPr>
            </w:pPr>
            <w:r>
              <w:rPr>
                <w:noProof/>
              </w:rPr>
              <w:t xml:space="preserve">Antal </w:t>
            </w:r>
          </w:p>
        </w:tc>
        <w:tc>
          <w:tcPr>
            <w:tcW w:w="970" w:type="dxa"/>
            <w:shd w:val="clear" w:color="auto" w:fill="C4EFCE"/>
            <w:noWrap/>
            <w:vAlign w:val="center"/>
            <w:hideMark/>
          </w:tcPr>
          <w:p w14:paraId="20B48133" w14:textId="77777777" w:rsidR="00E040FD" w:rsidRDefault="00740D6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7CD3DB2" w14:textId="77777777" w:rsidR="00E040FD" w:rsidRDefault="00740D64">
            <w:pPr>
              <w:pStyle w:val="P68B1DB1-Normal8"/>
              <w:spacing w:after="0" w:line="240" w:lineRule="auto"/>
              <w:jc w:val="center"/>
              <w:rPr>
                <w:rFonts w:eastAsia="Times New Roman" w:cs="Calibri"/>
                <w:noProof/>
              </w:rPr>
            </w:pPr>
            <w:r>
              <w:rPr>
                <w:noProof/>
              </w:rPr>
              <w:t>60</w:t>
            </w:r>
          </w:p>
        </w:tc>
        <w:tc>
          <w:tcPr>
            <w:tcW w:w="649" w:type="dxa"/>
            <w:shd w:val="clear" w:color="auto" w:fill="C4EFCE"/>
            <w:noWrap/>
            <w:vAlign w:val="center"/>
            <w:hideMark/>
          </w:tcPr>
          <w:p w14:paraId="27C4AA09" w14:textId="77777777" w:rsidR="00E040FD" w:rsidRDefault="00740D64">
            <w:pPr>
              <w:pStyle w:val="P68B1DB1-Normal8"/>
              <w:spacing w:after="0" w:line="240" w:lineRule="auto"/>
              <w:jc w:val="center"/>
              <w:rPr>
                <w:rFonts w:eastAsia="Times New Roman" w:cs="Calibri"/>
                <w:noProof/>
              </w:rPr>
            </w:pPr>
            <w:r>
              <w:rPr>
                <w:noProof/>
              </w:rPr>
              <w:t>KVARTAL 3</w:t>
            </w:r>
          </w:p>
        </w:tc>
        <w:tc>
          <w:tcPr>
            <w:tcW w:w="694" w:type="dxa"/>
            <w:shd w:val="clear" w:color="auto" w:fill="C4EFCE"/>
            <w:noWrap/>
            <w:vAlign w:val="center"/>
            <w:hideMark/>
          </w:tcPr>
          <w:p w14:paraId="3EBBE2FA" w14:textId="77777777" w:rsidR="00E040FD" w:rsidRDefault="00740D6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48FF6424" w14:textId="6CE9F794" w:rsidR="00E040FD" w:rsidRDefault="00740D64">
            <w:pPr>
              <w:pStyle w:val="P68B1DB1-Normal8"/>
              <w:spacing w:after="0" w:line="240" w:lineRule="auto"/>
              <w:jc w:val="both"/>
              <w:rPr>
                <w:rFonts w:eastAsia="Times New Roman" w:cs="Calibri"/>
                <w:noProof/>
              </w:rPr>
            </w:pPr>
            <w:r>
              <w:rPr>
                <w:noProof/>
              </w:rPr>
              <w:t>Godkännande och offentliggörande i Diário da Republica av 60 integrerade insatser för landskapsförvaltning (OIGP), i vilka programplaneringen för insatserna, den operativa modellen, de finansiella resurser som ska anslås samt förvaltnings- och övervakningssystemet fastställs.</w:t>
            </w:r>
          </w:p>
        </w:tc>
      </w:tr>
      <w:tr w:rsidR="00E040FD" w14:paraId="329EC401" w14:textId="77777777">
        <w:trPr>
          <w:trHeight w:val="640"/>
          <w:jc w:val="center"/>
        </w:trPr>
        <w:tc>
          <w:tcPr>
            <w:tcW w:w="1114" w:type="dxa"/>
            <w:shd w:val="clear" w:color="auto" w:fill="C4EFCE"/>
            <w:vAlign w:val="center"/>
          </w:tcPr>
          <w:p w14:paraId="53F8B0D6" w14:textId="3B182909" w:rsidR="00E040FD" w:rsidRDefault="00740D64">
            <w:pPr>
              <w:pStyle w:val="P68B1DB1-Normal7"/>
              <w:spacing w:after="0" w:line="240" w:lineRule="auto"/>
              <w:jc w:val="center"/>
              <w:rPr>
                <w:rFonts w:eastAsia="Times New Roman" w:cs="Calibri"/>
                <w:noProof/>
              </w:rPr>
            </w:pPr>
            <w:r>
              <w:rPr>
                <w:noProof/>
              </w:rPr>
              <w:t>8.3</w:t>
            </w:r>
          </w:p>
        </w:tc>
        <w:tc>
          <w:tcPr>
            <w:tcW w:w="1245" w:type="dxa"/>
            <w:shd w:val="clear" w:color="auto" w:fill="C4EFCE"/>
            <w:noWrap/>
            <w:vAlign w:val="center"/>
          </w:tcPr>
          <w:p w14:paraId="06A4D24B" w14:textId="4C714727" w:rsidR="00E040FD" w:rsidRDefault="00740D64">
            <w:pPr>
              <w:pStyle w:val="P68B1DB1-Normal8"/>
              <w:spacing w:after="0" w:line="240" w:lineRule="auto"/>
              <w:jc w:val="center"/>
              <w:rPr>
                <w:rFonts w:eastAsia="Times New Roman" w:cs="Calibri"/>
                <w:noProof/>
              </w:rPr>
            </w:pPr>
            <w:r>
              <w:rPr>
                <w:noProof/>
              </w:rPr>
              <w:t>RE-C08-i01</w:t>
            </w:r>
          </w:p>
        </w:tc>
        <w:tc>
          <w:tcPr>
            <w:tcW w:w="1107" w:type="dxa"/>
            <w:shd w:val="clear" w:color="auto" w:fill="C4EFCE"/>
            <w:noWrap/>
            <w:vAlign w:val="center"/>
          </w:tcPr>
          <w:p w14:paraId="7C2444D5" w14:textId="2C0F19C6" w:rsidR="00E040FD" w:rsidRDefault="00740D6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tcPr>
          <w:p w14:paraId="1671AB6C" w14:textId="1A1E7B04" w:rsidR="00E040FD" w:rsidRDefault="00740D64">
            <w:pPr>
              <w:pStyle w:val="P68B1DB1-Normal8"/>
              <w:spacing w:after="0" w:line="240" w:lineRule="auto"/>
              <w:jc w:val="center"/>
              <w:rPr>
                <w:rFonts w:eastAsia="Times New Roman" w:cs="Calibri"/>
                <w:noProof/>
              </w:rPr>
            </w:pPr>
            <w:r>
              <w:rPr>
                <w:noProof/>
              </w:rPr>
              <w:t>Byar med bränsleförvaltningsprojekt</w:t>
            </w:r>
          </w:p>
        </w:tc>
        <w:tc>
          <w:tcPr>
            <w:tcW w:w="1244" w:type="dxa"/>
            <w:shd w:val="clear" w:color="auto" w:fill="C4EFCE"/>
            <w:noWrap/>
            <w:vAlign w:val="center"/>
          </w:tcPr>
          <w:p w14:paraId="21CA1472" w14:textId="77777777" w:rsidR="00E040FD" w:rsidRDefault="00E040FD">
            <w:pPr>
              <w:spacing w:after="0" w:line="240" w:lineRule="auto"/>
              <w:jc w:val="center"/>
              <w:rPr>
                <w:rFonts w:ascii="Calibri" w:eastAsia="Times New Roman" w:hAnsi="Calibri" w:cs="Calibri"/>
                <w:noProof/>
                <w:sz w:val="16"/>
              </w:rPr>
            </w:pPr>
          </w:p>
        </w:tc>
        <w:tc>
          <w:tcPr>
            <w:tcW w:w="971" w:type="dxa"/>
            <w:shd w:val="clear" w:color="auto" w:fill="C4EFCE"/>
            <w:noWrap/>
            <w:vAlign w:val="center"/>
          </w:tcPr>
          <w:p w14:paraId="607F1475" w14:textId="08DA1B44" w:rsidR="00E040FD" w:rsidRDefault="00740D64">
            <w:pPr>
              <w:pStyle w:val="P68B1DB1-Normal8"/>
              <w:spacing w:after="0" w:line="240" w:lineRule="auto"/>
              <w:jc w:val="center"/>
              <w:rPr>
                <w:rFonts w:eastAsia="Times New Roman" w:cs="Calibri"/>
                <w:noProof/>
              </w:rPr>
            </w:pPr>
            <w:r>
              <w:rPr>
                <w:noProof/>
              </w:rPr>
              <w:t>Antal</w:t>
            </w:r>
          </w:p>
        </w:tc>
        <w:tc>
          <w:tcPr>
            <w:tcW w:w="970" w:type="dxa"/>
            <w:shd w:val="clear" w:color="auto" w:fill="C4EFCE"/>
            <w:noWrap/>
            <w:vAlign w:val="center"/>
          </w:tcPr>
          <w:p w14:paraId="0640AB71" w14:textId="57A5038A" w:rsidR="00E040FD" w:rsidRDefault="00740D6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tcPr>
          <w:p w14:paraId="79FDC6D8" w14:textId="763F7A06" w:rsidR="00E040FD" w:rsidRDefault="00740D64">
            <w:pPr>
              <w:pStyle w:val="P68B1DB1-Normal8"/>
              <w:spacing w:after="0" w:line="240" w:lineRule="auto"/>
              <w:jc w:val="center"/>
              <w:rPr>
                <w:rFonts w:eastAsia="Times New Roman" w:cs="Calibri"/>
                <w:noProof/>
              </w:rPr>
            </w:pPr>
            <w:r>
              <w:rPr>
                <w:noProof/>
              </w:rPr>
              <w:t>800</w:t>
            </w:r>
          </w:p>
        </w:tc>
        <w:tc>
          <w:tcPr>
            <w:tcW w:w="649" w:type="dxa"/>
            <w:shd w:val="clear" w:color="auto" w:fill="C4EFCE"/>
            <w:noWrap/>
            <w:vAlign w:val="center"/>
          </w:tcPr>
          <w:p w14:paraId="17C24089" w14:textId="3F46E358" w:rsidR="00E040FD" w:rsidRDefault="00740D64">
            <w:pPr>
              <w:pStyle w:val="P68B1DB1-Normal8"/>
              <w:spacing w:after="0" w:line="240" w:lineRule="auto"/>
              <w:jc w:val="center"/>
              <w:rPr>
                <w:rFonts w:eastAsia="Times New Roman" w:cs="Calibri"/>
                <w:noProof/>
              </w:rPr>
            </w:pPr>
            <w:r>
              <w:rPr>
                <w:noProof/>
              </w:rPr>
              <w:t>KVARTAL 3</w:t>
            </w:r>
          </w:p>
        </w:tc>
        <w:tc>
          <w:tcPr>
            <w:tcW w:w="694" w:type="dxa"/>
            <w:shd w:val="clear" w:color="auto" w:fill="C4EFCE"/>
            <w:noWrap/>
            <w:vAlign w:val="center"/>
          </w:tcPr>
          <w:p w14:paraId="1232892F" w14:textId="34EB17F1" w:rsidR="00E040FD" w:rsidRDefault="00740D6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tcPr>
          <w:p w14:paraId="37C59981" w14:textId="3E460BC7" w:rsidR="00E040FD" w:rsidRDefault="00740D64">
            <w:pPr>
              <w:pStyle w:val="P68B1DB1-Normal8"/>
              <w:spacing w:after="0" w:line="240" w:lineRule="auto"/>
              <w:jc w:val="both"/>
              <w:rPr>
                <w:rFonts w:eastAsia="Times New Roman" w:cs="Calibri"/>
                <w:noProof/>
              </w:rPr>
            </w:pPr>
            <w:r>
              <w:rPr>
                <w:noProof/>
              </w:rPr>
              <w:t>Ingående av avtal som fastställer de särskilda villkoren för finansiering av projekt för bränslehantering mellan miljöfonden och stödmottagarna (kommuner, interkommunala samhällen, lokala utvecklingsorganisationer) i minst 800 landsbygdsbyar i skogsområden (bysamhällen).</w:t>
            </w:r>
          </w:p>
        </w:tc>
      </w:tr>
      <w:tr w:rsidR="00E040FD" w14:paraId="2D19B3CD" w14:textId="77777777">
        <w:trPr>
          <w:trHeight w:val="1071"/>
          <w:jc w:val="center"/>
        </w:trPr>
        <w:tc>
          <w:tcPr>
            <w:tcW w:w="1114" w:type="dxa"/>
            <w:shd w:val="clear" w:color="auto" w:fill="C4EFCE"/>
            <w:vAlign w:val="center"/>
            <w:hideMark/>
          </w:tcPr>
          <w:p w14:paraId="77EE0E64" w14:textId="2B83FFE6" w:rsidR="00E040FD" w:rsidRDefault="00740D64">
            <w:pPr>
              <w:pStyle w:val="P68B1DB1-Normal7"/>
              <w:spacing w:line="240" w:lineRule="auto"/>
              <w:jc w:val="center"/>
              <w:rPr>
                <w:rFonts w:eastAsia="Times New Roman" w:cs="Calibri"/>
                <w:noProof/>
              </w:rPr>
            </w:pPr>
            <w:r>
              <w:rPr>
                <w:noProof/>
              </w:rPr>
              <w:t>8.20</w:t>
            </w:r>
          </w:p>
        </w:tc>
        <w:tc>
          <w:tcPr>
            <w:tcW w:w="1245" w:type="dxa"/>
            <w:shd w:val="clear" w:color="auto" w:fill="C4EFCE"/>
            <w:noWrap/>
            <w:vAlign w:val="center"/>
            <w:hideMark/>
          </w:tcPr>
          <w:p w14:paraId="12596242" w14:textId="4917A96D" w:rsidR="00E040FD" w:rsidRDefault="00740D64">
            <w:pPr>
              <w:pStyle w:val="P68B1DB1-Normal8"/>
              <w:spacing w:line="240" w:lineRule="auto"/>
              <w:jc w:val="center"/>
              <w:rPr>
                <w:rFonts w:eastAsia="Times New Roman" w:cs="Calibri"/>
                <w:noProof/>
              </w:rPr>
            </w:pPr>
            <w:r>
              <w:rPr>
                <w:noProof/>
              </w:rPr>
              <w:t xml:space="preserve">RE-C08-i01  </w:t>
            </w:r>
          </w:p>
        </w:tc>
        <w:tc>
          <w:tcPr>
            <w:tcW w:w="1107" w:type="dxa"/>
            <w:shd w:val="clear" w:color="auto" w:fill="C4EFCE"/>
            <w:noWrap/>
            <w:vAlign w:val="center"/>
            <w:hideMark/>
          </w:tcPr>
          <w:p w14:paraId="09B3E4E1" w14:textId="791D055D" w:rsidR="00E040FD" w:rsidRDefault="00740D64">
            <w:pPr>
              <w:pStyle w:val="P68B1DB1-Normal8"/>
              <w:spacing w:line="240" w:lineRule="auto"/>
              <w:jc w:val="center"/>
              <w:rPr>
                <w:rFonts w:eastAsia="Times New Roman" w:cs="Calibri"/>
                <w:noProof/>
              </w:rPr>
            </w:pPr>
            <w:r>
              <w:rPr>
                <w:noProof/>
              </w:rPr>
              <w:t>T</w:t>
            </w:r>
          </w:p>
        </w:tc>
        <w:tc>
          <w:tcPr>
            <w:tcW w:w="1658" w:type="dxa"/>
            <w:shd w:val="clear" w:color="auto" w:fill="C4EFCE"/>
            <w:noWrap/>
            <w:vAlign w:val="center"/>
            <w:hideMark/>
          </w:tcPr>
          <w:p w14:paraId="750617A0" w14:textId="59CDDFE4" w:rsidR="00E040FD" w:rsidRDefault="00740D64">
            <w:pPr>
              <w:pStyle w:val="P68B1DB1-Normal8"/>
              <w:spacing w:line="240" w:lineRule="auto"/>
              <w:jc w:val="center"/>
              <w:rPr>
                <w:rFonts w:eastAsia="Times New Roman" w:cs="Calibri"/>
                <w:noProof/>
              </w:rPr>
            </w:pPr>
            <w:r>
              <w:rPr>
                <w:noProof/>
              </w:rPr>
              <w:t>Genomförande av arronderingsåtgärder Programa ”Emparcelar para Ordenar”</w:t>
            </w:r>
          </w:p>
        </w:tc>
        <w:tc>
          <w:tcPr>
            <w:tcW w:w="1244" w:type="dxa"/>
            <w:shd w:val="clear" w:color="auto" w:fill="C4EFCE"/>
            <w:noWrap/>
            <w:vAlign w:val="center"/>
            <w:hideMark/>
          </w:tcPr>
          <w:p w14:paraId="2D5E51B8" w14:textId="4EF5F8CD" w:rsidR="00E040FD" w:rsidRDefault="00E040FD">
            <w:pPr>
              <w:spacing w:line="240" w:lineRule="auto"/>
              <w:jc w:val="center"/>
              <w:rPr>
                <w:rFonts w:ascii="Calibri" w:eastAsia="Times New Roman" w:hAnsi="Calibri" w:cs="Calibri"/>
                <w:noProof/>
                <w:sz w:val="16"/>
              </w:rPr>
            </w:pPr>
          </w:p>
        </w:tc>
        <w:tc>
          <w:tcPr>
            <w:tcW w:w="971" w:type="dxa"/>
            <w:shd w:val="clear" w:color="auto" w:fill="C4EFCE"/>
            <w:noWrap/>
            <w:vAlign w:val="center"/>
            <w:hideMark/>
          </w:tcPr>
          <w:p w14:paraId="2B246C1B" w14:textId="4F4C8370" w:rsidR="00E040FD" w:rsidRDefault="00740D64">
            <w:pPr>
              <w:pStyle w:val="P68B1DB1-Normal8"/>
              <w:spacing w:line="240" w:lineRule="auto"/>
              <w:jc w:val="center"/>
              <w:rPr>
                <w:rFonts w:eastAsia="Times New Roman" w:cs="Calibri"/>
                <w:noProof/>
              </w:rPr>
            </w:pPr>
            <w:r>
              <w:rPr>
                <w:noProof/>
              </w:rPr>
              <w:t>Antal</w:t>
            </w:r>
          </w:p>
        </w:tc>
        <w:tc>
          <w:tcPr>
            <w:tcW w:w="970" w:type="dxa"/>
            <w:shd w:val="clear" w:color="auto" w:fill="C4EFCE"/>
            <w:noWrap/>
            <w:vAlign w:val="center"/>
            <w:hideMark/>
          </w:tcPr>
          <w:p w14:paraId="74A9FCD5" w14:textId="23127662" w:rsidR="00E040FD" w:rsidRDefault="00740D64">
            <w:pPr>
              <w:pStyle w:val="P68B1DB1-Normal8"/>
              <w:spacing w:line="240" w:lineRule="auto"/>
              <w:jc w:val="center"/>
              <w:rPr>
                <w:rFonts w:eastAsia="Times New Roman" w:cs="Calibri"/>
                <w:noProof/>
              </w:rPr>
            </w:pPr>
            <w:r>
              <w:rPr>
                <w:noProof/>
              </w:rPr>
              <w:t>0</w:t>
            </w:r>
          </w:p>
        </w:tc>
        <w:tc>
          <w:tcPr>
            <w:tcW w:w="603" w:type="dxa"/>
            <w:shd w:val="clear" w:color="auto" w:fill="C4EFCE"/>
            <w:noWrap/>
            <w:vAlign w:val="center"/>
            <w:hideMark/>
          </w:tcPr>
          <w:p w14:paraId="6F1E20D5" w14:textId="263A4976" w:rsidR="00E040FD" w:rsidRDefault="00740D64">
            <w:pPr>
              <w:pStyle w:val="P68B1DB1-Normal8"/>
              <w:spacing w:line="240" w:lineRule="auto"/>
              <w:jc w:val="center"/>
              <w:rPr>
                <w:rFonts w:eastAsia="Times New Roman" w:cs="Calibri"/>
                <w:noProof/>
              </w:rPr>
            </w:pPr>
            <w:r>
              <w:rPr>
                <w:noProof/>
              </w:rPr>
              <w:t>2 000</w:t>
            </w:r>
          </w:p>
        </w:tc>
        <w:tc>
          <w:tcPr>
            <w:tcW w:w="649" w:type="dxa"/>
            <w:shd w:val="clear" w:color="auto" w:fill="C4EFCE"/>
            <w:noWrap/>
            <w:vAlign w:val="center"/>
            <w:hideMark/>
          </w:tcPr>
          <w:p w14:paraId="56EBFD99" w14:textId="3CBB469F" w:rsidR="00E040FD" w:rsidRDefault="00740D64">
            <w:pPr>
              <w:pStyle w:val="P68B1DB1-Normal8"/>
              <w:spacing w:line="240" w:lineRule="auto"/>
              <w:jc w:val="center"/>
              <w:rPr>
                <w:rFonts w:eastAsia="Calibri" w:cs="Calibri"/>
                <w:noProof/>
              </w:rPr>
            </w:pPr>
            <w:r>
              <w:rPr>
                <w:noProof/>
              </w:rPr>
              <w:t>KVARTAL 3</w:t>
            </w:r>
          </w:p>
        </w:tc>
        <w:tc>
          <w:tcPr>
            <w:tcW w:w="694" w:type="dxa"/>
            <w:shd w:val="clear" w:color="auto" w:fill="C4EFCE"/>
            <w:noWrap/>
            <w:vAlign w:val="center"/>
            <w:hideMark/>
          </w:tcPr>
          <w:p w14:paraId="692AA7BC" w14:textId="77912856" w:rsidR="00E040FD" w:rsidRDefault="00740D64">
            <w:pPr>
              <w:pStyle w:val="P68B1DB1-Normal8"/>
              <w:spacing w:line="240" w:lineRule="auto"/>
              <w:jc w:val="center"/>
              <w:rPr>
                <w:rFonts w:eastAsia="Calibri" w:cs="Calibri"/>
                <w:noProof/>
              </w:rPr>
            </w:pPr>
            <w:r>
              <w:rPr>
                <w:noProof/>
              </w:rPr>
              <w:t>2025</w:t>
            </w:r>
          </w:p>
        </w:tc>
        <w:tc>
          <w:tcPr>
            <w:tcW w:w="4204" w:type="dxa"/>
            <w:shd w:val="clear" w:color="auto" w:fill="C4EFCE"/>
            <w:vAlign w:val="center"/>
            <w:hideMark/>
          </w:tcPr>
          <w:p w14:paraId="2CE69ECE" w14:textId="4E9E3716" w:rsidR="00E040FD" w:rsidRDefault="00740D64">
            <w:pPr>
              <w:pStyle w:val="P68B1DB1-Normal8"/>
              <w:spacing w:line="240" w:lineRule="auto"/>
              <w:jc w:val="both"/>
              <w:rPr>
                <w:rFonts w:eastAsia="Times New Roman" w:cs="Calibri"/>
                <w:noProof/>
              </w:rPr>
            </w:pPr>
            <w:r>
              <w:rPr>
                <w:noProof/>
              </w:rPr>
              <w:t>2 000 ha landsbygdsmark i sårbara områden ska omräknas inom ramen för programmet ”Emparcelar para Ordenar”.</w:t>
            </w:r>
          </w:p>
        </w:tc>
      </w:tr>
      <w:tr w:rsidR="00E040FD" w14:paraId="166CE461" w14:textId="77777777">
        <w:trPr>
          <w:trHeight w:val="1393"/>
          <w:jc w:val="center"/>
        </w:trPr>
        <w:tc>
          <w:tcPr>
            <w:tcW w:w="1114" w:type="dxa"/>
            <w:shd w:val="clear" w:color="auto" w:fill="C4EFCE"/>
            <w:vAlign w:val="center"/>
            <w:hideMark/>
          </w:tcPr>
          <w:p w14:paraId="22FEDCD3" w14:textId="77777777" w:rsidR="00E040FD" w:rsidRDefault="00740D64">
            <w:pPr>
              <w:pStyle w:val="P68B1DB1-Normal7"/>
              <w:spacing w:after="0" w:line="240" w:lineRule="auto"/>
              <w:jc w:val="center"/>
              <w:rPr>
                <w:rFonts w:eastAsia="Times New Roman" w:cs="Calibri"/>
                <w:noProof/>
              </w:rPr>
            </w:pPr>
            <w:r>
              <w:rPr>
                <w:noProof/>
              </w:rPr>
              <w:t>8.4</w:t>
            </w:r>
          </w:p>
        </w:tc>
        <w:tc>
          <w:tcPr>
            <w:tcW w:w="1245" w:type="dxa"/>
            <w:shd w:val="clear" w:color="auto" w:fill="C4EFCE"/>
            <w:noWrap/>
            <w:vAlign w:val="center"/>
            <w:hideMark/>
          </w:tcPr>
          <w:p w14:paraId="266A4745" w14:textId="77777777" w:rsidR="00E040FD" w:rsidRDefault="00740D64">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563CF9E2" w14:textId="77777777" w:rsidR="00E040FD" w:rsidRDefault="00740D6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7C4B2871" w14:textId="77777777" w:rsidR="00E040FD" w:rsidRDefault="00740D64">
            <w:pPr>
              <w:pStyle w:val="P68B1DB1-Normal8"/>
              <w:spacing w:after="0" w:line="240" w:lineRule="auto"/>
              <w:jc w:val="center"/>
              <w:rPr>
                <w:rFonts w:eastAsia="Times New Roman" w:cs="Calibri"/>
                <w:noProof/>
              </w:rPr>
            </w:pPr>
            <w:r>
              <w:rPr>
                <w:noProof/>
              </w:rPr>
              <w:t>På väg mot en BUPi 2.0-plattform</w:t>
            </w:r>
          </w:p>
        </w:tc>
        <w:tc>
          <w:tcPr>
            <w:tcW w:w="1244" w:type="dxa"/>
            <w:shd w:val="clear" w:color="auto" w:fill="C4EFCE"/>
            <w:noWrap/>
            <w:vAlign w:val="center"/>
            <w:hideMark/>
          </w:tcPr>
          <w:p w14:paraId="6A5B72FB" w14:textId="77777777" w:rsidR="00E040FD" w:rsidRDefault="00740D64">
            <w:pPr>
              <w:pStyle w:val="P68B1DB1-Normal8"/>
              <w:spacing w:after="0" w:line="240" w:lineRule="auto"/>
              <w:jc w:val="center"/>
              <w:rPr>
                <w:rFonts w:eastAsia="Times New Roman" w:cs="Calibri"/>
                <w:noProof/>
              </w:rPr>
            </w:pPr>
            <w:r>
              <w:rPr>
                <w:noProof/>
              </w:rPr>
              <w:t>Start för produktion av BUPi 2.0-plattformen</w:t>
            </w:r>
          </w:p>
        </w:tc>
        <w:tc>
          <w:tcPr>
            <w:tcW w:w="971" w:type="dxa"/>
            <w:shd w:val="clear" w:color="auto" w:fill="C4EFCE"/>
            <w:noWrap/>
            <w:vAlign w:val="center"/>
            <w:hideMark/>
          </w:tcPr>
          <w:p w14:paraId="5156F1CE" w14:textId="77777777" w:rsidR="00E040FD" w:rsidRDefault="00740D6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0F8757E3" w14:textId="77777777" w:rsidR="00E040FD" w:rsidRDefault="00740D6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56435018" w14:textId="77777777" w:rsidR="00E040FD" w:rsidRDefault="00740D6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6F647E22" w14:textId="77777777" w:rsidR="00E040FD" w:rsidRDefault="00740D64">
            <w:pPr>
              <w:pStyle w:val="P68B1DB1-Normal8"/>
              <w:spacing w:after="0" w:line="240" w:lineRule="auto"/>
              <w:jc w:val="center"/>
              <w:rPr>
                <w:rFonts w:eastAsia="Times New Roman" w:cs="Calibri"/>
                <w:noProof/>
              </w:rPr>
            </w:pPr>
            <w:r>
              <w:rPr>
                <w:noProof/>
              </w:rPr>
              <w:t>KVARTAL 1</w:t>
            </w:r>
          </w:p>
        </w:tc>
        <w:tc>
          <w:tcPr>
            <w:tcW w:w="694" w:type="dxa"/>
            <w:shd w:val="clear" w:color="auto" w:fill="C4EFCE"/>
            <w:noWrap/>
            <w:vAlign w:val="center"/>
            <w:hideMark/>
          </w:tcPr>
          <w:p w14:paraId="7D47E13F" w14:textId="77777777" w:rsidR="00E040FD" w:rsidRDefault="00740D64">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49993AAD" w14:textId="77777777" w:rsidR="00E040FD" w:rsidRDefault="00740D64">
            <w:pPr>
              <w:pStyle w:val="P68B1DB1-Normal8"/>
              <w:spacing w:after="0" w:line="240" w:lineRule="auto"/>
              <w:jc w:val="both"/>
              <w:rPr>
                <w:rFonts w:eastAsia="Times New Roman" w:cs="Calibri"/>
                <w:noProof/>
              </w:rPr>
            </w:pPr>
            <w:r>
              <w:rPr>
                <w:noProof/>
              </w:rPr>
              <w:t xml:space="preserve">Tillhandahållande av den molnbaserade BUPi 2.0-plattformen som ska uppgradera och utvidga de funktioner som redan finns i pilotprojektet BUPi. BUPi 2.0 ska säkerställa täckning på nationell nivå och interoperabilitet mellan de olika system som för närvarande förvaltas av olika myndigheter, inbegripet skatte- och tullmyndigheter. BUPi 2.0 ska möjliggöra ett gradvis införande av unika egendomsidentifieringsnummer. </w:t>
            </w:r>
          </w:p>
        </w:tc>
      </w:tr>
      <w:tr w:rsidR="00E040FD" w14:paraId="4E3E25CA" w14:textId="77777777">
        <w:trPr>
          <w:trHeight w:val="640"/>
          <w:jc w:val="center"/>
        </w:trPr>
        <w:tc>
          <w:tcPr>
            <w:tcW w:w="1114" w:type="dxa"/>
            <w:shd w:val="clear" w:color="auto" w:fill="C4EFCE"/>
            <w:vAlign w:val="center"/>
            <w:hideMark/>
          </w:tcPr>
          <w:p w14:paraId="6A82156F" w14:textId="77777777" w:rsidR="00E040FD" w:rsidRDefault="00740D64">
            <w:pPr>
              <w:pStyle w:val="P68B1DB1-Normal7"/>
              <w:spacing w:after="0" w:line="240" w:lineRule="auto"/>
              <w:jc w:val="center"/>
              <w:rPr>
                <w:rFonts w:eastAsia="Times New Roman" w:cs="Calibri"/>
                <w:noProof/>
              </w:rPr>
            </w:pPr>
            <w:r>
              <w:rPr>
                <w:noProof/>
              </w:rPr>
              <w:t>8.5</w:t>
            </w:r>
          </w:p>
        </w:tc>
        <w:tc>
          <w:tcPr>
            <w:tcW w:w="1245" w:type="dxa"/>
            <w:shd w:val="clear" w:color="auto" w:fill="C4EFCE"/>
            <w:noWrap/>
            <w:vAlign w:val="center"/>
            <w:hideMark/>
          </w:tcPr>
          <w:p w14:paraId="1B7D2602" w14:textId="77777777" w:rsidR="00E040FD" w:rsidRDefault="00740D64">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2B27D6AC" w14:textId="77777777" w:rsidR="00E040FD" w:rsidRDefault="00740D6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26343F3" w14:textId="77777777" w:rsidR="00E040FD" w:rsidRDefault="00740D64">
            <w:pPr>
              <w:pStyle w:val="P68B1DB1-Normal8"/>
              <w:spacing w:after="0" w:line="240" w:lineRule="auto"/>
              <w:jc w:val="center"/>
              <w:rPr>
                <w:rFonts w:eastAsia="Times New Roman" w:cs="Calibri"/>
                <w:noProof/>
              </w:rPr>
            </w:pPr>
            <w:r>
              <w:rPr>
                <w:noProof/>
              </w:rPr>
              <w:t xml:space="preserve">Utbildning om BUPi </w:t>
            </w:r>
          </w:p>
        </w:tc>
        <w:tc>
          <w:tcPr>
            <w:tcW w:w="1244" w:type="dxa"/>
            <w:shd w:val="clear" w:color="auto" w:fill="C4EFCE"/>
            <w:noWrap/>
            <w:vAlign w:val="center"/>
            <w:hideMark/>
          </w:tcPr>
          <w:p w14:paraId="25329559"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0984988" w14:textId="77777777" w:rsidR="00E040FD" w:rsidRDefault="00740D64">
            <w:pPr>
              <w:pStyle w:val="P68B1DB1-Normal8"/>
              <w:spacing w:after="0" w:line="240" w:lineRule="auto"/>
              <w:jc w:val="center"/>
              <w:rPr>
                <w:rFonts w:eastAsia="Times New Roman" w:cs="Calibri"/>
                <w:noProof/>
              </w:rPr>
            </w:pPr>
            <w:r>
              <w:rPr>
                <w:noProof/>
              </w:rPr>
              <w:t xml:space="preserve"> Antal</w:t>
            </w:r>
          </w:p>
        </w:tc>
        <w:tc>
          <w:tcPr>
            <w:tcW w:w="970" w:type="dxa"/>
            <w:shd w:val="clear" w:color="auto" w:fill="C4EFCE"/>
            <w:noWrap/>
            <w:vAlign w:val="center"/>
            <w:hideMark/>
          </w:tcPr>
          <w:p w14:paraId="0D49A3DA" w14:textId="77777777" w:rsidR="00E040FD" w:rsidRDefault="00740D6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5D1F9392" w14:textId="77777777" w:rsidR="00E040FD" w:rsidRDefault="00740D64">
            <w:pPr>
              <w:pStyle w:val="P68B1DB1-Normal8"/>
              <w:spacing w:after="0" w:line="240" w:lineRule="auto"/>
              <w:jc w:val="center"/>
              <w:rPr>
                <w:rFonts w:eastAsia="Times New Roman" w:cs="Calibri"/>
                <w:noProof/>
              </w:rPr>
            </w:pPr>
            <w:r>
              <w:rPr>
                <w:noProof/>
              </w:rPr>
              <w:t>10</w:t>
            </w:r>
          </w:p>
        </w:tc>
        <w:tc>
          <w:tcPr>
            <w:tcW w:w="649" w:type="dxa"/>
            <w:shd w:val="clear" w:color="auto" w:fill="C4EFCE"/>
            <w:noWrap/>
            <w:vAlign w:val="center"/>
            <w:hideMark/>
          </w:tcPr>
          <w:p w14:paraId="1F6D3CC8" w14:textId="77777777" w:rsidR="00E040FD" w:rsidRDefault="00740D64">
            <w:pPr>
              <w:pStyle w:val="P68B1DB1-Normal8"/>
              <w:spacing w:after="0" w:line="240" w:lineRule="auto"/>
              <w:jc w:val="center"/>
              <w:rPr>
                <w:rFonts w:eastAsia="Times New Roman" w:cs="Calibri"/>
                <w:noProof/>
              </w:rPr>
            </w:pPr>
            <w:r>
              <w:rPr>
                <w:noProof/>
              </w:rPr>
              <w:t>KVARTAL 4</w:t>
            </w:r>
          </w:p>
        </w:tc>
        <w:tc>
          <w:tcPr>
            <w:tcW w:w="694" w:type="dxa"/>
            <w:shd w:val="clear" w:color="auto" w:fill="C4EFCE"/>
            <w:noWrap/>
            <w:vAlign w:val="center"/>
            <w:hideMark/>
          </w:tcPr>
          <w:p w14:paraId="3CC177FC" w14:textId="77777777" w:rsidR="00E040FD" w:rsidRDefault="00740D64">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6E9D6ED2" w14:textId="26B42C5F" w:rsidR="00E040FD" w:rsidRDefault="00740D64">
            <w:pPr>
              <w:pStyle w:val="P68B1DB1-Normal8"/>
              <w:spacing w:after="0" w:line="240" w:lineRule="auto"/>
              <w:jc w:val="both"/>
              <w:rPr>
                <w:rFonts w:eastAsia="Times New Roman" w:cs="Calibri"/>
                <w:noProof/>
              </w:rPr>
            </w:pPr>
            <w:r>
              <w:rPr>
                <w:noProof/>
              </w:rPr>
              <w:t xml:space="preserve">Antal kvartalsvisa utbildningar med anknytning till BUPi till nationellt kvalificerade tekniker som utför förfaranden för grafisk representation (RGG), personal vid institutet för register och notarier (IRN), tjänstemän vid skattemyndigheter, fastighetsregistertekniker och tekniker från generaldirektoratet för </w:t>
            </w:r>
          </w:p>
          <w:p w14:paraId="6524C248" w14:textId="33C64846" w:rsidR="00E040FD" w:rsidRDefault="00740D64">
            <w:pPr>
              <w:pStyle w:val="P68B1DB1-Normal8"/>
              <w:spacing w:after="0" w:line="240" w:lineRule="auto"/>
              <w:jc w:val="both"/>
              <w:rPr>
                <w:rFonts w:eastAsia="Times New Roman" w:cs="Calibri"/>
                <w:noProof/>
              </w:rPr>
            </w:pPr>
            <w:r>
              <w:rPr>
                <w:noProof/>
              </w:rPr>
              <w:t xml:space="preserve">Territorium och registreringstjänstemän. </w:t>
            </w:r>
          </w:p>
        </w:tc>
      </w:tr>
      <w:tr w:rsidR="00E040FD" w14:paraId="0E25F039" w14:textId="77777777">
        <w:trPr>
          <w:trHeight w:val="640"/>
          <w:jc w:val="center"/>
        </w:trPr>
        <w:tc>
          <w:tcPr>
            <w:tcW w:w="1114" w:type="dxa"/>
            <w:shd w:val="clear" w:color="auto" w:fill="C4EFCE"/>
            <w:vAlign w:val="center"/>
            <w:hideMark/>
          </w:tcPr>
          <w:p w14:paraId="413C83DC" w14:textId="77777777" w:rsidR="00E040FD" w:rsidRDefault="00740D64">
            <w:pPr>
              <w:pStyle w:val="P68B1DB1-Normal7"/>
              <w:spacing w:after="0" w:line="240" w:lineRule="auto"/>
              <w:jc w:val="center"/>
              <w:rPr>
                <w:rFonts w:eastAsia="Times New Roman" w:cs="Calibri"/>
                <w:noProof/>
              </w:rPr>
            </w:pPr>
            <w:r>
              <w:rPr>
                <w:noProof/>
              </w:rPr>
              <w:t>8.6</w:t>
            </w:r>
          </w:p>
        </w:tc>
        <w:tc>
          <w:tcPr>
            <w:tcW w:w="1245" w:type="dxa"/>
            <w:shd w:val="clear" w:color="auto" w:fill="C4EFCE"/>
            <w:noWrap/>
            <w:vAlign w:val="center"/>
            <w:hideMark/>
          </w:tcPr>
          <w:p w14:paraId="499B61B8" w14:textId="77777777" w:rsidR="00E040FD" w:rsidRDefault="00740D64">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69009EAB" w14:textId="77777777" w:rsidR="00E040FD" w:rsidRDefault="00740D6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57D3E341" w14:textId="2C7A5E6B" w:rsidR="00E040FD" w:rsidRDefault="00740D64">
            <w:pPr>
              <w:pStyle w:val="P68B1DB1-Normal8"/>
              <w:spacing w:after="0" w:line="240" w:lineRule="auto"/>
              <w:jc w:val="center"/>
              <w:rPr>
                <w:rFonts w:eastAsia="Times New Roman" w:cs="Calibri"/>
                <w:noProof/>
              </w:rPr>
            </w:pPr>
            <w:r>
              <w:rPr>
                <w:noProof/>
              </w:rPr>
              <w:t>Utarbetande av referenskartläggning för systemet för övervakning av marktäckning (SMOS)</w:t>
            </w:r>
          </w:p>
        </w:tc>
        <w:tc>
          <w:tcPr>
            <w:tcW w:w="1244" w:type="dxa"/>
            <w:shd w:val="clear" w:color="auto" w:fill="C4EFCE"/>
            <w:noWrap/>
            <w:vAlign w:val="center"/>
            <w:hideMark/>
          </w:tcPr>
          <w:p w14:paraId="76C22C58" w14:textId="6D8505C9" w:rsidR="00E040FD" w:rsidRDefault="00740D64">
            <w:pPr>
              <w:pStyle w:val="P68B1DB1-Normal8"/>
              <w:spacing w:after="0" w:line="240" w:lineRule="auto"/>
              <w:jc w:val="center"/>
              <w:rPr>
                <w:rFonts w:eastAsia="Times New Roman" w:cs="Calibri"/>
                <w:noProof/>
              </w:rPr>
            </w:pPr>
            <w:r>
              <w:rPr>
                <w:noProof/>
              </w:rPr>
              <w:t>Utarbetande av referenskartläggning för systemet för övervakning av marktäckning (SMOS)</w:t>
            </w:r>
          </w:p>
        </w:tc>
        <w:tc>
          <w:tcPr>
            <w:tcW w:w="971" w:type="dxa"/>
            <w:shd w:val="clear" w:color="auto" w:fill="C4EFCE"/>
            <w:noWrap/>
            <w:vAlign w:val="center"/>
            <w:hideMark/>
          </w:tcPr>
          <w:p w14:paraId="122C3637" w14:textId="77777777" w:rsidR="00E040FD" w:rsidRDefault="00740D64">
            <w:pPr>
              <w:pStyle w:val="P68B1DB1-Normal8"/>
              <w:spacing w:after="0" w:line="240" w:lineRule="auto"/>
              <w:jc w:val="center"/>
              <w:rPr>
                <w:rFonts w:eastAsia="Times New Roman" w:cs="Calibri"/>
                <w:noProof/>
              </w:rPr>
            </w:pPr>
            <w:r>
              <w:rPr>
                <w:noProof/>
              </w:rPr>
              <w:t xml:space="preserve"> </w:t>
            </w:r>
          </w:p>
        </w:tc>
        <w:tc>
          <w:tcPr>
            <w:tcW w:w="970" w:type="dxa"/>
            <w:shd w:val="clear" w:color="auto" w:fill="C4EFCE"/>
            <w:noWrap/>
            <w:vAlign w:val="center"/>
            <w:hideMark/>
          </w:tcPr>
          <w:p w14:paraId="45289467" w14:textId="77777777" w:rsidR="00E040FD" w:rsidRDefault="00740D6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40D204A4" w14:textId="77777777" w:rsidR="00E040FD" w:rsidRDefault="00740D6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5408DD85" w14:textId="77777777" w:rsidR="00E040FD" w:rsidRDefault="00740D64">
            <w:pPr>
              <w:pStyle w:val="P68B1DB1-Normal8"/>
              <w:spacing w:after="0" w:line="240" w:lineRule="auto"/>
              <w:jc w:val="center"/>
              <w:rPr>
                <w:rFonts w:eastAsia="Times New Roman" w:cs="Calibri"/>
                <w:noProof/>
              </w:rPr>
            </w:pPr>
            <w:r>
              <w:rPr>
                <w:noProof/>
              </w:rPr>
              <w:t>KVARTAL 1</w:t>
            </w:r>
          </w:p>
        </w:tc>
        <w:tc>
          <w:tcPr>
            <w:tcW w:w="694" w:type="dxa"/>
            <w:shd w:val="clear" w:color="auto" w:fill="C4EFCE"/>
            <w:noWrap/>
            <w:vAlign w:val="center"/>
            <w:hideMark/>
          </w:tcPr>
          <w:p w14:paraId="73271E44" w14:textId="77777777" w:rsidR="00E040FD" w:rsidRDefault="00740D6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3EC10692" w14:textId="1DF93F1F" w:rsidR="00E040FD" w:rsidRDefault="00740D64">
            <w:pPr>
              <w:pStyle w:val="P68B1DB1-Normal8"/>
              <w:spacing w:after="0" w:line="240" w:lineRule="auto"/>
              <w:jc w:val="both"/>
              <w:rPr>
                <w:rFonts w:eastAsia="Times New Roman" w:cs="Calibri"/>
                <w:noProof/>
              </w:rPr>
            </w:pPr>
            <w:r>
              <w:rPr>
                <w:noProof/>
              </w:rPr>
              <w:t>Utarbetande av referenskartor för systemet för övervakning av marktäckning (SMOS), inbegripet i) offentliggörande av kartor över marktäcke och markanvändning (COS) 2023, baserat på information som validerats av de ansvariga myndigheterna och som ska visa en geografisk representation av landet och tillhandahålla information om markanvändning och markanvändning, samt om typer av grödor och beskogning, ii) digital 3-D-representation av mark genom Light Detection and Ranging (LiDAR), iii) vegetationskartor, iv) kartor över biomassans och virkesvolym och v) satellittäckning.</w:t>
            </w:r>
          </w:p>
        </w:tc>
      </w:tr>
      <w:tr w:rsidR="00E040FD" w14:paraId="3C27D691" w14:textId="77777777">
        <w:trPr>
          <w:trHeight w:val="640"/>
          <w:jc w:val="center"/>
        </w:trPr>
        <w:tc>
          <w:tcPr>
            <w:tcW w:w="1114" w:type="dxa"/>
            <w:shd w:val="clear" w:color="auto" w:fill="C4EFCE"/>
            <w:vAlign w:val="center"/>
            <w:hideMark/>
          </w:tcPr>
          <w:p w14:paraId="607D84BC" w14:textId="77777777" w:rsidR="00E040FD" w:rsidRDefault="00740D64">
            <w:pPr>
              <w:pStyle w:val="P68B1DB1-Normal7"/>
              <w:spacing w:after="0" w:line="240" w:lineRule="auto"/>
              <w:jc w:val="center"/>
              <w:rPr>
                <w:rFonts w:eastAsia="Times New Roman" w:cs="Calibri"/>
                <w:noProof/>
              </w:rPr>
            </w:pPr>
            <w:r>
              <w:rPr>
                <w:noProof/>
              </w:rPr>
              <w:t>8.7</w:t>
            </w:r>
          </w:p>
        </w:tc>
        <w:tc>
          <w:tcPr>
            <w:tcW w:w="1245" w:type="dxa"/>
            <w:shd w:val="clear" w:color="auto" w:fill="C4EFCE"/>
            <w:noWrap/>
            <w:vAlign w:val="center"/>
            <w:hideMark/>
          </w:tcPr>
          <w:p w14:paraId="4A5A0BD2" w14:textId="77777777" w:rsidR="00E040FD" w:rsidRDefault="00740D64">
            <w:pPr>
              <w:pStyle w:val="P68B1DB1-Normal8"/>
              <w:spacing w:after="0" w:line="240" w:lineRule="auto"/>
              <w:jc w:val="center"/>
              <w:rPr>
                <w:rFonts w:eastAsia="Times New Roman" w:cs="Calibri"/>
                <w:noProof/>
              </w:rPr>
            </w:pPr>
            <w:r>
              <w:rPr>
                <w:noProof/>
              </w:rPr>
              <w:t>RE-C08-i03</w:t>
            </w:r>
          </w:p>
        </w:tc>
        <w:tc>
          <w:tcPr>
            <w:tcW w:w="1107" w:type="dxa"/>
            <w:shd w:val="clear" w:color="auto" w:fill="C4EFCE"/>
            <w:noWrap/>
            <w:vAlign w:val="center"/>
            <w:hideMark/>
          </w:tcPr>
          <w:p w14:paraId="7B8443DD" w14:textId="77777777" w:rsidR="00E040FD" w:rsidRDefault="00740D6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1C2C678E" w14:textId="799E37C6" w:rsidR="00E040FD" w:rsidRDefault="00740D64">
            <w:pPr>
              <w:pStyle w:val="P68B1DB1-Normal8"/>
              <w:spacing w:after="0" w:line="240" w:lineRule="auto"/>
              <w:jc w:val="center"/>
              <w:rPr>
                <w:rFonts w:eastAsia="Times New Roman" w:cs="Calibri"/>
                <w:noProof/>
              </w:rPr>
            </w:pPr>
            <w:r>
              <w:rPr>
                <w:noProof/>
              </w:rPr>
              <w:t>Offentliggörande av avtalet om struktureringsnätverket för hantering av primärt bränsle (Primary Fuel Management Breaks Structuring Network, RPFGC)</w:t>
            </w:r>
          </w:p>
        </w:tc>
        <w:tc>
          <w:tcPr>
            <w:tcW w:w="1244" w:type="dxa"/>
            <w:shd w:val="clear" w:color="auto" w:fill="C4EFCE"/>
            <w:noWrap/>
            <w:vAlign w:val="center"/>
            <w:hideMark/>
          </w:tcPr>
          <w:p w14:paraId="6E8D6636" w14:textId="1EBD3616" w:rsidR="00E040FD" w:rsidRDefault="00740D64">
            <w:pPr>
              <w:pStyle w:val="P68B1DB1-Normal8"/>
              <w:spacing w:after="0" w:line="240" w:lineRule="auto"/>
              <w:jc w:val="center"/>
              <w:rPr>
                <w:rFonts w:eastAsia="Times New Roman" w:cs="Calibri"/>
                <w:noProof/>
              </w:rPr>
            </w:pPr>
            <w:r>
              <w:rPr>
                <w:noProof/>
              </w:rPr>
              <w:t xml:space="preserve">Offentliggörande av avtalet om struktureringsnätverket för hantering av primärt bränsle (Primary Fuel Management Breaks Structuring Network, RPFGC) i BASE.gov </w:t>
            </w:r>
          </w:p>
        </w:tc>
        <w:tc>
          <w:tcPr>
            <w:tcW w:w="971" w:type="dxa"/>
            <w:shd w:val="clear" w:color="auto" w:fill="C4EFCE"/>
            <w:noWrap/>
            <w:vAlign w:val="center"/>
            <w:hideMark/>
          </w:tcPr>
          <w:p w14:paraId="4197053A" w14:textId="77777777" w:rsidR="00E040FD" w:rsidRDefault="00740D6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59B05337" w14:textId="77777777" w:rsidR="00E040FD" w:rsidRDefault="00740D6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5C755A51" w14:textId="77777777" w:rsidR="00E040FD" w:rsidRDefault="00740D6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1D16C080" w14:textId="77777777" w:rsidR="00E040FD" w:rsidRDefault="00740D64">
            <w:pPr>
              <w:pStyle w:val="P68B1DB1-Normal8"/>
              <w:spacing w:after="0" w:line="240" w:lineRule="auto"/>
              <w:jc w:val="center"/>
              <w:rPr>
                <w:rFonts w:eastAsia="Times New Roman" w:cs="Calibri"/>
                <w:noProof/>
              </w:rPr>
            </w:pPr>
            <w:r>
              <w:rPr>
                <w:noProof/>
              </w:rPr>
              <w:t>KVARTAL 1</w:t>
            </w:r>
          </w:p>
        </w:tc>
        <w:tc>
          <w:tcPr>
            <w:tcW w:w="694" w:type="dxa"/>
            <w:shd w:val="clear" w:color="auto" w:fill="C4EFCE"/>
            <w:noWrap/>
            <w:vAlign w:val="center"/>
            <w:hideMark/>
          </w:tcPr>
          <w:p w14:paraId="0CE3B7A2" w14:textId="77777777" w:rsidR="00E040FD" w:rsidRDefault="00740D64">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708801F" w14:textId="314FDF93" w:rsidR="00E040FD" w:rsidRDefault="00740D64">
            <w:pPr>
              <w:pStyle w:val="P68B1DB1-Normal8"/>
              <w:spacing w:after="0" w:line="240" w:lineRule="auto"/>
              <w:jc w:val="both"/>
              <w:rPr>
                <w:rFonts w:eastAsia="Times New Roman" w:cs="Calibri"/>
                <w:noProof/>
              </w:rPr>
            </w:pPr>
            <w:r>
              <w:rPr>
                <w:noProof/>
              </w:rPr>
              <w:t xml:space="preserve">Den behöriga myndighetens tilldelning av kontraktet för genomförande av struktureringsnätverket för hantering av primärbränsle (Primary Fuel Management Breaks Structuring Network, RPFGC) för att skapa horisontella diskontinuiteter i landskapet för att isolera brandutbrott. </w:t>
            </w:r>
          </w:p>
        </w:tc>
      </w:tr>
      <w:tr w:rsidR="00E040FD" w14:paraId="2117A862" w14:textId="77777777">
        <w:trPr>
          <w:trHeight w:val="300"/>
          <w:jc w:val="center"/>
        </w:trPr>
        <w:tc>
          <w:tcPr>
            <w:tcW w:w="1114" w:type="dxa"/>
            <w:shd w:val="clear" w:color="auto" w:fill="C4EFCE"/>
            <w:vAlign w:val="center"/>
            <w:hideMark/>
          </w:tcPr>
          <w:p w14:paraId="5F5F4015" w14:textId="77777777" w:rsidR="00E040FD" w:rsidRDefault="00740D64">
            <w:pPr>
              <w:pStyle w:val="P68B1DB1-Normal7"/>
              <w:spacing w:after="0" w:line="240" w:lineRule="auto"/>
              <w:jc w:val="center"/>
              <w:rPr>
                <w:rFonts w:eastAsia="Times New Roman" w:cs="Calibri"/>
                <w:noProof/>
              </w:rPr>
            </w:pPr>
            <w:r>
              <w:rPr>
                <w:noProof/>
              </w:rPr>
              <w:t>8.8</w:t>
            </w:r>
          </w:p>
        </w:tc>
        <w:tc>
          <w:tcPr>
            <w:tcW w:w="1245" w:type="dxa"/>
            <w:shd w:val="clear" w:color="auto" w:fill="C4EFCE"/>
            <w:noWrap/>
            <w:vAlign w:val="center"/>
            <w:hideMark/>
          </w:tcPr>
          <w:p w14:paraId="642A4370" w14:textId="77777777" w:rsidR="00E040FD" w:rsidRDefault="00740D64">
            <w:pPr>
              <w:pStyle w:val="P68B1DB1-Normal8"/>
              <w:spacing w:after="0" w:line="240" w:lineRule="auto"/>
              <w:jc w:val="center"/>
              <w:rPr>
                <w:rFonts w:eastAsia="Times New Roman" w:cs="Calibri"/>
                <w:noProof/>
              </w:rPr>
            </w:pPr>
            <w:r>
              <w:rPr>
                <w:noProof/>
              </w:rPr>
              <w:t>RE-C08-i03</w:t>
            </w:r>
          </w:p>
        </w:tc>
        <w:tc>
          <w:tcPr>
            <w:tcW w:w="1107" w:type="dxa"/>
            <w:shd w:val="clear" w:color="auto" w:fill="C4EFCE"/>
            <w:noWrap/>
            <w:vAlign w:val="center"/>
            <w:hideMark/>
          </w:tcPr>
          <w:p w14:paraId="446A0969" w14:textId="77777777" w:rsidR="00E040FD" w:rsidRDefault="00740D6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2F7E64D" w14:textId="77777777" w:rsidR="00E040FD" w:rsidRDefault="00740D64">
            <w:pPr>
              <w:pStyle w:val="P68B1DB1-Normal8"/>
              <w:spacing w:after="0" w:line="240" w:lineRule="auto"/>
              <w:jc w:val="center"/>
              <w:rPr>
                <w:rFonts w:eastAsia="Times New Roman" w:cs="Calibri"/>
                <w:noProof/>
              </w:rPr>
            </w:pPr>
            <w:r>
              <w:rPr>
                <w:noProof/>
              </w:rPr>
              <w:t>Etablerat servitut</w:t>
            </w:r>
          </w:p>
        </w:tc>
        <w:tc>
          <w:tcPr>
            <w:tcW w:w="1244" w:type="dxa"/>
            <w:shd w:val="clear" w:color="auto" w:fill="C4EFCE"/>
            <w:noWrap/>
            <w:vAlign w:val="center"/>
            <w:hideMark/>
          </w:tcPr>
          <w:p w14:paraId="6B4AD3B0"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0A7FE39" w14:textId="77777777" w:rsidR="00E040FD" w:rsidRDefault="00740D64">
            <w:pPr>
              <w:pStyle w:val="P68B1DB1-Normal8"/>
              <w:spacing w:after="0" w:line="240" w:lineRule="auto"/>
              <w:jc w:val="center"/>
              <w:rPr>
                <w:rFonts w:eastAsia="Times New Roman" w:cs="Calibri"/>
                <w:noProof/>
              </w:rPr>
            </w:pPr>
            <w:r>
              <w:rPr>
                <w:noProof/>
              </w:rPr>
              <w:t>ha</w:t>
            </w:r>
          </w:p>
        </w:tc>
        <w:tc>
          <w:tcPr>
            <w:tcW w:w="970" w:type="dxa"/>
            <w:shd w:val="clear" w:color="auto" w:fill="C4EFCE"/>
            <w:noWrap/>
            <w:vAlign w:val="center"/>
            <w:hideMark/>
          </w:tcPr>
          <w:p w14:paraId="37D0B124" w14:textId="77777777" w:rsidR="00E040FD" w:rsidRDefault="00740D64">
            <w:pPr>
              <w:pStyle w:val="P68B1DB1-Normal8"/>
              <w:spacing w:after="0" w:line="240" w:lineRule="auto"/>
              <w:jc w:val="center"/>
              <w:rPr>
                <w:rFonts w:eastAsia="Times New Roman" w:cs="Calibri"/>
                <w:noProof/>
              </w:rPr>
            </w:pPr>
            <w:r>
              <w:rPr>
                <w:noProof/>
              </w:rPr>
              <w:t> 0</w:t>
            </w:r>
          </w:p>
        </w:tc>
        <w:tc>
          <w:tcPr>
            <w:tcW w:w="603" w:type="dxa"/>
            <w:shd w:val="clear" w:color="auto" w:fill="C4EFCE"/>
            <w:noWrap/>
            <w:vAlign w:val="center"/>
            <w:hideMark/>
          </w:tcPr>
          <w:p w14:paraId="5C288326" w14:textId="77777777" w:rsidR="00E040FD" w:rsidRDefault="00740D64">
            <w:pPr>
              <w:pStyle w:val="P68B1DB1-Normal8"/>
              <w:spacing w:after="0" w:line="240" w:lineRule="auto"/>
              <w:jc w:val="center"/>
              <w:rPr>
                <w:rFonts w:eastAsia="Times New Roman" w:cs="Calibri"/>
                <w:noProof/>
              </w:rPr>
            </w:pPr>
            <w:r>
              <w:rPr>
                <w:noProof/>
              </w:rPr>
              <w:t>21 727</w:t>
            </w:r>
          </w:p>
        </w:tc>
        <w:tc>
          <w:tcPr>
            <w:tcW w:w="649" w:type="dxa"/>
            <w:shd w:val="clear" w:color="auto" w:fill="C4EFCE"/>
            <w:noWrap/>
            <w:vAlign w:val="center"/>
            <w:hideMark/>
          </w:tcPr>
          <w:p w14:paraId="193C372D" w14:textId="77777777" w:rsidR="00E040FD" w:rsidRDefault="00740D64">
            <w:pPr>
              <w:pStyle w:val="P68B1DB1-Normal8"/>
              <w:spacing w:after="0" w:line="240" w:lineRule="auto"/>
              <w:jc w:val="center"/>
              <w:rPr>
                <w:rFonts w:eastAsia="Times New Roman" w:cs="Calibri"/>
                <w:noProof/>
              </w:rPr>
            </w:pPr>
            <w:r>
              <w:rPr>
                <w:noProof/>
              </w:rPr>
              <w:t>KVARTAL 3</w:t>
            </w:r>
          </w:p>
        </w:tc>
        <w:tc>
          <w:tcPr>
            <w:tcW w:w="694" w:type="dxa"/>
            <w:shd w:val="clear" w:color="auto" w:fill="C4EFCE"/>
            <w:noWrap/>
            <w:vAlign w:val="center"/>
            <w:hideMark/>
          </w:tcPr>
          <w:p w14:paraId="361D822E" w14:textId="50E1ABB3" w:rsidR="00E040FD" w:rsidRDefault="00740D6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050DA219" w14:textId="1156CC5A" w:rsidR="00E040FD" w:rsidRDefault="00740D64">
            <w:pPr>
              <w:pStyle w:val="P68B1DB1-Normal8"/>
              <w:spacing w:after="0" w:line="240" w:lineRule="auto"/>
              <w:jc w:val="both"/>
              <w:rPr>
                <w:rFonts w:eastAsia="Times New Roman" w:cs="Calibri"/>
                <w:noProof/>
              </w:rPr>
            </w:pPr>
            <w:r>
              <w:rPr>
                <w:noProof/>
              </w:rPr>
              <w:t>Servitationsområde som bildas i det primära nätet av avbrott i bränslehanteringen (RPFGC)</w:t>
            </w:r>
          </w:p>
          <w:p w14:paraId="2517E778" w14:textId="6DC1028B" w:rsidR="00E040FD" w:rsidRDefault="00740D64">
            <w:pPr>
              <w:pStyle w:val="P68B1DB1-Normal8"/>
              <w:spacing w:after="0" w:line="240" w:lineRule="auto"/>
              <w:jc w:val="both"/>
              <w:rPr>
                <w:rFonts w:eastAsia="Times New Roman" w:cs="Calibri"/>
                <w:noProof/>
              </w:rPr>
            </w:pPr>
            <w:r>
              <w:rPr>
                <w:noProof/>
              </w:rPr>
              <w:t>Denna mark ska ingå i BUPi-plattformen för att möjliggöra det efterföljande särskilda registreringsförfarandet.</w:t>
            </w:r>
          </w:p>
        </w:tc>
      </w:tr>
      <w:tr w:rsidR="00E040FD" w14:paraId="392C2D5D" w14:textId="77777777">
        <w:trPr>
          <w:trHeight w:val="430"/>
          <w:jc w:val="center"/>
        </w:trPr>
        <w:tc>
          <w:tcPr>
            <w:tcW w:w="1114" w:type="dxa"/>
            <w:shd w:val="clear" w:color="auto" w:fill="C4EFCE"/>
            <w:vAlign w:val="center"/>
            <w:hideMark/>
          </w:tcPr>
          <w:p w14:paraId="23A37D83" w14:textId="77777777" w:rsidR="00E040FD" w:rsidRDefault="00740D64">
            <w:pPr>
              <w:pStyle w:val="P68B1DB1-Normal7"/>
              <w:spacing w:after="0" w:line="240" w:lineRule="auto"/>
              <w:jc w:val="center"/>
              <w:rPr>
                <w:rFonts w:eastAsia="Times New Roman" w:cs="Calibri"/>
                <w:noProof/>
              </w:rPr>
            </w:pPr>
            <w:r>
              <w:rPr>
                <w:noProof/>
              </w:rPr>
              <w:t>8.9</w:t>
            </w:r>
          </w:p>
        </w:tc>
        <w:tc>
          <w:tcPr>
            <w:tcW w:w="1245" w:type="dxa"/>
            <w:shd w:val="clear" w:color="auto" w:fill="C4EFCE"/>
            <w:noWrap/>
            <w:vAlign w:val="center"/>
            <w:hideMark/>
          </w:tcPr>
          <w:p w14:paraId="5212D01F" w14:textId="77777777" w:rsidR="00E040FD" w:rsidRDefault="00740D64">
            <w:pPr>
              <w:pStyle w:val="P68B1DB1-Normal8"/>
              <w:spacing w:after="0" w:line="240" w:lineRule="auto"/>
              <w:jc w:val="center"/>
              <w:rPr>
                <w:rFonts w:eastAsia="Times New Roman" w:cs="Calibri"/>
                <w:noProof/>
              </w:rPr>
            </w:pPr>
            <w:r>
              <w:rPr>
                <w:noProof/>
              </w:rPr>
              <w:t>RE-C08-i03</w:t>
            </w:r>
          </w:p>
        </w:tc>
        <w:tc>
          <w:tcPr>
            <w:tcW w:w="1107" w:type="dxa"/>
            <w:shd w:val="clear" w:color="auto" w:fill="C4EFCE"/>
            <w:noWrap/>
            <w:vAlign w:val="center"/>
            <w:hideMark/>
          </w:tcPr>
          <w:p w14:paraId="36C724AE" w14:textId="77777777" w:rsidR="00E040FD" w:rsidRDefault="00740D6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10D704E0" w14:textId="17A8A212" w:rsidR="00E040FD" w:rsidRDefault="00740D64">
            <w:pPr>
              <w:pStyle w:val="P68B1DB1-Normal8"/>
              <w:spacing w:after="0" w:line="240" w:lineRule="auto"/>
              <w:jc w:val="center"/>
              <w:rPr>
                <w:rFonts w:eastAsia="Times New Roman" w:cs="Calibri"/>
                <w:noProof/>
              </w:rPr>
            </w:pPr>
            <w:r>
              <w:rPr>
                <w:noProof/>
              </w:rPr>
              <w:t>Genomförande av struktureringsnätverket för hantering av primärt bränsle (Primary Fuel Management Breaks Structuring Network, RPFGC)</w:t>
            </w:r>
          </w:p>
        </w:tc>
        <w:tc>
          <w:tcPr>
            <w:tcW w:w="1244" w:type="dxa"/>
            <w:shd w:val="clear" w:color="auto" w:fill="C4EFCE"/>
            <w:noWrap/>
            <w:vAlign w:val="center"/>
            <w:hideMark/>
          </w:tcPr>
          <w:p w14:paraId="23E2BACD"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4C251181" w14:textId="77777777" w:rsidR="00E040FD" w:rsidRDefault="00740D64">
            <w:pPr>
              <w:pStyle w:val="P68B1DB1-Normal8"/>
              <w:spacing w:after="0" w:line="240" w:lineRule="auto"/>
              <w:jc w:val="center"/>
              <w:rPr>
                <w:rFonts w:eastAsia="Times New Roman" w:cs="Calibri"/>
                <w:noProof/>
              </w:rPr>
            </w:pPr>
            <w:r>
              <w:rPr>
                <w:noProof/>
              </w:rPr>
              <w:t>Antal</w:t>
            </w:r>
          </w:p>
        </w:tc>
        <w:tc>
          <w:tcPr>
            <w:tcW w:w="970" w:type="dxa"/>
            <w:shd w:val="clear" w:color="auto" w:fill="C4EFCE"/>
            <w:noWrap/>
            <w:vAlign w:val="center"/>
            <w:hideMark/>
          </w:tcPr>
          <w:p w14:paraId="451D6332" w14:textId="77777777" w:rsidR="00E040FD" w:rsidRDefault="00740D64">
            <w:pPr>
              <w:pStyle w:val="P68B1DB1-Normal8"/>
              <w:spacing w:after="0" w:line="240" w:lineRule="auto"/>
              <w:jc w:val="center"/>
              <w:rPr>
                <w:rFonts w:eastAsia="Times New Roman" w:cs="Calibri"/>
                <w:noProof/>
              </w:rPr>
            </w:pPr>
            <w:r>
              <w:rPr>
                <w:noProof/>
              </w:rPr>
              <w:t>0 </w:t>
            </w:r>
          </w:p>
        </w:tc>
        <w:tc>
          <w:tcPr>
            <w:tcW w:w="603" w:type="dxa"/>
            <w:shd w:val="clear" w:color="auto" w:fill="C4EFCE"/>
            <w:noWrap/>
            <w:vAlign w:val="center"/>
            <w:hideMark/>
          </w:tcPr>
          <w:p w14:paraId="13734D22" w14:textId="77777777" w:rsidR="00E040FD" w:rsidRDefault="00740D64">
            <w:pPr>
              <w:pStyle w:val="P68B1DB1-Normal8"/>
              <w:spacing w:after="0" w:line="240" w:lineRule="auto"/>
              <w:jc w:val="center"/>
              <w:rPr>
                <w:rFonts w:eastAsia="Times New Roman" w:cs="Calibri"/>
                <w:noProof/>
              </w:rPr>
            </w:pPr>
            <w:r>
              <w:rPr>
                <w:noProof/>
              </w:rPr>
              <w:t>37 500</w:t>
            </w:r>
          </w:p>
        </w:tc>
        <w:tc>
          <w:tcPr>
            <w:tcW w:w="649" w:type="dxa"/>
            <w:shd w:val="clear" w:color="auto" w:fill="C4EFCE"/>
            <w:noWrap/>
            <w:vAlign w:val="center"/>
            <w:hideMark/>
          </w:tcPr>
          <w:p w14:paraId="4962CE45" w14:textId="77777777" w:rsidR="00E040FD" w:rsidRDefault="00740D64">
            <w:pPr>
              <w:pStyle w:val="P68B1DB1-Normal8"/>
              <w:spacing w:after="0" w:line="240" w:lineRule="auto"/>
              <w:jc w:val="center"/>
              <w:rPr>
                <w:rFonts w:eastAsia="Times New Roman" w:cs="Calibri"/>
                <w:noProof/>
              </w:rPr>
            </w:pPr>
            <w:r>
              <w:rPr>
                <w:noProof/>
              </w:rPr>
              <w:t>KVARTAL 4</w:t>
            </w:r>
          </w:p>
        </w:tc>
        <w:tc>
          <w:tcPr>
            <w:tcW w:w="694" w:type="dxa"/>
            <w:shd w:val="clear" w:color="auto" w:fill="C4EFCE"/>
            <w:noWrap/>
            <w:vAlign w:val="center"/>
            <w:hideMark/>
          </w:tcPr>
          <w:p w14:paraId="6E8FFA64" w14:textId="77777777" w:rsidR="00E040FD" w:rsidRDefault="00740D6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2485B98D" w14:textId="3D8CF93E" w:rsidR="00E040FD" w:rsidRDefault="00740D64">
            <w:pPr>
              <w:pStyle w:val="P68B1DB1-Normal8"/>
              <w:spacing w:after="0" w:line="240" w:lineRule="auto"/>
              <w:jc w:val="both"/>
              <w:rPr>
                <w:rFonts w:eastAsia="Times New Roman" w:cs="Calibri"/>
                <w:noProof/>
              </w:rPr>
            </w:pPr>
            <w:r>
              <w:rPr>
                <w:noProof/>
              </w:rPr>
              <w:t>Genomförd areal (i ha) av det primära nätet av avbrott i bränslehanteringen (RPFGC) – skapande av horisontella diskontinuiteter (bränslehanteringsband) i landskapet för att isolera brandutbrott.</w:t>
            </w:r>
          </w:p>
        </w:tc>
      </w:tr>
      <w:tr w:rsidR="00E040FD" w14:paraId="13D047D8" w14:textId="77777777">
        <w:trPr>
          <w:trHeight w:val="430"/>
          <w:jc w:val="center"/>
        </w:trPr>
        <w:tc>
          <w:tcPr>
            <w:tcW w:w="1114" w:type="dxa"/>
            <w:shd w:val="clear" w:color="auto" w:fill="C4EFCE"/>
            <w:vAlign w:val="center"/>
            <w:hideMark/>
          </w:tcPr>
          <w:p w14:paraId="6ED52C23" w14:textId="77777777" w:rsidR="00E040FD" w:rsidRDefault="00740D64">
            <w:pPr>
              <w:pStyle w:val="P68B1DB1-Normal7"/>
              <w:spacing w:after="0" w:line="240" w:lineRule="auto"/>
              <w:jc w:val="center"/>
              <w:rPr>
                <w:rFonts w:eastAsia="Times New Roman" w:cs="Calibri"/>
                <w:noProof/>
              </w:rPr>
            </w:pPr>
            <w:r>
              <w:rPr>
                <w:noProof/>
              </w:rPr>
              <w:t>8.10</w:t>
            </w:r>
          </w:p>
        </w:tc>
        <w:tc>
          <w:tcPr>
            <w:tcW w:w="1245" w:type="dxa"/>
            <w:shd w:val="clear" w:color="auto" w:fill="C4EFCE"/>
            <w:noWrap/>
            <w:vAlign w:val="center"/>
            <w:hideMark/>
          </w:tcPr>
          <w:p w14:paraId="030B3560" w14:textId="77777777" w:rsidR="00E040FD" w:rsidRDefault="00740D64">
            <w:pPr>
              <w:pStyle w:val="P68B1DB1-Normal8"/>
              <w:spacing w:after="0" w:line="240" w:lineRule="auto"/>
              <w:jc w:val="center"/>
              <w:rPr>
                <w:rFonts w:eastAsia="Times New Roman" w:cs="Calibri"/>
                <w:noProof/>
              </w:rPr>
            </w:pPr>
            <w:r>
              <w:rPr>
                <w:noProof/>
              </w:rPr>
              <w:t>RE-C08-i04</w:t>
            </w:r>
          </w:p>
        </w:tc>
        <w:tc>
          <w:tcPr>
            <w:tcW w:w="1107" w:type="dxa"/>
            <w:shd w:val="clear" w:color="auto" w:fill="C4EFCE"/>
            <w:noWrap/>
            <w:vAlign w:val="center"/>
            <w:hideMark/>
          </w:tcPr>
          <w:p w14:paraId="600B64B0" w14:textId="77777777" w:rsidR="00E040FD" w:rsidRDefault="00740D6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022925A" w14:textId="77777777" w:rsidR="00E040FD" w:rsidRDefault="00740D64">
            <w:pPr>
              <w:pStyle w:val="P68B1DB1-Normal8"/>
              <w:spacing w:after="0" w:line="240" w:lineRule="auto"/>
              <w:jc w:val="center"/>
              <w:rPr>
                <w:rFonts w:eastAsia="Times New Roman" w:cs="Calibri"/>
                <w:noProof/>
              </w:rPr>
            </w:pPr>
            <w:r>
              <w:rPr>
                <w:noProof/>
              </w:rPr>
              <w:t>Leverans av fordon, maskiner och utrustning</w:t>
            </w:r>
          </w:p>
        </w:tc>
        <w:tc>
          <w:tcPr>
            <w:tcW w:w="1244" w:type="dxa"/>
            <w:shd w:val="clear" w:color="auto" w:fill="C4EFCE"/>
            <w:noWrap/>
            <w:vAlign w:val="center"/>
            <w:hideMark/>
          </w:tcPr>
          <w:p w14:paraId="39554C14"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18547CC0" w14:textId="77777777" w:rsidR="00E040FD" w:rsidRDefault="00740D64">
            <w:pPr>
              <w:pStyle w:val="P68B1DB1-Normal8"/>
              <w:spacing w:after="0" w:line="240" w:lineRule="auto"/>
              <w:jc w:val="center"/>
              <w:rPr>
                <w:rFonts w:eastAsia="Times New Roman" w:cs="Calibri"/>
                <w:noProof/>
              </w:rPr>
            </w:pPr>
            <w:r>
              <w:rPr>
                <w:noProof/>
              </w:rPr>
              <w:t xml:space="preserve"> Antal</w:t>
            </w:r>
          </w:p>
        </w:tc>
        <w:tc>
          <w:tcPr>
            <w:tcW w:w="970" w:type="dxa"/>
            <w:shd w:val="clear" w:color="auto" w:fill="C4EFCE"/>
            <w:noWrap/>
            <w:vAlign w:val="center"/>
            <w:hideMark/>
          </w:tcPr>
          <w:p w14:paraId="7C429149" w14:textId="77777777" w:rsidR="00E040FD" w:rsidRDefault="00740D64">
            <w:pPr>
              <w:pStyle w:val="P68B1DB1-Normal8"/>
              <w:spacing w:after="0" w:line="240" w:lineRule="auto"/>
              <w:jc w:val="center"/>
              <w:rPr>
                <w:rFonts w:eastAsia="Times New Roman" w:cs="Calibri"/>
                <w:noProof/>
              </w:rPr>
            </w:pPr>
            <w:r>
              <w:rPr>
                <w:noProof/>
              </w:rPr>
              <w:t>0 </w:t>
            </w:r>
          </w:p>
        </w:tc>
        <w:tc>
          <w:tcPr>
            <w:tcW w:w="603" w:type="dxa"/>
            <w:shd w:val="clear" w:color="auto" w:fill="C4EFCE"/>
            <w:noWrap/>
            <w:vAlign w:val="center"/>
            <w:hideMark/>
          </w:tcPr>
          <w:p w14:paraId="20CC9EEC" w14:textId="77777777" w:rsidR="00E040FD" w:rsidRDefault="00740D64">
            <w:pPr>
              <w:pStyle w:val="P68B1DB1-Normal8"/>
              <w:spacing w:after="0" w:line="240" w:lineRule="auto"/>
              <w:jc w:val="center"/>
              <w:rPr>
                <w:rFonts w:eastAsia="Times New Roman" w:cs="Calibri"/>
                <w:noProof/>
              </w:rPr>
            </w:pPr>
            <w:r>
              <w:rPr>
                <w:noProof/>
              </w:rPr>
              <w:t>179</w:t>
            </w:r>
          </w:p>
        </w:tc>
        <w:tc>
          <w:tcPr>
            <w:tcW w:w="649" w:type="dxa"/>
            <w:shd w:val="clear" w:color="auto" w:fill="C4EFCE"/>
            <w:noWrap/>
            <w:vAlign w:val="center"/>
            <w:hideMark/>
          </w:tcPr>
          <w:p w14:paraId="64F991E2" w14:textId="77777777" w:rsidR="00E040FD" w:rsidRDefault="00740D64">
            <w:pPr>
              <w:pStyle w:val="P68B1DB1-Normal8"/>
              <w:spacing w:after="0" w:line="240" w:lineRule="auto"/>
              <w:jc w:val="center"/>
              <w:rPr>
                <w:rFonts w:eastAsia="Times New Roman" w:cs="Calibri"/>
                <w:noProof/>
              </w:rPr>
            </w:pPr>
            <w:r>
              <w:rPr>
                <w:noProof/>
              </w:rPr>
              <w:t>KVARTAL 1</w:t>
            </w:r>
          </w:p>
        </w:tc>
        <w:tc>
          <w:tcPr>
            <w:tcW w:w="694" w:type="dxa"/>
            <w:shd w:val="clear" w:color="auto" w:fill="C4EFCE"/>
            <w:noWrap/>
            <w:vAlign w:val="center"/>
            <w:hideMark/>
          </w:tcPr>
          <w:p w14:paraId="555E763F" w14:textId="77777777" w:rsidR="00E040FD" w:rsidRDefault="00740D64">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23EB455A" w14:textId="77777777" w:rsidR="00E040FD" w:rsidRDefault="00740D64">
            <w:pPr>
              <w:pStyle w:val="P68B1DB1-Normal8"/>
              <w:spacing w:after="0" w:line="240" w:lineRule="auto"/>
              <w:jc w:val="both"/>
              <w:rPr>
                <w:rFonts w:eastAsia="Times New Roman" w:cs="Calibri"/>
                <w:noProof/>
              </w:rPr>
            </w:pPr>
            <w:r>
              <w:rPr>
                <w:noProof/>
              </w:rPr>
              <w:t>Leverans av fordon, maskiner och utrustning för brandbekämpning och brandförebyggande efter bekräftelse av att de uppfyller de tekniska specifikationerna och andra kontraktskrav, i enlighet med ett anbudsförfarande.</w:t>
            </w:r>
          </w:p>
        </w:tc>
      </w:tr>
      <w:tr w:rsidR="00E040FD" w14:paraId="487ADD74" w14:textId="77777777">
        <w:trPr>
          <w:trHeight w:val="1109"/>
          <w:jc w:val="center"/>
        </w:trPr>
        <w:tc>
          <w:tcPr>
            <w:tcW w:w="1114" w:type="dxa"/>
            <w:shd w:val="clear" w:color="auto" w:fill="C4EFCE"/>
            <w:vAlign w:val="center"/>
            <w:hideMark/>
          </w:tcPr>
          <w:p w14:paraId="3860DB26" w14:textId="77777777" w:rsidR="00E040FD" w:rsidRDefault="00740D64">
            <w:pPr>
              <w:pStyle w:val="P68B1DB1-Normal7"/>
              <w:spacing w:after="0" w:line="240" w:lineRule="auto"/>
              <w:jc w:val="center"/>
              <w:rPr>
                <w:rFonts w:eastAsia="Times New Roman" w:cs="Calibri"/>
                <w:noProof/>
              </w:rPr>
            </w:pPr>
            <w:r>
              <w:rPr>
                <w:noProof/>
              </w:rPr>
              <w:t>8.11</w:t>
            </w:r>
          </w:p>
        </w:tc>
        <w:tc>
          <w:tcPr>
            <w:tcW w:w="1245" w:type="dxa"/>
            <w:shd w:val="clear" w:color="auto" w:fill="C4EFCE"/>
            <w:noWrap/>
            <w:vAlign w:val="center"/>
            <w:hideMark/>
          </w:tcPr>
          <w:p w14:paraId="76C404B0" w14:textId="77777777" w:rsidR="00E040FD" w:rsidRDefault="00740D64">
            <w:pPr>
              <w:pStyle w:val="P68B1DB1-Normal8"/>
              <w:spacing w:after="0" w:line="240" w:lineRule="auto"/>
              <w:jc w:val="center"/>
              <w:rPr>
                <w:rFonts w:eastAsia="Times New Roman" w:cs="Calibri"/>
                <w:noProof/>
              </w:rPr>
            </w:pPr>
            <w:r>
              <w:rPr>
                <w:noProof/>
              </w:rPr>
              <w:t>RE-C08-i04</w:t>
            </w:r>
          </w:p>
        </w:tc>
        <w:tc>
          <w:tcPr>
            <w:tcW w:w="1107" w:type="dxa"/>
            <w:shd w:val="clear" w:color="auto" w:fill="C4EFCE"/>
            <w:noWrap/>
            <w:vAlign w:val="center"/>
            <w:hideMark/>
          </w:tcPr>
          <w:p w14:paraId="58F4C381" w14:textId="77777777" w:rsidR="00E040FD" w:rsidRDefault="00740D6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40FD1789" w14:textId="77777777" w:rsidR="00E040FD" w:rsidRDefault="00740D64">
            <w:pPr>
              <w:pStyle w:val="P68B1DB1-Normal8"/>
              <w:spacing w:after="0" w:line="240" w:lineRule="auto"/>
              <w:jc w:val="center"/>
              <w:rPr>
                <w:rFonts w:eastAsia="Times New Roman" w:cs="Calibri"/>
                <w:noProof/>
              </w:rPr>
            </w:pPr>
            <w:r>
              <w:rPr>
                <w:noProof/>
              </w:rPr>
              <w:t>Leverans av lätta och medeltunga brandmanshelikoptrar</w:t>
            </w:r>
          </w:p>
        </w:tc>
        <w:tc>
          <w:tcPr>
            <w:tcW w:w="1244" w:type="dxa"/>
            <w:shd w:val="clear" w:color="auto" w:fill="C4EFCE"/>
            <w:noWrap/>
            <w:vAlign w:val="center"/>
            <w:hideMark/>
          </w:tcPr>
          <w:p w14:paraId="487CBD48"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74765D2D" w14:textId="77777777" w:rsidR="00E040FD" w:rsidRDefault="00740D64">
            <w:pPr>
              <w:pStyle w:val="P68B1DB1-Normal8"/>
              <w:spacing w:after="0" w:line="240" w:lineRule="auto"/>
              <w:jc w:val="center"/>
              <w:rPr>
                <w:rFonts w:eastAsia="Times New Roman" w:cs="Calibri"/>
                <w:noProof/>
              </w:rPr>
            </w:pPr>
            <w:r>
              <w:rPr>
                <w:noProof/>
              </w:rPr>
              <w:t xml:space="preserve"> Antal</w:t>
            </w:r>
          </w:p>
        </w:tc>
        <w:tc>
          <w:tcPr>
            <w:tcW w:w="970" w:type="dxa"/>
            <w:shd w:val="clear" w:color="auto" w:fill="C4EFCE"/>
            <w:noWrap/>
            <w:vAlign w:val="center"/>
            <w:hideMark/>
          </w:tcPr>
          <w:p w14:paraId="7BE1885F" w14:textId="77777777" w:rsidR="00E040FD" w:rsidRDefault="00740D6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16399CA0" w14:textId="64428CEC" w:rsidR="00E040FD" w:rsidRDefault="00740D64">
            <w:pPr>
              <w:pStyle w:val="P68B1DB1-Normal8"/>
              <w:spacing w:after="0" w:line="240" w:lineRule="auto"/>
              <w:jc w:val="center"/>
              <w:rPr>
                <w:rFonts w:eastAsia="Calibri" w:cs="Calibri"/>
                <w:noProof/>
              </w:rPr>
            </w:pPr>
            <w:r>
              <w:rPr>
                <w:noProof/>
              </w:rPr>
              <w:t>11</w:t>
            </w:r>
          </w:p>
        </w:tc>
        <w:tc>
          <w:tcPr>
            <w:tcW w:w="649" w:type="dxa"/>
            <w:shd w:val="clear" w:color="auto" w:fill="C4EFCE"/>
            <w:noWrap/>
            <w:vAlign w:val="center"/>
            <w:hideMark/>
          </w:tcPr>
          <w:p w14:paraId="3B3A6032" w14:textId="77777777" w:rsidR="00E040FD" w:rsidRDefault="00740D64">
            <w:pPr>
              <w:pStyle w:val="P68B1DB1-Normal8"/>
              <w:spacing w:after="0" w:line="240" w:lineRule="auto"/>
              <w:jc w:val="center"/>
              <w:rPr>
                <w:rFonts w:eastAsia="Times New Roman" w:cs="Calibri"/>
                <w:noProof/>
              </w:rPr>
            </w:pPr>
            <w:r>
              <w:rPr>
                <w:noProof/>
              </w:rPr>
              <w:t>KVARTAL 4</w:t>
            </w:r>
          </w:p>
        </w:tc>
        <w:tc>
          <w:tcPr>
            <w:tcW w:w="694" w:type="dxa"/>
            <w:shd w:val="clear" w:color="auto" w:fill="C4EFCE"/>
            <w:noWrap/>
            <w:vAlign w:val="center"/>
            <w:hideMark/>
          </w:tcPr>
          <w:p w14:paraId="49892F3C" w14:textId="77777777" w:rsidR="00E040FD" w:rsidRDefault="00740D6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2EE5FF2B" w14:textId="7512F60A" w:rsidR="00E040FD" w:rsidRDefault="00740D64">
            <w:pPr>
              <w:pStyle w:val="P68B1DB1-Normal8"/>
              <w:spacing w:after="0" w:line="240" w:lineRule="auto"/>
              <w:jc w:val="both"/>
              <w:rPr>
                <w:rFonts w:eastAsia="Times New Roman" w:cs="Calibri"/>
                <w:noProof/>
              </w:rPr>
            </w:pPr>
            <w:r>
              <w:rPr>
                <w:noProof/>
              </w:rPr>
              <w:t>Leverans av två lätta brandmanshelikoptrar (HEBL) och nio medelhöga brandmän (HEBM) efter bekräftelse av att de uppfyller de tekniska specifikationerna och andra avtalskrav. Målet ska också omfatta uppförande och/eller renovering av byggnader och infrastruktur för användning och underhåll av helikoptrar.</w:t>
            </w:r>
          </w:p>
        </w:tc>
      </w:tr>
      <w:tr w:rsidR="00E040FD" w14:paraId="3D57C30A" w14:textId="77777777">
        <w:trPr>
          <w:trHeight w:val="1602"/>
          <w:jc w:val="center"/>
        </w:trPr>
        <w:tc>
          <w:tcPr>
            <w:tcW w:w="1114" w:type="dxa"/>
            <w:shd w:val="clear" w:color="auto" w:fill="C4EFCE"/>
            <w:vAlign w:val="center"/>
            <w:hideMark/>
          </w:tcPr>
          <w:p w14:paraId="2C8E73E6" w14:textId="77777777" w:rsidR="00E040FD" w:rsidRDefault="00740D64">
            <w:pPr>
              <w:pStyle w:val="P68B1DB1-Normal7"/>
              <w:spacing w:after="0" w:line="240" w:lineRule="auto"/>
              <w:jc w:val="center"/>
              <w:rPr>
                <w:rFonts w:eastAsia="Times New Roman" w:cs="Calibri"/>
                <w:noProof/>
              </w:rPr>
            </w:pPr>
            <w:r>
              <w:rPr>
                <w:noProof/>
              </w:rPr>
              <w:t>8.12</w:t>
            </w:r>
          </w:p>
        </w:tc>
        <w:tc>
          <w:tcPr>
            <w:tcW w:w="1245" w:type="dxa"/>
            <w:shd w:val="clear" w:color="auto" w:fill="C4EFCE"/>
            <w:noWrap/>
            <w:vAlign w:val="center"/>
            <w:hideMark/>
          </w:tcPr>
          <w:p w14:paraId="70010057" w14:textId="77777777" w:rsidR="00E040FD" w:rsidRDefault="00740D64">
            <w:pPr>
              <w:pStyle w:val="P68B1DB1-Normal8"/>
              <w:spacing w:after="0" w:line="240" w:lineRule="auto"/>
              <w:jc w:val="center"/>
              <w:rPr>
                <w:rFonts w:eastAsia="Times New Roman" w:cs="Calibri"/>
                <w:noProof/>
              </w:rPr>
            </w:pPr>
            <w:r>
              <w:rPr>
                <w:noProof/>
              </w:rPr>
              <w:t>RE-C08-i04</w:t>
            </w:r>
          </w:p>
        </w:tc>
        <w:tc>
          <w:tcPr>
            <w:tcW w:w="1107" w:type="dxa"/>
            <w:shd w:val="clear" w:color="auto" w:fill="C4EFCE"/>
            <w:noWrap/>
            <w:vAlign w:val="center"/>
            <w:hideMark/>
          </w:tcPr>
          <w:p w14:paraId="7176F5E0" w14:textId="77777777" w:rsidR="00E040FD" w:rsidRDefault="00740D6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7BC37E58" w14:textId="77777777" w:rsidR="00E040FD" w:rsidRDefault="00740D64">
            <w:pPr>
              <w:pStyle w:val="P68B1DB1-Normal8"/>
              <w:spacing w:after="0" w:line="240" w:lineRule="auto"/>
              <w:jc w:val="center"/>
              <w:rPr>
                <w:rFonts w:eastAsia="Times New Roman" w:cs="Calibri"/>
                <w:noProof/>
              </w:rPr>
            </w:pPr>
            <w:r>
              <w:rPr>
                <w:noProof/>
              </w:rPr>
              <w:t xml:space="preserve">Installation av dubbla polariseringsradar </w:t>
            </w:r>
          </w:p>
        </w:tc>
        <w:tc>
          <w:tcPr>
            <w:tcW w:w="1244" w:type="dxa"/>
            <w:shd w:val="clear" w:color="auto" w:fill="C4EFCE"/>
            <w:noWrap/>
            <w:vAlign w:val="center"/>
            <w:hideMark/>
          </w:tcPr>
          <w:p w14:paraId="15D2EC6F"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57C5188B" w14:textId="77777777" w:rsidR="00E040FD" w:rsidRDefault="00740D64">
            <w:pPr>
              <w:pStyle w:val="P68B1DB1-Normal8"/>
              <w:spacing w:after="0" w:line="240" w:lineRule="auto"/>
              <w:jc w:val="center"/>
              <w:rPr>
                <w:rFonts w:eastAsia="Times New Roman" w:cs="Calibri"/>
                <w:noProof/>
              </w:rPr>
            </w:pPr>
            <w:r>
              <w:rPr>
                <w:noProof/>
              </w:rPr>
              <w:t xml:space="preserve"> Antal</w:t>
            </w:r>
          </w:p>
        </w:tc>
        <w:tc>
          <w:tcPr>
            <w:tcW w:w="970" w:type="dxa"/>
            <w:shd w:val="clear" w:color="auto" w:fill="C4EFCE"/>
            <w:noWrap/>
            <w:vAlign w:val="center"/>
            <w:hideMark/>
          </w:tcPr>
          <w:p w14:paraId="3F4B6B81" w14:textId="77777777" w:rsidR="00E040FD" w:rsidRDefault="00740D6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B6819FD" w14:textId="77777777" w:rsidR="00E040FD" w:rsidRDefault="00740D64">
            <w:pPr>
              <w:pStyle w:val="P68B1DB1-Normal8"/>
              <w:spacing w:after="0" w:line="240" w:lineRule="auto"/>
              <w:jc w:val="center"/>
              <w:rPr>
                <w:rFonts w:eastAsia="Times New Roman" w:cs="Calibri"/>
                <w:noProof/>
              </w:rPr>
            </w:pPr>
            <w:r>
              <w:rPr>
                <w:noProof/>
              </w:rPr>
              <w:t>2</w:t>
            </w:r>
          </w:p>
        </w:tc>
        <w:tc>
          <w:tcPr>
            <w:tcW w:w="649" w:type="dxa"/>
            <w:shd w:val="clear" w:color="auto" w:fill="C4EFCE"/>
            <w:noWrap/>
            <w:vAlign w:val="center"/>
            <w:hideMark/>
          </w:tcPr>
          <w:p w14:paraId="73B9EEDA" w14:textId="7375E0C1" w:rsidR="00E040FD" w:rsidRDefault="00740D64">
            <w:pPr>
              <w:pStyle w:val="P68B1DB1-Normal8"/>
              <w:spacing w:after="0" w:line="240" w:lineRule="auto"/>
              <w:jc w:val="center"/>
              <w:rPr>
                <w:rFonts w:eastAsia="Times New Roman" w:cs="Calibri"/>
                <w:noProof/>
              </w:rPr>
            </w:pPr>
            <w:r>
              <w:rPr>
                <w:noProof/>
              </w:rPr>
              <w:t>KVARTAL 4</w:t>
            </w:r>
          </w:p>
        </w:tc>
        <w:tc>
          <w:tcPr>
            <w:tcW w:w="694" w:type="dxa"/>
            <w:shd w:val="clear" w:color="auto" w:fill="C4EFCE"/>
            <w:noWrap/>
            <w:vAlign w:val="center"/>
            <w:hideMark/>
          </w:tcPr>
          <w:p w14:paraId="3F0D0945" w14:textId="77777777" w:rsidR="00E040FD" w:rsidRDefault="00740D64">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72298171" w14:textId="77777777" w:rsidR="00E040FD" w:rsidRDefault="00740D64">
            <w:pPr>
              <w:pStyle w:val="P68B1DB1-Normal8"/>
              <w:spacing w:after="0" w:line="240" w:lineRule="auto"/>
              <w:jc w:val="both"/>
              <w:rPr>
                <w:rFonts w:eastAsia="Times New Roman" w:cs="Calibri"/>
                <w:noProof/>
              </w:rPr>
            </w:pPr>
            <w:r>
              <w:rPr>
                <w:noProof/>
              </w:rPr>
              <w:t>Installation av två dubbla polariseringsradar med det nödvändiga data- och arkiveringssystemet, två blixtdetektorer och två väderväderstationer. Installationen är slutförd efter bekräftelse av att den överensstämmer med de tekniska specifikationerna och andra avtalskrav.</w:t>
            </w:r>
          </w:p>
        </w:tc>
      </w:tr>
      <w:tr w:rsidR="00E040FD" w14:paraId="28363569" w14:textId="77777777">
        <w:trPr>
          <w:trHeight w:val="430"/>
          <w:jc w:val="center"/>
        </w:trPr>
        <w:tc>
          <w:tcPr>
            <w:tcW w:w="1114" w:type="dxa"/>
            <w:shd w:val="clear" w:color="auto" w:fill="C4EFCE"/>
            <w:vAlign w:val="center"/>
            <w:hideMark/>
          </w:tcPr>
          <w:p w14:paraId="6AE21B31" w14:textId="77777777" w:rsidR="00E040FD" w:rsidRDefault="00740D64">
            <w:pPr>
              <w:pStyle w:val="P68B1DB1-Normal7"/>
              <w:spacing w:after="0" w:line="240" w:lineRule="auto"/>
              <w:jc w:val="center"/>
              <w:rPr>
                <w:rFonts w:eastAsia="Times New Roman" w:cs="Calibri"/>
                <w:noProof/>
              </w:rPr>
            </w:pPr>
            <w:r>
              <w:rPr>
                <w:noProof/>
              </w:rPr>
              <w:t>8.13</w:t>
            </w:r>
          </w:p>
        </w:tc>
        <w:tc>
          <w:tcPr>
            <w:tcW w:w="1245" w:type="dxa"/>
            <w:shd w:val="clear" w:color="auto" w:fill="C4EFCE"/>
            <w:noWrap/>
            <w:vAlign w:val="center"/>
            <w:hideMark/>
          </w:tcPr>
          <w:p w14:paraId="7F3A085B" w14:textId="77777777" w:rsidR="00E040FD" w:rsidRDefault="00740D64">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hideMark/>
          </w:tcPr>
          <w:p w14:paraId="705F7814" w14:textId="77777777" w:rsidR="00E040FD" w:rsidRDefault="00740D6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198E7C32" w14:textId="77777777" w:rsidR="00E040FD" w:rsidRDefault="00740D64">
            <w:pPr>
              <w:pStyle w:val="P68B1DB1-Normal8"/>
              <w:spacing w:after="0" w:line="240" w:lineRule="auto"/>
              <w:jc w:val="center"/>
              <w:rPr>
                <w:rFonts w:eastAsia="Times New Roman" w:cs="Calibri"/>
                <w:noProof/>
              </w:rPr>
            </w:pPr>
            <w:r>
              <w:rPr>
                <w:noProof/>
              </w:rPr>
              <w:t>Förstärkning av enheterna vid inrikesministeriet (MAI) med fordon och operativ utrustning</w:t>
            </w:r>
          </w:p>
        </w:tc>
        <w:tc>
          <w:tcPr>
            <w:tcW w:w="1244" w:type="dxa"/>
            <w:shd w:val="clear" w:color="auto" w:fill="C4EFCE"/>
            <w:noWrap/>
            <w:vAlign w:val="center"/>
            <w:hideMark/>
          </w:tcPr>
          <w:p w14:paraId="0A3F576B"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B0961C3" w14:textId="77777777" w:rsidR="00E040FD" w:rsidRDefault="00740D64">
            <w:pPr>
              <w:pStyle w:val="P68B1DB1-Normal8"/>
              <w:spacing w:after="0" w:line="240" w:lineRule="auto"/>
              <w:jc w:val="center"/>
              <w:rPr>
                <w:rFonts w:eastAsia="Times New Roman" w:cs="Calibri"/>
                <w:noProof/>
              </w:rPr>
            </w:pPr>
            <w:r>
              <w:rPr>
                <w:noProof/>
              </w:rPr>
              <w:t>Antal</w:t>
            </w:r>
          </w:p>
        </w:tc>
        <w:tc>
          <w:tcPr>
            <w:tcW w:w="970" w:type="dxa"/>
            <w:shd w:val="clear" w:color="auto" w:fill="C4EFCE"/>
            <w:noWrap/>
            <w:vAlign w:val="center"/>
            <w:hideMark/>
          </w:tcPr>
          <w:p w14:paraId="71F85106" w14:textId="77777777" w:rsidR="00E040FD" w:rsidRDefault="00740D6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5E49558E" w14:textId="77777777" w:rsidR="00E040FD" w:rsidRDefault="00740D64">
            <w:pPr>
              <w:pStyle w:val="P68B1DB1-Normal8"/>
              <w:spacing w:after="0" w:line="240" w:lineRule="auto"/>
              <w:jc w:val="center"/>
              <w:rPr>
                <w:rFonts w:eastAsia="Times New Roman" w:cs="Calibri"/>
                <w:noProof/>
              </w:rPr>
            </w:pPr>
            <w:r>
              <w:rPr>
                <w:noProof/>
              </w:rPr>
              <w:t>62</w:t>
            </w:r>
          </w:p>
        </w:tc>
        <w:tc>
          <w:tcPr>
            <w:tcW w:w="649" w:type="dxa"/>
            <w:shd w:val="clear" w:color="auto" w:fill="C4EFCE"/>
            <w:noWrap/>
            <w:vAlign w:val="center"/>
            <w:hideMark/>
          </w:tcPr>
          <w:p w14:paraId="3E640486" w14:textId="77777777" w:rsidR="00E040FD" w:rsidRDefault="00740D64">
            <w:pPr>
              <w:pStyle w:val="P68B1DB1-Normal8"/>
              <w:spacing w:after="0" w:line="240" w:lineRule="auto"/>
              <w:jc w:val="center"/>
              <w:rPr>
                <w:rFonts w:eastAsia="Times New Roman" w:cs="Calibri"/>
                <w:noProof/>
              </w:rPr>
            </w:pPr>
            <w:r>
              <w:rPr>
                <w:noProof/>
              </w:rPr>
              <w:t>KVARTAL 4</w:t>
            </w:r>
          </w:p>
        </w:tc>
        <w:tc>
          <w:tcPr>
            <w:tcW w:w="694" w:type="dxa"/>
            <w:shd w:val="clear" w:color="auto" w:fill="C4EFCE"/>
            <w:noWrap/>
            <w:vAlign w:val="center"/>
            <w:hideMark/>
          </w:tcPr>
          <w:p w14:paraId="1E0E5DA7" w14:textId="77777777" w:rsidR="00E040FD" w:rsidRDefault="00740D64">
            <w:pPr>
              <w:pStyle w:val="P68B1DB1-Normal8"/>
              <w:spacing w:after="0" w:line="240" w:lineRule="auto"/>
              <w:jc w:val="center"/>
              <w:rPr>
                <w:rFonts w:eastAsia="Times New Roman" w:cs="Calibri"/>
                <w:noProof/>
              </w:rPr>
            </w:pPr>
            <w:r>
              <w:rPr>
                <w:noProof/>
              </w:rPr>
              <w:t>2024</w:t>
            </w:r>
          </w:p>
        </w:tc>
        <w:tc>
          <w:tcPr>
            <w:tcW w:w="4204" w:type="dxa"/>
            <w:shd w:val="clear" w:color="auto" w:fill="C4EFCE"/>
            <w:vAlign w:val="center"/>
            <w:hideMark/>
          </w:tcPr>
          <w:p w14:paraId="282B8265" w14:textId="17A1E554" w:rsidR="00E040FD" w:rsidRDefault="00740D64">
            <w:pPr>
              <w:pStyle w:val="P68B1DB1-Normal8"/>
              <w:spacing w:after="0" w:line="240" w:lineRule="auto"/>
              <w:jc w:val="both"/>
              <w:rPr>
                <w:rFonts w:eastAsia="Times New Roman" w:cs="Calibri"/>
                <w:noProof/>
              </w:rPr>
            </w:pPr>
            <w:r>
              <w:rPr>
                <w:noProof/>
              </w:rPr>
              <w:t xml:space="preserve">Förstärkning av 62 MAI-enheter (ANEPC, GNR och brandkår) med utbildning och kvalifikationer för operativ personal som arbetar med brandbekämpning, nya fordon och operativ utrustning för minst 35 000 000 EUR. </w:t>
            </w:r>
          </w:p>
        </w:tc>
      </w:tr>
      <w:tr w:rsidR="00E040FD" w14:paraId="57E6AB3E" w14:textId="77777777">
        <w:trPr>
          <w:trHeight w:val="430"/>
          <w:jc w:val="center"/>
        </w:trPr>
        <w:tc>
          <w:tcPr>
            <w:tcW w:w="1114" w:type="dxa"/>
            <w:shd w:val="clear" w:color="auto" w:fill="C4EFCE"/>
            <w:vAlign w:val="center"/>
            <w:hideMark/>
          </w:tcPr>
          <w:p w14:paraId="42ABB305" w14:textId="77777777" w:rsidR="00E040FD" w:rsidRDefault="00740D64">
            <w:pPr>
              <w:pStyle w:val="P68B1DB1-Normal7"/>
              <w:spacing w:after="0" w:line="240" w:lineRule="auto"/>
              <w:jc w:val="center"/>
              <w:rPr>
                <w:rFonts w:eastAsia="Times New Roman" w:cs="Calibri"/>
                <w:noProof/>
              </w:rPr>
            </w:pPr>
            <w:r>
              <w:rPr>
                <w:noProof/>
              </w:rPr>
              <w:t>8.14</w:t>
            </w:r>
          </w:p>
        </w:tc>
        <w:tc>
          <w:tcPr>
            <w:tcW w:w="1245" w:type="dxa"/>
            <w:shd w:val="clear" w:color="auto" w:fill="C4EFCE"/>
            <w:noWrap/>
            <w:vAlign w:val="center"/>
            <w:hideMark/>
          </w:tcPr>
          <w:p w14:paraId="4FFF914B" w14:textId="77777777" w:rsidR="00E040FD" w:rsidRDefault="00740D64">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hideMark/>
          </w:tcPr>
          <w:p w14:paraId="1A75D938" w14:textId="77777777" w:rsidR="00E040FD" w:rsidRDefault="00740D6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61AED32" w14:textId="77777777" w:rsidR="00E040FD" w:rsidRDefault="00740D64">
            <w:pPr>
              <w:pStyle w:val="P68B1DB1-Normal8"/>
              <w:spacing w:after="0" w:line="240" w:lineRule="auto"/>
              <w:jc w:val="center"/>
              <w:rPr>
                <w:rFonts w:eastAsia="Times New Roman" w:cs="Calibri"/>
                <w:noProof/>
              </w:rPr>
            </w:pPr>
            <w:r>
              <w:rPr>
                <w:noProof/>
              </w:rPr>
              <w:t>Inrättande av regionala och subregionala strukturer för den nationella myndigheten för katastrof- och civilskydd (ANEPC)</w:t>
            </w:r>
          </w:p>
        </w:tc>
        <w:tc>
          <w:tcPr>
            <w:tcW w:w="1244" w:type="dxa"/>
            <w:shd w:val="clear" w:color="auto" w:fill="C4EFCE"/>
            <w:noWrap/>
            <w:vAlign w:val="center"/>
            <w:hideMark/>
          </w:tcPr>
          <w:p w14:paraId="420A6551"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3DD9936" w14:textId="77777777" w:rsidR="00E040FD" w:rsidRDefault="00740D64">
            <w:pPr>
              <w:pStyle w:val="P68B1DB1-Normal8"/>
              <w:spacing w:after="0" w:line="240" w:lineRule="auto"/>
              <w:jc w:val="center"/>
              <w:rPr>
                <w:rFonts w:eastAsia="Times New Roman" w:cs="Calibri"/>
                <w:noProof/>
              </w:rPr>
            </w:pPr>
            <w:r>
              <w:rPr>
                <w:noProof/>
              </w:rPr>
              <w:t>Antal</w:t>
            </w:r>
          </w:p>
        </w:tc>
        <w:tc>
          <w:tcPr>
            <w:tcW w:w="970" w:type="dxa"/>
            <w:shd w:val="clear" w:color="auto" w:fill="C4EFCE"/>
            <w:noWrap/>
            <w:vAlign w:val="center"/>
            <w:hideMark/>
          </w:tcPr>
          <w:p w14:paraId="074B7CB8" w14:textId="77777777" w:rsidR="00E040FD" w:rsidRDefault="00740D6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75FC58FC" w14:textId="77777777" w:rsidR="00E040FD" w:rsidRDefault="00740D64">
            <w:pPr>
              <w:pStyle w:val="P68B1DB1-Normal8"/>
              <w:spacing w:after="0" w:line="240" w:lineRule="auto"/>
              <w:jc w:val="center"/>
              <w:rPr>
                <w:rFonts w:eastAsia="Times New Roman" w:cs="Calibri"/>
                <w:noProof/>
              </w:rPr>
            </w:pPr>
            <w:r>
              <w:rPr>
                <w:noProof/>
              </w:rPr>
              <w:t>6</w:t>
            </w:r>
          </w:p>
        </w:tc>
        <w:tc>
          <w:tcPr>
            <w:tcW w:w="649" w:type="dxa"/>
            <w:shd w:val="clear" w:color="auto" w:fill="C4EFCE"/>
            <w:noWrap/>
            <w:vAlign w:val="center"/>
            <w:hideMark/>
          </w:tcPr>
          <w:p w14:paraId="6CEEB9F3" w14:textId="77777777" w:rsidR="00E040FD" w:rsidRDefault="00740D64">
            <w:pPr>
              <w:pStyle w:val="P68B1DB1-Normal8"/>
              <w:spacing w:after="0" w:line="240" w:lineRule="auto"/>
              <w:jc w:val="center"/>
              <w:rPr>
                <w:rFonts w:eastAsia="Times New Roman" w:cs="Calibri"/>
                <w:noProof/>
              </w:rPr>
            </w:pPr>
            <w:r>
              <w:rPr>
                <w:noProof/>
              </w:rPr>
              <w:t>KVARTAL 2</w:t>
            </w:r>
          </w:p>
        </w:tc>
        <w:tc>
          <w:tcPr>
            <w:tcW w:w="694" w:type="dxa"/>
            <w:shd w:val="clear" w:color="auto" w:fill="C4EFCE"/>
            <w:noWrap/>
            <w:vAlign w:val="center"/>
            <w:hideMark/>
          </w:tcPr>
          <w:p w14:paraId="1D60899A" w14:textId="77777777" w:rsidR="00E040FD" w:rsidRDefault="00740D64">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B8BA932" w14:textId="77777777" w:rsidR="00E040FD" w:rsidRDefault="00740D64">
            <w:pPr>
              <w:pStyle w:val="P68B1DB1-Normal8"/>
              <w:spacing w:after="0" w:line="240" w:lineRule="auto"/>
              <w:jc w:val="both"/>
              <w:rPr>
                <w:rFonts w:eastAsia="Times New Roman" w:cs="Calibri"/>
                <w:noProof/>
              </w:rPr>
            </w:pPr>
            <w:r>
              <w:rPr>
                <w:noProof/>
              </w:rPr>
              <w:t>Idrifttagande av två regionala och fyra subregionala nöd- och räddningstjänstkommandon (enligt definitionen i lagdekret nr 45/2019 av den 1 april 2019)</w:t>
            </w:r>
          </w:p>
        </w:tc>
      </w:tr>
      <w:tr w:rsidR="00E040FD" w14:paraId="1BD51647" w14:textId="77777777">
        <w:trPr>
          <w:trHeight w:val="430"/>
          <w:jc w:val="center"/>
        </w:trPr>
        <w:tc>
          <w:tcPr>
            <w:tcW w:w="1114" w:type="dxa"/>
            <w:shd w:val="clear" w:color="auto" w:fill="C4EFCE"/>
            <w:vAlign w:val="center"/>
          </w:tcPr>
          <w:p w14:paraId="735E7B4B" w14:textId="650A0E03" w:rsidR="00E040FD" w:rsidRDefault="00740D64">
            <w:pPr>
              <w:pStyle w:val="P68B1DB1-Normal7"/>
              <w:spacing w:after="0" w:line="240" w:lineRule="auto"/>
              <w:jc w:val="center"/>
              <w:rPr>
                <w:rFonts w:eastAsia="Times New Roman" w:cs="Calibri"/>
                <w:noProof/>
              </w:rPr>
            </w:pPr>
            <w:r>
              <w:rPr>
                <w:noProof/>
              </w:rPr>
              <w:t>8.21</w:t>
            </w:r>
          </w:p>
        </w:tc>
        <w:tc>
          <w:tcPr>
            <w:tcW w:w="1245" w:type="dxa"/>
            <w:shd w:val="clear" w:color="auto" w:fill="C4EFCE"/>
            <w:noWrap/>
            <w:vAlign w:val="center"/>
          </w:tcPr>
          <w:p w14:paraId="0AACDDC4" w14:textId="25407601" w:rsidR="00E040FD" w:rsidRDefault="00740D64">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tcPr>
          <w:p w14:paraId="24C462E0" w14:textId="4B2BBB0B" w:rsidR="00E040FD" w:rsidRDefault="00740D6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tcPr>
          <w:p w14:paraId="1D11E778" w14:textId="31BAF8A5" w:rsidR="00E040FD" w:rsidRDefault="00740D64">
            <w:pPr>
              <w:pStyle w:val="P68B1DB1-Normal8"/>
              <w:spacing w:after="0" w:line="240" w:lineRule="auto"/>
              <w:jc w:val="center"/>
              <w:rPr>
                <w:rFonts w:eastAsia="Times New Roman" w:cs="Calibri"/>
                <w:noProof/>
              </w:rPr>
            </w:pPr>
            <w:r>
              <w:rPr>
                <w:noProof/>
              </w:rPr>
              <w:t>Utveckling av medvetandehöjande kampanjer för att förebygga riskfyllda beteenden</w:t>
            </w:r>
          </w:p>
        </w:tc>
        <w:tc>
          <w:tcPr>
            <w:tcW w:w="1244" w:type="dxa"/>
            <w:shd w:val="clear" w:color="auto" w:fill="C4EFCE"/>
            <w:noWrap/>
            <w:vAlign w:val="center"/>
          </w:tcPr>
          <w:p w14:paraId="52E9B3FE" w14:textId="580495C0" w:rsidR="00E040FD" w:rsidRDefault="00740D64">
            <w:pPr>
              <w:pStyle w:val="P68B1DB1-Normal8"/>
              <w:spacing w:after="0" w:line="240" w:lineRule="auto"/>
              <w:jc w:val="center"/>
              <w:rPr>
                <w:rFonts w:eastAsia="Times New Roman" w:cs="Calibri"/>
                <w:noProof/>
              </w:rPr>
            </w:pPr>
            <w:r>
              <w:rPr>
                <w:noProof/>
              </w:rPr>
              <w:t>Åtgärder för att öka medvetenheten</w:t>
            </w:r>
          </w:p>
        </w:tc>
        <w:tc>
          <w:tcPr>
            <w:tcW w:w="971" w:type="dxa"/>
            <w:shd w:val="clear" w:color="auto" w:fill="C4EFCE"/>
            <w:noWrap/>
            <w:vAlign w:val="center"/>
          </w:tcPr>
          <w:p w14:paraId="6AAB0976" w14:textId="77777777" w:rsidR="00E040FD" w:rsidRDefault="00E040FD">
            <w:pPr>
              <w:spacing w:after="0" w:line="240" w:lineRule="auto"/>
              <w:jc w:val="center"/>
              <w:rPr>
                <w:rFonts w:ascii="Calibri" w:eastAsia="Times New Roman" w:hAnsi="Calibri" w:cs="Calibri"/>
                <w:noProof/>
                <w:sz w:val="16"/>
              </w:rPr>
            </w:pPr>
          </w:p>
        </w:tc>
        <w:tc>
          <w:tcPr>
            <w:tcW w:w="970" w:type="dxa"/>
            <w:shd w:val="clear" w:color="auto" w:fill="C4EFCE"/>
            <w:noWrap/>
            <w:vAlign w:val="center"/>
          </w:tcPr>
          <w:p w14:paraId="3E96ED2D" w14:textId="77777777" w:rsidR="00E040FD" w:rsidRDefault="00E040FD">
            <w:pPr>
              <w:spacing w:after="0" w:line="240" w:lineRule="auto"/>
              <w:jc w:val="center"/>
              <w:rPr>
                <w:rFonts w:ascii="Calibri" w:eastAsia="Times New Roman" w:hAnsi="Calibri" w:cs="Calibri"/>
                <w:noProof/>
                <w:sz w:val="16"/>
              </w:rPr>
            </w:pPr>
          </w:p>
        </w:tc>
        <w:tc>
          <w:tcPr>
            <w:tcW w:w="603" w:type="dxa"/>
            <w:shd w:val="clear" w:color="auto" w:fill="C4EFCE"/>
            <w:noWrap/>
            <w:vAlign w:val="center"/>
          </w:tcPr>
          <w:p w14:paraId="3F15B41C" w14:textId="77777777" w:rsidR="00E040FD" w:rsidRDefault="00E040FD">
            <w:pPr>
              <w:spacing w:after="0" w:line="240" w:lineRule="auto"/>
              <w:jc w:val="center"/>
              <w:rPr>
                <w:rFonts w:ascii="Calibri" w:eastAsia="Times New Roman" w:hAnsi="Calibri" w:cs="Calibri"/>
                <w:noProof/>
                <w:sz w:val="16"/>
              </w:rPr>
            </w:pPr>
          </w:p>
        </w:tc>
        <w:tc>
          <w:tcPr>
            <w:tcW w:w="649" w:type="dxa"/>
            <w:shd w:val="clear" w:color="auto" w:fill="C4EFCE"/>
            <w:noWrap/>
            <w:vAlign w:val="center"/>
          </w:tcPr>
          <w:p w14:paraId="3EAB6B11" w14:textId="1E35D20C" w:rsidR="00E040FD" w:rsidRDefault="00740D64">
            <w:pPr>
              <w:pStyle w:val="P68B1DB1-Normal8"/>
              <w:spacing w:after="0" w:line="240" w:lineRule="auto"/>
              <w:jc w:val="center"/>
              <w:rPr>
                <w:rFonts w:eastAsia="Times New Roman" w:cs="Calibri"/>
                <w:noProof/>
              </w:rPr>
            </w:pPr>
            <w:r>
              <w:rPr>
                <w:noProof/>
              </w:rPr>
              <w:t>KVARTAL 1</w:t>
            </w:r>
          </w:p>
        </w:tc>
        <w:tc>
          <w:tcPr>
            <w:tcW w:w="694" w:type="dxa"/>
            <w:shd w:val="clear" w:color="auto" w:fill="C4EFCE"/>
            <w:noWrap/>
            <w:vAlign w:val="center"/>
          </w:tcPr>
          <w:p w14:paraId="51373D4C" w14:textId="4B225C32" w:rsidR="00E040FD" w:rsidRDefault="00740D64">
            <w:pPr>
              <w:pStyle w:val="P68B1DB1-Normal8"/>
              <w:spacing w:after="0" w:line="240" w:lineRule="auto"/>
              <w:jc w:val="center"/>
              <w:rPr>
                <w:rFonts w:eastAsia="Times New Roman" w:cs="Calibri"/>
                <w:noProof/>
              </w:rPr>
            </w:pPr>
            <w:r>
              <w:rPr>
                <w:noProof/>
              </w:rPr>
              <w:t>2024</w:t>
            </w:r>
          </w:p>
        </w:tc>
        <w:tc>
          <w:tcPr>
            <w:tcW w:w="4204" w:type="dxa"/>
            <w:shd w:val="clear" w:color="auto" w:fill="C4EFCE"/>
            <w:vAlign w:val="center"/>
          </w:tcPr>
          <w:p w14:paraId="4F376972" w14:textId="22BF7B73" w:rsidR="00E040FD" w:rsidRDefault="00740D64">
            <w:pPr>
              <w:pStyle w:val="P68B1DB1-Normal8"/>
              <w:spacing w:after="0" w:line="240" w:lineRule="auto"/>
              <w:jc w:val="both"/>
              <w:rPr>
                <w:rFonts w:eastAsia="Times New Roman" w:cs="Calibri"/>
                <w:noProof/>
              </w:rPr>
            </w:pPr>
            <w:r>
              <w:rPr>
                <w:noProof/>
              </w:rPr>
              <w:t>Utveckling av informations- och upplysningskampanjer inom ramen för programmen ”Secure Village” och ”Safe People” för att förebygga riskfyllda beteenden hos befolkningen.</w:t>
            </w:r>
          </w:p>
        </w:tc>
      </w:tr>
      <w:tr w:rsidR="00E040FD" w14:paraId="238DE77F" w14:textId="77777777">
        <w:trPr>
          <w:trHeight w:val="509"/>
          <w:jc w:val="center"/>
        </w:trPr>
        <w:tc>
          <w:tcPr>
            <w:tcW w:w="1114" w:type="dxa"/>
            <w:shd w:val="clear" w:color="auto" w:fill="C4EFCE"/>
            <w:vAlign w:val="center"/>
            <w:hideMark/>
          </w:tcPr>
          <w:p w14:paraId="47445FAF" w14:textId="77777777" w:rsidR="00E040FD" w:rsidRDefault="00740D64">
            <w:pPr>
              <w:pStyle w:val="P68B1DB1-Normal7"/>
              <w:spacing w:after="0" w:line="240" w:lineRule="auto"/>
              <w:jc w:val="center"/>
              <w:rPr>
                <w:rFonts w:eastAsia="Times New Roman" w:cs="Calibri"/>
                <w:noProof/>
              </w:rPr>
            </w:pPr>
            <w:r>
              <w:rPr>
                <w:noProof/>
              </w:rPr>
              <w:t>8.15</w:t>
            </w:r>
          </w:p>
        </w:tc>
        <w:tc>
          <w:tcPr>
            <w:tcW w:w="1245" w:type="dxa"/>
            <w:shd w:val="clear" w:color="auto" w:fill="C4EFCE"/>
            <w:noWrap/>
            <w:vAlign w:val="center"/>
            <w:hideMark/>
          </w:tcPr>
          <w:p w14:paraId="2517A793" w14:textId="77777777" w:rsidR="00E040FD" w:rsidRDefault="00740D64">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hideMark/>
          </w:tcPr>
          <w:p w14:paraId="17847491" w14:textId="77777777" w:rsidR="00E040FD" w:rsidRDefault="00740D6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4F78A110" w14:textId="38D2100B" w:rsidR="00E040FD" w:rsidRDefault="00740D64">
            <w:pPr>
              <w:pStyle w:val="P68B1DB1-Normal8"/>
              <w:spacing w:after="0" w:line="240" w:lineRule="auto"/>
              <w:jc w:val="center"/>
              <w:rPr>
                <w:rFonts w:eastAsia="Times New Roman" w:cs="Calibri"/>
                <w:noProof/>
              </w:rPr>
            </w:pPr>
            <w:r>
              <w:rPr>
                <w:noProof/>
              </w:rPr>
              <w:t>Offentliggörande av den första rapporten från institutet för naturskydd och skogar, I.P</w:t>
            </w:r>
          </w:p>
        </w:tc>
        <w:tc>
          <w:tcPr>
            <w:tcW w:w="1244" w:type="dxa"/>
            <w:shd w:val="clear" w:color="auto" w:fill="C4EFCE"/>
            <w:noWrap/>
            <w:vAlign w:val="center"/>
            <w:hideMark/>
          </w:tcPr>
          <w:p w14:paraId="61C7BA1A" w14:textId="00CFABEF" w:rsidR="00E040FD" w:rsidRDefault="00740D64">
            <w:pPr>
              <w:pStyle w:val="P68B1DB1-Normal8"/>
              <w:spacing w:after="0" w:line="240" w:lineRule="auto"/>
              <w:jc w:val="center"/>
              <w:rPr>
                <w:rFonts w:eastAsia="Times New Roman" w:cs="Calibri"/>
                <w:noProof/>
              </w:rPr>
            </w:pPr>
            <w:r>
              <w:rPr>
                <w:noProof/>
              </w:rPr>
              <w:t xml:space="preserve"> Offentliggörande av en rapport om programkontrakt mellan institutet för naturskydd och skogar, I.P. och skogsägarnas organisationer (OPF) och kompetenscentrumen</w:t>
            </w:r>
          </w:p>
        </w:tc>
        <w:tc>
          <w:tcPr>
            <w:tcW w:w="971" w:type="dxa"/>
            <w:shd w:val="clear" w:color="auto" w:fill="C4EFCE"/>
            <w:noWrap/>
            <w:vAlign w:val="center"/>
            <w:hideMark/>
          </w:tcPr>
          <w:p w14:paraId="463B68BD" w14:textId="77777777" w:rsidR="00E040FD" w:rsidRDefault="00740D6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702DE6B6" w14:textId="77777777" w:rsidR="00E040FD" w:rsidRDefault="00740D6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BF8BBF8" w14:textId="77777777" w:rsidR="00E040FD" w:rsidRDefault="00740D6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004FE9A5" w14:textId="77777777" w:rsidR="00E040FD" w:rsidRDefault="00740D64">
            <w:pPr>
              <w:pStyle w:val="P68B1DB1-Normal8"/>
              <w:spacing w:after="0" w:line="240" w:lineRule="auto"/>
              <w:jc w:val="center"/>
              <w:rPr>
                <w:rFonts w:eastAsia="Times New Roman" w:cs="Calibri"/>
                <w:noProof/>
              </w:rPr>
            </w:pPr>
            <w:r>
              <w:rPr>
                <w:noProof/>
              </w:rPr>
              <w:t>KVARTAL 2</w:t>
            </w:r>
          </w:p>
        </w:tc>
        <w:tc>
          <w:tcPr>
            <w:tcW w:w="694" w:type="dxa"/>
            <w:shd w:val="clear" w:color="auto" w:fill="C4EFCE"/>
            <w:noWrap/>
            <w:vAlign w:val="center"/>
            <w:hideMark/>
          </w:tcPr>
          <w:p w14:paraId="14C31C89" w14:textId="77777777" w:rsidR="00E040FD" w:rsidRDefault="00740D64">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C2A7317" w14:textId="72498C86" w:rsidR="00E040FD" w:rsidRDefault="00740D64">
            <w:pPr>
              <w:pStyle w:val="P68B1DB1-Normal8"/>
              <w:spacing w:after="0" w:line="240" w:lineRule="auto"/>
              <w:jc w:val="both"/>
              <w:rPr>
                <w:rFonts w:eastAsia="Times New Roman" w:cs="Calibri"/>
                <w:noProof/>
              </w:rPr>
            </w:pPr>
            <w:r>
              <w:rPr>
                <w:noProof/>
              </w:rPr>
              <w:t>Rapporten innehåller närmare uppgifter om programavtalen mellan institutet för naturskydd och skog, I.P. och skogsägarnas organisationer och kompetenscentrum, inklusive information om de syften och mål som ska uppnås varje år. Efter den första rapporten ska programkontraktens genomförande och framsteg offentliggöras varje halvår.</w:t>
            </w:r>
          </w:p>
        </w:tc>
      </w:tr>
      <w:tr w:rsidR="00E040FD" w14:paraId="306EF906" w14:textId="77777777">
        <w:trPr>
          <w:trHeight w:val="2243"/>
          <w:jc w:val="center"/>
        </w:trPr>
        <w:tc>
          <w:tcPr>
            <w:tcW w:w="1114" w:type="dxa"/>
            <w:shd w:val="clear" w:color="auto" w:fill="C4EFCE"/>
            <w:vAlign w:val="center"/>
            <w:hideMark/>
          </w:tcPr>
          <w:p w14:paraId="66DD3540" w14:textId="77777777" w:rsidR="00E040FD" w:rsidRDefault="00740D64">
            <w:pPr>
              <w:pStyle w:val="P68B1DB1-Normal7"/>
              <w:spacing w:after="0" w:line="240" w:lineRule="auto"/>
              <w:jc w:val="center"/>
              <w:rPr>
                <w:rFonts w:eastAsia="Times New Roman" w:cs="Calibri"/>
                <w:noProof/>
              </w:rPr>
            </w:pPr>
            <w:r>
              <w:rPr>
                <w:noProof/>
              </w:rPr>
              <w:t>8.16</w:t>
            </w:r>
          </w:p>
        </w:tc>
        <w:tc>
          <w:tcPr>
            <w:tcW w:w="1245" w:type="dxa"/>
            <w:shd w:val="clear" w:color="auto" w:fill="C4EFCE"/>
            <w:noWrap/>
            <w:vAlign w:val="center"/>
            <w:hideMark/>
          </w:tcPr>
          <w:p w14:paraId="4F50D588" w14:textId="77777777" w:rsidR="00E040FD" w:rsidRDefault="00740D64">
            <w:pPr>
              <w:pStyle w:val="P68B1DB1-Normal8"/>
              <w:spacing w:after="0" w:line="240" w:lineRule="auto"/>
              <w:jc w:val="center"/>
              <w:rPr>
                <w:rFonts w:eastAsia="Times New Roman" w:cs="Calibri"/>
                <w:noProof/>
              </w:rPr>
            </w:pPr>
            <w:r>
              <w:rPr>
                <w:noProof/>
              </w:rPr>
              <w:t>RE-C08-i05</w:t>
            </w:r>
          </w:p>
        </w:tc>
        <w:tc>
          <w:tcPr>
            <w:tcW w:w="1107" w:type="dxa"/>
            <w:shd w:val="clear" w:color="auto" w:fill="C4EFCE"/>
            <w:noWrap/>
            <w:vAlign w:val="center"/>
            <w:hideMark/>
          </w:tcPr>
          <w:p w14:paraId="6B1C90DB" w14:textId="77777777" w:rsidR="00E040FD" w:rsidRDefault="00740D6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41EE0237" w14:textId="77777777" w:rsidR="00E040FD" w:rsidRDefault="00740D64">
            <w:pPr>
              <w:pStyle w:val="P68B1DB1-Normal8"/>
              <w:spacing w:after="0" w:line="240" w:lineRule="auto"/>
              <w:jc w:val="center"/>
              <w:rPr>
                <w:rFonts w:eastAsia="Times New Roman" w:cs="Calibri"/>
                <w:noProof/>
              </w:rPr>
            </w:pPr>
            <w:r>
              <w:rPr>
                <w:noProof/>
              </w:rPr>
              <w:t xml:space="preserve">Genomförande av ett nationellt utbildningsprogram </w:t>
            </w:r>
          </w:p>
        </w:tc>
        <w:tc>
          <w:tcPr>
            <w:tcW w:w="1244" w:type="dxa"/>
            <w:shd w:val="clear" w:color="auto" w:fill="C4EFCE"/>
            <w:noWrap/>
            <w:vAlign w:val="center"/>
            <w:hideMark/>
          </w:tcPr>
          <w:p w14:paraId="62D7DE1B" w14:textId="77777777" w:rsidR="00E040FD" w:rsidRDefault="00740D6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0E70A1C1" w14:textId="77777777" w:rsidR="00E040FD" w:rsidRDefault="00740D64">
            <w:pPr>
              <w:pStyle w:val="P68B1DB1-Normal8"/>
              <w:spacing w:after="0" w:line="240" w:lineRule="auto"/>
              <w:jc w:val="center"/>
              <w:rPr>
                <w:rFonts w:eastAsia="Times New Roman" w:cs="Calibri"/>
                <w:noProof/>
              </w:rPr>
            </w:pPr>
            <w:r>
              <w:rPr>
                <w:noProof/>
              </w:rPr>
              <w:t>Antal</w:t>
            </w:r>
          </w:p>
        </w:tc>
        <w:tc>
          <w:tcPr>
            <w:tcW w:w="970" w:type="dxa"/>
            <w:shd w:val="clear" w:color="auto" w:fill="C4EFCE"/>
            <w:noWrap/>
            <w:vAlign w:val="center"/>
            <w:hideMark/>
          </w:tcPr>
          <w:p w14:paraId="11FA2AD4" w14:textId="77777777" w:rsidR="00E040FD" w:rsidRDefault="00740D6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549C5F5" w14:textId="77777777" w:rsidR="00E040FD" w:rsidRDefault="00740D64">
            <w:pPr>
              <w:pStyle w:val="P68B1DB1-Normal8"/>
              <w:spacing w:after="0" w:line="240" w:lineRule="auto"/>
              <w:jc w:val="center"/>
              <w:rPr>
                <w:rFonts w:eastAsia="Times New Roman" w:cs="Calibri"/>
                <w:noProof/>
              </w:rPr>
            </w:pPr>
            <w:r>
              <w:rPr>
                <w:noProof/>
              </w:rPr>
              <w:t>150</w:t>
            </w:r>
          </w:p>
        </w:tc>
        <w:tc>
          <w:tcPr>
            <w:tcW w:w="649" w:type="dxa"/>
            <w:shd w:val="clear" w:color="auto" w:fill="C4EFCE"/>
            <w:noWrap/>
            <w:vAlign w:val="center"/>
            <w:hideMark/>
          </w:tcPr>
          <w:p w14:paraId="3A3C11A9" w14:textId="77777777" w:rsidR="00E040FD" w:rsidRDefault="00740D64">
            <w:pPr>
              <w:pStyle w:val="P68B1DB1-Normal8"/>
              <w:spacing w:after="0" w:line="240" w:lineRule="auto"/>
              <w:jc w:val="center"/>
              <w:rPr>
                <w:rFonts w:eastAsia="Times New Roman" w:cs="Calibri"/>
                <w:noProof/>
              </w:rPr>
            </w:pPr>
            <w:r>
              <w:rPr>
                <w:noProof/>
              </w:rPr>
              <w:t>KVARTAL 4</w:t>
            </w:r>
          </w:p>
        </w:tc>
        <w:tc>
          <w:tcPr>
            <w:tcW w:w="694" w:type="dxa"/>
            <w:shd w:val="clear" w:color="auto" w:fill="C4EFCE"/>
            <w:noWrap/>
            <w:vAlign w:val="center"/>
            <w:hideMark/>
          </w:tcPr>
          <w:p w14:paraId="2D7E4914" w14:textId="77777777" w:rsidR="00E040FD" w:rsidRDefault="00740D6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60C63F15" w14:textId="2481ACA9" w:rsidR="00E040FD" w:rsidRDefault="00740D64">
            <w:pPr>
              <w:pStyle w:val="P68B1DB1-Normal8"/>
              <w:spacing w:after="0" w:line="240" w:lineRule="auto"/>
              <w:jc w:val="both"/>
              <w:rPr>
                <w:rFonts w:eastAsia="Times New Roman" w:cs="Calibri"/>
                <w:noProof/>
              </w:rPr>
            </w:pPr>
            <w:r>
              <w:rPr>
                <w:noProof/>
              </w:rPr>
              <w:t>150 tekniker från skogsproducentorganisationer (OPF) ska få utbildning med en utbildningstid på minst 684 timmar. Utbildningen ska inriktas på följande ämnen: organisationsförvaltning, förebyggande av bränder på landsbygden, kontrollerad brandbekämpning, växtskydd, certifiering av hållbart skogsbruk, multifunktionalitet för skogsområden, icke-vedartade skogsprodukter, ersättning för ekosystemtjänster, biologisk mångfald, skogsinfrastruktur, skogsbruksprojekt, skogsinventering eller fastighetsregister.</w:t>
            </w:r>
          </w:p>
        </w:tc>
      </w:tr>
      <w:tr w:rsidR="00E040FD" w14:paraId="69BDF293" w14:textId="77777777">
        <w:trPr>
          <w:trHeight w:val="840"/>
          <w:jc w:val="center"/>
        </w:trPr>
        <w:tc>
          <w:tcPr>
            <w:tcW w:w="1114" w:type="dxa"/>
            <w:shd w:val="clear" w:color="auto" w:fill="C4EFCE"/>
            <w:vAlign w:val="center"/>
            <w:hideMark/>
          </w:tcPr>
          <w:p w14:paraId="2C542057" w14:textId="77777777" w:rsidR="00E040FD" w:rsidRDefault="00740D64">
            <w:pPr>
              <w:pStyle w:val="P68B1DB1-Normal7"/>
              <w:spacing w:after="0" w:line="240" w:lineRule="auto"/>
              <w:jc w:val="center"/>
              <w:rPr>
                <w:rFonts w:eastAsia="Times New Roman" w:cs="Calibri"/>
                <w:noProof/>
              </w:rPr>
            </w:pPr>
            <w:r>
              <w:rPr>
                <w:noProof/>
              </w:rPr>
              <w:t>8.17</w:t>
            </w:r>
          </w:p>
        </w:tc>
        <w:tc>
          <w:tcPr>
            <w:tcW w:w="1245" w:type="dxa"/>
            <w:shd w:val="clear" w:color="auto" w:fill="C4EFCE"/>
            <w:noWrap/>
            <w:vAlign w:val="center"/>
            <w:hideMark/>
          </w:tcPr>
          <w:p w14:paraId="3269762F" w14:textId="77777777" w:rsidR="00E040FD" w:rsidRDefault="00740D64">
            <w:pPr>
              <w:pStyle w:val="P68B1DB1-Normal8"/>
              <w:spacing w:after="0" w:line="240" w:lineRule="auto"/>
              <w:jc w:val="center"/>
              <w:rPr>
                <w:rFonts w:eastAsia="Times New Roman" w:cs="Calibri"/>
                <w:noProof/>
              </w:rPr>
            </w:pPr>
            <w:r>
              <w:rPr>
                <w:noProof/>
              </w:rPr>
              <w:t>RE-C08-r19</w:t>
            </w:r>
          </w:p>
        </w:tc>
        <w:tc>
          <w:tcPr>
            <w:tcW w:w="1107" w:type="dxa"/>
            <w:shd w:val="clear" w:color="auto" w:fill="C4EFCE"/>
            <w:noWrap/>
            <w:vAlign w:val="center"/>
            <w:hideMark/>
          </w:tcPr>
          <w:p w14:paraId="12E7B4FB" w14:textId="77777777" w:rsidR="00E040FD" w:rsidRDefault="00740D6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5E16B4BC" w14:textId="77777777" w:rsidR="00E040FD" w:rsidRDefault="00740D64">
            <w:pPr>
              <w:pStyle w:val="P68B1DB1-Normal8"/>
              <w:spacing w:after="0" w:line="240" w:lineRule="auto"/>
              <w:jc w:val="center"/>
              <w:rPr>
                <w:rFonts w:eastAsia="Times New Roman" w:cs="Calibri"/>
                <w:noProof/>
              </w:rPr>
            </w:pPr>
            <w:r>
              <w:rPr>
                <w:noProof/>
              </w:rPr>
              <w:t xml:space="preserve">Rättslig ram för obligatorisk besittningsrätt för jordbruksmark i skogsområden </w:t>
            </w:r>
          </w:p>
        </w:tc>
        <w:tc>
          <w:tcPr>
            <w:tcW w:w="1244" w:type="dxa"/>
            <w:shd w:val="clear" w:color="auto" w:fill="C4EFCE"/>
            <w:noWrap/>
            <w:vAlign w:val="center"/>
            <w:hideMark/>
          </w:tcPr>
          <w:p w14:paraId="7E669474" w14:textId="77777777" w:rsidR="00E040FD" w:rsidRDefault="00740D64">
            <w:pPr>
              <w:pStyle w:val="P68B1DB1-Normal8"/>
              <w:spacing w:after="0" w:line="240" w:lineRule="auto"/>
              <w:jc w:val="center"/>
              <w:rPr>
                <w:rFonts w:eastAsia="Times New Roman" w:cs="Calibri"/>
                <w:noProof/>
              </w:rPr>
            </w:pPr>
            <w:r>
              <w:rPr>
                <w:noProof/>
              </w:rPr>
              <w:t>Ikraftträdande av den rättsliga ramen för obligatorisk besittningsrätt för jordbruksmark i skogsområden.</w:t>
            </w:r>
          </w:p>
        </w:tc>
        <w:tc>
          <w:tcPr>
            <w:tcW w:w="971" w:type="dxa"/>
            <w:shd w:val="clear" w:color="auto" w:fill="C4EFCE"/>
            <w:noWrap/>
            <w:vAlign w:val="center"/>
            <w:hideMark/>
          </w:tcPr>
          <w:p w14:paraId="405A1B1B" w14:textId="77777777" w:rsidR="00E040FD" w:rsidRDefault="00740D6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5BCEA31D" w14:textId="77777777" w:rsidR="00E040FD" w:rsidRDefault="00740D6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154743E" w14:textId="77777777" w:rsidR="00E040FD" w:rsidRDefault="00740D6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3FFC26CB" w14:textId="77777777" w:rsidR="00E040FD" w:rsidRDefault="00740D64">
            <w:pPr>
              <w:pStyle w:val="P68B1DB1-Normal8"/>
              <w:spacing w:after="0" w:line="240" w:lineRule="auto"/>
              <w:jc w:val="center"/>
              <w:rPr>
                <w:rFonts w:eastAsia="Times New Roman" w:cs="Calibri"/>
                <w:noProof/>
              </w:rPr>
            </w:pPr>
            <w:r>
              <w:rPr>
                <w:noProof/>
              </w:rPr>
              <w:t>KVARTAL 3</w:t>
            </w:r>
          </w:p>
        </w:tc>
        <w:tc>
          <w:tcPr>
            <w:tcW w:w="694" w:type="dxa"/>
            <w:shd w:val="clear" w:color="auto" w:fill="C4EFCE"/>
            <w:noWrap/>
            <w:vAlign w:val="center"/>
            <w:hideMark/>
          </w:tcPr>
          <w:p w14:paraId="47692365" w14:textId="77777777" w:rsidR="00E040FD" w:rsidRDefault="00740D64">
            <w:pPr>
              <w:pStyle w:val="P68B1DB1-Normal8"/>
              <w:spacing w:after="0" w:line="240" w:lineRule="auto"/>
              <w:jc w:val="center"/>
              <w:rPr>
                <w:rFonts w:eastAsia="Times New Roman" w:cs="Calibri"/>
                <w:noProof/>
              </w:rPr>
            </w:pPr>
            <w:r>
              <w:rPr>
                <w:noProof/>
              </w:rPr>
              <w:t>2021</w:t>
            </w:r>
          </w:p>
        </w:tc>
        <w:tc>
          <w:tcPr>
            <w:tcW w:w="4204" w:type="dxa"/>
            <w:shd w:val="clear" w:color="auto" w:fill="C4EFCE"/>
            <w:vAlign w:val="center"/>
            <w:hideMark/>
          </w:tcPr>
          <w:p w14:paraId="201F1AD9" w14:textId="77777777" w:rsidR="00E040FD" w:rsidRDefault="00740D64">
            <w:pPr>
              <w:pStyle w:val="P68B1DB1-Normal8"/>
              <w:spacing w:after="0" w:line="240" w:lineRule="auto"/>
              <w:jc w:val="both"/>
              <w:rPr>
                <w:rFonts w:eastAsia="Times New Roman" w:cs="Calibri"/>
                <w:noProof/>
              </w:rPr>
            </w:pPr>
            <w:r>
              <w:rPr>
                <w:noProof/>
              </w:rPr>
              <w:t xml:space="preserve">Ikraftträdande av den rättsliga ram som genomför den obligatoriska besittningsrätten för jordbruksmark i skogsområden. Den obligatoriska hyresrätten ska endast tillämpas om markägarna inte uttrycker sitt åtagande att genomföra de åtgärder som anges i den integrerade landskapsförvaltningsverksamheten (OIGP) som fastställts för det integrerade landskapsförvaltningsområdet (AIGP) i önskemålet att deras fastighet ska lokaliseras. </w:t>
            </w:r>
          </w:p>
          <w:p w14:paraId="477BB2F7" w14:textId="77777777" w:rsidR="00E040FD" w:rsidRDefault="00E040FD">
            <w:pPr>
              <w:spacing w:after="0" w:line="240" w:lineRule="auto"/>
              <w:jc w:val="both"/>
              <w:rPr>
                <w:rFonts w:ascii="Calibri" w:eastAsia="Times New Roman" w:hAnsi="Calibri" w:cs="Calibri"/>
                <w:noProof/>
                <w:sz w:val="16"/>
              </w:rPr>
            </w:pPr>
          </w:p>
          <w:p w14:paraId="277FB7E1" w14:textId="6455B7DE" w:rsidR="00E040FD" w:rsidRDefault="00740D64">
            <w:pPr>
              <w:pStyle w:val="P68B1DB1-Normal8"/>
              <w:spacing w:after="0" w:line="240" w:lineRule="auto"/>
              <w:jc w:val="both"/>
              <w:rPr>
                <w:rFonts w:eastAsia="Times New Roman" w:cs="Calibri"/>
                <w:noProof/>
              </w:rPr>
            </w:pPr>
            <w:r>
              <w:rPr>
                <w:noProof/>
              </w:rPr>
              <w:t>Genom lagförslag nr 68/2020 av den 5 november bemyndigas regeringen att ändra lag nr 31/2014 av den 30 maj (fastställer de allmänna grunderna för den allmänna ordningen för mark-, stads- och fysisk planering i syfte att godkänna den rättsliga ordningen för obligatorisk besittningsrätt.</w:t>
            </w:r>
          </w:p>
        </w:tc>
      </w:tr>
      <w:tr w:rsidR="00E040FD" w14:paraId="233038E2" w14:textId="77777777">
        <w:trPr>
          <w:trHeight w:val="2388"/>
          <w:jc w:val="center"/>
        </w:trPr>
        <w:tc>
          <w:tcPr>
            <w:tcW w:w="1114" w:type="dxa"/>
            <w:shd w:val="clear" w:color="auto" w:fill="C4EFCE"/>
            <w:vAlign w:val="center"/>
            <w:hideMark/>
          </w:tcPr>
          <w:p w14:paraId="0E2ACB3B" w14:textId="77777777" w:rsidR="00E040FD" w:rsidRDefault="00740D64">
            <w:pPr>
              <w:pStyle w:val="P68B1DB1-Normal7"/>
              <w:spacing w:after="0" w:line="240" w:lineRule="auto"/>
              <w:jc w:val="center"/>
              <w:rPr>
                <w:rFonts w:eastAsia="Times New Roman" w:cs="Calibri"/>
                <w:noProof/>
              </w:rPr>
            </w:pPr>
            <w:r>
              <w:rPr>
                <w:noProof/>
              </w:rPr>
              <w:t>8.18</w:t>
            </w:r>
          </w:p>
        </w:tc>
        <w:tc>
          <w:tcPr>
            <w:tcW w:w="1245" w:type="dxa"/>
            <w:shd w:val="clear" w:color="auto" w:fill="C4EFCE"/>
            <w:noWrap/>
            <w:vAlign w:val="center"/>
            <w:hideMark/>
          </w:tcPr>
          <w:p w14:paraId="1AC3438B" w14:textId="77777777" w:rsidR="00E040FD" w:rsidRDefault="00740D64">
            <w:pPr>
              <w:pStyle w:val="P68B1DB1-Normal8"/>
              <w:spacing w:after="0" w:line="240" w:lineRule="auto"/>
              <w:jc w:val="center"/>
              <w:rPr>
                <w:rFonts w:eastAsia="Times New Roman" w:cs="Calibri"/>
                <w:noProof/>
              </w:rPr>
            </w:pPr>
            <w:r>
              <w:rPr>
                <w:noProof/>
              </w:rPr>
              <w:t>RE-C08-r20</w:t>
            </w:r>
          </w:p>
        </w:tc>
        <w:tc>
          <w:tcPr>
            <w:tcW w:w="1107" w:type="dxa"/>
            <w:shd w:val="clear" w:color="auto" w:fill="C4EFCE"/>
            <w:noWrap/>
            <w:vAlign w:val="center"/>
            <w:hideMark/>
          </w:tcPr>
          <w:p w14:paraId="5002EC4F" w14:textId="77777777" w:rsidR="00E040FD" w:rsidRDefault="00740D6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1B30711D" w14:textId="77777777" w:rsidR="00E040FD" w:rsidRDefault="00740D64">
            <w:pPr>
              <w:pStyle w:val="P68B1DB1-Normal8"/>
              <w:spacing w:after="0" w:line="240" w:lineRule="auto"/>
              <w:jc w:val="center"/>
              <w:rPr>
                <w:rFonts w:eastAsia="Times New Roman" w:cs="Calibri"/>
                <w:noProof/>
              </w:rPr>
            </w:pPr>
            <w:r>
              <w:rPr>
                <w:noProof/>
              </w:rPr>
              <w:t>System för övervakning av marktäckning (SMOS)</w:t>
            </w:r>
          </w:p>
        </w:tc>
        <w:tc>
          <w:tcPr>
            <w:tcW w:w="1244" w:type="dxa"/>
            <w:shd w:val="clear" w:color="auto" w:fill="C4EFCE"/>
            <w:noWrap/>
            <w:vAlign w:val="center"/>
            <w:hideMark/>
          </w:tcPr>
          <w:p w14:paraId="2C7013EB" w14:textId="1DC9A7AA" w:rsidR="00E040FD" w:rsidRDefault="00740D64">
            <w:pPr>
              <w:pStyle w:val="P68B1DB1-Normal8"/>
              <w:spacing w:after="0" w:line="240" w:lineRule="auto"/>
              <w:jc w:val="center"/>
              <w:rPr>
                <w:rFonts w:eastAsia="Times New Roman" w:cs="Calibri"/>
                <w:noProof/>
              </w:rPr>
            </w:pPr>
            <w:r>
              <w:rPr>
                <w:noProof/>
              </w:rPr>
              <w:t>Idrifttagande av systemet för övervakning av marktäckning (SMOS)</w:t>
            </w:r>
          </w:p>
        </w:tc>
        <w:tc>
          <w:tcPr>
            <w:tcW w:w="971" w:type="dxa"/>
            <w:shd w:val="clear" w:color="auto" w:fill="C4EFCE"/>
            <w:noWrap/>
            <w:vAlign w:val="center"/>
            <w:hideMark/>
          </w:tcPr>
          <w:p w14:paraId="62B8E28E" w14:textId="77777777" w:rsidR="00E040FD" w:rsidRDefault="00740D6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69D846A9" w14:textId="77777777" w:rsidR="00E040FD" w:rsidRDefault="00740D6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91BC2DF" w14:textId="77777777" w:rsidR="00E040FD" w:rsidRDefault="00740D6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290FBA0F" w14:textId="77777777" w:rsidR="00E040FD" w:rsidRDefault="00740D64">
            <w:pPr>
              <w:pStyle w:val="P68B1DB1-Normal8"/>
              <w:spacing w:after="0" w:line="240" w:lineRule="auto"/>
              <w:jc w:val="center"/>
              <w:rPr>
                <w:rFonts w:eastAsia="Times New Roman" w:cs="Calibri"/>
                <w:noProof/>
              </w:rPr>
            </w:pPr>
            <w:r>
              <w:rPr>
                <w:noProof/>
              </w:rPr>
              <w:t>KVARTAL 4</w:t>
            </w:r>
          </w:p>
        </w:tc>
        <w:tc>
          <w:tcPr>
            <w:tcW w:w="694" w:type="dxa"/>
            <w:shd w:val="clear" w:color="auto" w:fill="C4EFCE"/>
            <w:noWrap/>
            <w:vAlign w:val="center"/>
            <w:hideMark/>
          </w:tcPr>
          <w:p w14:paraId="5B618B25" w14:textId="77777777" w:rsidR="00E040FD" w:rsidRDefault="00740D64">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4823DF09" w14:textId="7F190947" w:rsidR="00E040FD" w:rsidRDefault="00740D64">
            <w:pPr>
              <w:pStyle w:val="P68B1DB1-Normal8"/>
              <w:spacing w:after="0" w:line="240" w:lineRule="auto"/>
              <w:jc w:val="both"/>
              <w:rPr>
                <w:rFonts w:eastAsia="Times New Roman" w:cs="Calibri"/>
                <w:noProof/>
              </w:rPr>
            </w:pPr>
            <w:r>
              <w:rPr>
                <w:noProof/>
              </w:rPr>
              <w:t xml:space="preserve">Idrifttagande av systemet för övervakning av marktäckning (SMOS), som omfattar LiDAR-täckning, den digitala terrängmodellen, grödor och vegetationsmodeller, grödor och vegetationskartor, kartor över marktäckning och täckning av satellitbilder. </w:t>
            </w:r>
          </w:p>
        </w:tc>
      </w:tr>
      <w:tr w:rsidR="00E040FD" w14:paraId="538F72C3" w14:textId="77777777">
        <w:trPr>
          <w:trHeight w:val="3977"/>
          <w:jc w:val="center"/>
        </w:trPr>
        <w:tc>
          <w:tcPr>
            <w:tcW w:w="1114" w:type="dxa"/>
            <w:shd w:val="clear" w:color="auto" w:fill="C4EFCE"/>
            <w:vAlign w:val="center"/>
            <w:hideMark/>
          </w:tcPr>
          <w:p w14:paraId="0C02FD10" w14:textId="77777777" w:rsidR="00E040FD" w:rsidRDefault="00740D64">
            <w:pPr>
              <w:pStyle w:val="P68B1DB1-Normal7"/>
              <w:spacing w:after="0" w:line="240" w:lineRule="auto"/>
              <w:jc w:val="center"/>
              <w:rPr>
                <w:rFonts w:eastAsia="Times New Roman" w:cs="Calibri"/>
                <w:noProof/>
              </w:rPr>
            </w:pPr>
            <w:r>
              <w:rPr>
                <w:noProof/>
              </w:rPr>
              <w:t>8.19</w:t>
            </w:r>
          </w:p>
        </w:tc>
        <w:tc>
          <w:tcPr>
            <w:tcW w:w="1245" w:type="dxa"/>
            <w:shd w:val="clear" w:color="auto" w:fill="C4EFCE"/>
            <w:noWrap/>
            <w:vAlign w:val="center"/>
            <w:hideMark/>
          </w:tcPr>
          <w:p w14:paraId="69B302CF" w14:textId="77777777" w:rsidR="00E040FD" w:rsidRDefault="00740D64">
            <w:pPr>
              <w:pStyle w:val="P68B1DB1-Normal8"/>
              <w:spacing w:after="0" w:line="240" w:lineRule="auto"/>
              <w:jc w:val="center"/>
              <w:rPr>
                <w:rFonts w:eastAsia="Times New Roman" w:cs="Calibri"/>
                <w:noProof/>
              </w:rPr>
            </w:pPr>
            <w:r>
              <w:rPr>
                <w:noProof/>
              </w:rPr>
              <w:t>RE-C08-r21</w:t>
            </w:r>
          </w:p>
        </w:tc>
        <w:tc>
          <w:tcPr>
            <w:tcW w:w="1107" w:type="dxa"/>
            <w:shd w:val="clear" w:color="auto" w:fill="C4EFCE"/>
            <w:noWrap/>
            <w:vAlign w:val="center"/>
            <w:hideMark/>
          </w:tcPr>
          <w:p w14:paraId="137FC1A7" w14:textId="77777777" w:rsidR="00E040FD" w:rsidRDefault="00740D6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2734E036" w14:textId="77777777" w:rsidR="00E040FD" w:rsidRDefault="00740D64">
            <w:pPr>
              <w:pStyle w:val="P68B1DB1-Normal8"/>
              <w:spacing w:after="0" w:line="240" w:lineRule="auto"/>
              <w:jc w:val="center"/>
              <w:rPr>
                <w:rFonts w:eastAsia="Times New Roman" w:cs="Calibri"/>
                <w:noProof/>
              </w:rPr>
            </w:pPr>
            <w:r>
              <w:rPr>
                <w:noProof/>
              </w:rPr>
              <w:t>Lagen om inrättande av det integrerade förvaltningssystemet för bränder på landsbygden (SGIFR)</w:t>
            </w:r>
          </w:p>
        </w:tc>
        <w:tc>
          <w:tcPr>
            <w:tcW w:w="1244" w:type="dxa"/>
            <w:shd w:val="clear" w:color="auto" w:fill="C4EFCE"/>
            <w:noWrap/>
            <w:vAlign w:val="center"/>
            <w:hideMark/>
          </w:tcPr>
          <w:p w14:paraId="328A4877" w14:textId="77777777" w:rsidR="00E040FD" w:rsidRDefault="00740D64">
            <w:pPr>
              <w:pStyle w:val="P68B1DB1-Normal8"/>
              <w:spacing w:after="0" w:line="240" w:lineRule="auto"/>
              <w:jc w:val="center"/>
              <w:rPr>
                <w:rFonts w:eastAsia="Times New Roman" w:cs="Calibri"/>
                <w:noProof/>
              </w:rPr>
            </w:pPr>
            <w:r>
              <w:rPr>
                <w:noProof/>
              </w:rPr>
              <w:t>Ikraftträdande av lagen om inrättande av det integrerade förvaltningssystemet för skogsbränder på landsbygden (SIGIFR) och dess driftsregler.</w:t>
            </w:r>
          </w:p>
        </w:tc>
        <w:tc>
          <w:tcPr>
            <w:tcW w:w="971" w:type="dxa"/>
            <w:shd w:val="clear" w:color="auto" w:fill="C4EFCE"/>
            <w:noWrap/>
            <w:vAlign w:val="center"/>
            <w:hideMark/>
          </w:tcPr>
          <w:p w14:paraId="7E0AD6B1" w14:textId="77777777" w:rsidR="00E040FD" w:rsidRDefault="00740D6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00DB3FDD" w14:textId="77777777" w:rsidR="00E040FD" w:rsidRDefault="00740D6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762DA2A0" w14:textId="77777777" w:rsidR="00E040FD" w:rsidRDefault="00740D6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4FC4CDCF" w14:textId="77777777" w:rsidR="00E040FD" w:rsidRDefault="00740D64">
            <w:pPr>
              <w:pStyle w:val="P68B1DB1-Normal8"/>
              <w:spacing w:after="0" w:line="240" w:lineRule="auto"/>
              <w:jc w:val="center"/>
              <w:rPr>
                <w:rFonts w:eastAsia="Times New Roman" w:cs="Calibri"/>
                <w:noProof/>
              </w:rPr>
            </w:pPr>
            <w:r>
              <w:rPr>
                <w:noProof/>
              </w:rPr>
              <w:t>KVARTAL 3</w:t>
            </w:r>
          </w:p>
        </w:tc>
        <w:tc>
          <w:tcPr>
            <w:tcW w:w="694" w:type="dxa"/>
            <w:shd w:val="clear" w:color="auto" w:fill="C4EFCE"/>
            <w:noWrap/>
            <w:vAlign w:val="center"/>
            <w:hideMark/>
          </w:tcPr>
          <w:p w14:paraId="4C1862FA" w14:textId="77777777" w:rsidR="00E040FD" w:rsidRDefault="00740D64">
            <w:pPr>
              <w:pStyle w:val="P68B1DB1-Normal8"/>
              <w:spacing w:after="0" w:line="240" w:lineRule="auto"/>
              <w:jc w:val="center"/>
              <w:rPr>
                <w:rFonts w:eastAsia="Times New Roman" w:cs="Calibri"/>
                <w:noProof/>
              </w:rPr>
            </w:pPr>
            <w:r>
              <w:rPr>
                <w:noProof/>
              </w:rPr>
              <w:t>2021</w:t>
            </w:r>
          </w:p>
        </w:tc>
        <w:tc>
          <w:tcPr>
            <w:tcW w:w="4204" w:type="dxa"/>
            <w:shd w:val="clear" w:color="auto" w:fill="C4EFCE"/>
            <w:vAlign w:val="center"/>
            <w:hideMark/>
          </w:tcPr>
          <w:p w14:paraId="1830D13D" w14:textId="77777777" w:rsidR="00E040FD" w:rsidRDefault="00740D64">
            <w:pPr>
              <w:pStyle w:val="P68B1DB1-Normal8"/>
              <w:spacing w:after="0" w:line="240" w:lineRule="auto"/>
              <w:jc w:val="both"/>
              <w:rPr>
                <w:rFonts w:eastAsia="Times New Roman" w:cs="Calibri"/>
                <w:noProof/>
              </w:rPr>
            </w:pPr>
            <w:r>
              <w:rPr>
                <w:noProof/>
              </w:rPr>
              <w:t xml:space="preserve">Det integrerade förvaltningssystemet för bränder på landsbygden (SGIFR) tillhandahåller på nationell nivå makropolitik och strategiska riktlinjer som bidrar till att minska risken för bränder på landsbygden och till att ändra beteendet hos ägare, användare och direkta och indirekta stödmottagare på landsbygden. Systemet fastställer interministeriella samordningsmodeller och avgränsar befogenheter och verksamhetsområde för varje enhet inom SIGIFR. </w:t>
            </w:r>
          </w:p>
          <w:p w14:paraId="5E99F66C" w14:textId="3F1EB5CA" w:rsidR="00E040FD" w:rsidRDefault="00740D64">
            <w:pPr>
              <w:pStyle w:val="P68B1DB1-Normal8"/>
              <w:spacing w:after="0" w:line="240" w:lineRule="auto"/>
              <w:jc w:val="both"/>
              <w:rPr>
                <w:rFonts w:eastAsia="Times New Roman" w:cs="Calibri"/>
                <w:noProof/>
              </w:rPr>
            </w:pPr>
            <w:r>
              <w:rPr>
                <w:noProof/>
              </w:rPr>
              <w:t>Den fastställer innehållet i de olika verktygen för integrerad planering av skogsbränder på landsbygden på nationell, regional, subregional och kommunal nivå. Ett landbaserat brandinformationssystem inrättas för att sammanställa och sprida all relevant teknisk information från SIGIFR, och det finns ett tydligt åtagande att fastställa en modell som bygger på riskförebyggande och riskminimering, antingen genom medvetandehöjande åtgärder eller genom inrättande av regionala försvarsnätverk, där bränslehanteringen spelar en ledande roll i sanktionssystemet. Slutligen fastställs en modell för styrning, övervakning och utvärdering, som ska bidra till en kontinuerlig förbättring av den offentliga politiken och de offentliga programmen.</w:t>
            </w:r>
          </w:p>
        </w:tc>
      </w:tr>
    </w:tbl>
    <w:p w14:paraId="57422AFC"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349777E8" w14:textId="77777777" w:rsidR="00E040FD" w:rsidRDefault="00E040FD">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E040FD" w:rsidSect="00E00EDD">
          <w:headerReference w:type="even" r:id="rId174"/>
          <w:headerReference w:type="default" r:id="rId175"/>
          <w:footerReference w:type="even" r:id="rId176"/>
          <w:footerReference w:type="default" r:id="rId177"/>
          <w:headerReference w:type="first" r:id="rId178"/>
          <w:footerReference w:type="first" r:id="rId179"/>
          <w:pgSz w:w="16839" w:h="11907" w:orient="landscape"/>
          <w:pgMar w:top="1134" w:right="1134" w:bottom="1134" w:left="1134" w:header="567" w:footer="567" w:gutter="0"/>
          <w:cols w:space="720"/>
          <w:docGrid w:linePitch="360"/>
        </w:sectPr>
      </w:pPr>
    </w:p>
    <w:p w14:paraId="31DFC5DD"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I. KOMPONENT 9: Vattenförvaltning</w:t>
      </w:r>
    </w:p>
    <w:p w14:paraId="70B68D2B" w14:textId="77777777" w:rsidR="00E040FD" w:rsidRDefault="00740D64">
      <w:pPr>
        <w:pStyle w:val="P68B1DB1-Normal4"/>
        <w:keepNext/>
        <w:spacing w:before="40" w:after="0" w:line="259" w:lineRule="auto"/>
        <w:jc w:val="both"/>
        <w:rPr>
          <w:rFonts w:eastAsiaTheme="minorEastAsia" w:cs="Times New Roman"/>
          <w:i/>
          <w:noProof/>
        </w:rPr>
      </w:pPr>
      <w:r>
        <w:rPr>
          <w:noProof/>
        </w:rPr>
        <w:t>Komponenten tar itu med följande utmaningar: hantera det höga trycket på lagringssystemen för vattenförsörjning och förbättra vatteneffektiviteten för att motverka de begränsningar som följer av den förväntade årliga minskningen av nederbörden, den ökade frekvensen av torka, säsongsbundenheten och vattenläckaget.</w:t>
      </w:r>
    </w:p>
    <w:p w14:paraId="26529B51"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Målen för komponenten är att minska vattenbristen och säkerställa motståndskraften i de regioner som har det största problemet med torka och som är i akut behov av effektiva insatser för att säkerställa vattenförsörjningen i Algarve, Alentejo och Madeira. </w:t>
      </w:r>
    </w:p>
    <w:p w14:paraId="4A1D2D18" w14:textId="77777777" w:rsidR="00E040FD" w:rsidRDefault="00740D64">
      <w:pPr>
        <w:pStyle w:val="P68B1DB1-Normal4"/>
        <w:keepNext/>
        <w:spacing w:before="40" w:after="0" w:line="259" w:lineRule="auto"/>
        <w:jc w:val="both"/>
        <w:rPr>
          <w:rFonts w:eastAsiaTheme="minorEastAsia" w:cs="Times New Roman"/>
          <w:noProof/>
        </w:rPr>
      </w:pPr>
      <w:r>
        <w:rPr>
          <w:noProof/>
        </w:rPr>
        <w:t>Ökad vattenresiliens är av yttersta vikt för utvecklingen i dessa tre regioner, och utgör också ett obligatoriskt villkor för turism och ekosystem (särskilt i Algarve och Madeira), jordbruket (Alentejo och Madeira), omstrukturering av den ekonomiska verksamheten (Alentejo) och för att hantera det kombinerade trycket från toppar i bevattningsbehov och mänsklig konsumtion (Madeira).</w:t>
      </w:r>
    </w:p>
    <w:p w14:paraId="5C57D42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Komponenten bidrar till att följa den landsspecifika rekommendationen om investeringar i klimatomställningen (landsspecifik rekommendation 3 2020). </w:t>
      </w:r>
    </w:p>
    <w:p w14:paraId="30738FC0" w14:textId="77777777"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 xml:space="preserve">I.1 </w:t>
      </w:r>
      <w:r>
        <w:rPr>
          <w:noProof/>
        </w:rPr>
        <w:tab/>
        <w:t>Beskrivning av reformer och investeringar avseende icke återbetalningspliktigt ekonomiskt stöd</w:t>
      </w:r>
    </w:p>
    <w:p w14:paraId="5C5E8493"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RE-C09-i01: Den regionala planen för vatteneffektivitet i Algarve</w:t>
      </w:r>
    </w:p>
    <w:p w14:paraId="3110F4B6"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investering är att hantera vattenbristen i Algarve, som fortsätter att förvärras inför klimatförändringarna. Det krävs åtgärder för att fortsätta och utveckla den ekonomiska verksamheten och för att diversifiera Algarveekonomin. </w:t>
      </w:r>
    </w:p>
    <w:p w14:paraId="7288C6E0"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bestå av åtgärder för att minska vattenförlusterna i stads- och jordbrukssektorerna i Algarve genom effektivare bevattningsteknik samt främjande av återanvändning av renat avloppsvatten. På utbudsnivå ska åtgärderna överväga att utnyttja den befintliga kapaciteten och förbättra motståndskraften hos befintliga reservoarer genom att öka inflödet till Odeleite-reservoaren genom uttag i floden Guadiana, stärka strategiska reserver och installera en avsaltningsanläggning. I synnerhet ska dessa nya vattenkällor fungera som ett komplement för att tillgodose befintlig användning för att möta de förutsägbara effekterna av klimatförändringarna. Den ska också bestå av åtgärder för att intensifiera övervakningen, licensieringen och kontrollen av efterlevnaden.</w:t>
      </w:r>
    </w:p>
    <w:p w14:paraId="04427AA3" w14:textId="77777777" w:rsidR="00E040FD" w:rsidRDefault="00740D64">
      <w:pPr>
        <w:pStyle w:val="P68B1DB1-Normal4"/>
        <w:keepNext/>
        <w:spacing w:before="40" w:after="0" w:line="259" w:lineRule="auto"/>
        <w:jc w:val="both"/>
        <w:rPr>
          <w:rFonts w:eastAsiaTheme="minorEastAsia" w:cs="Times New Roman"/>
          <w:noProof/>
        </w:rPr>
      </w:pPr>
      <w:r>
        <w:rPr>
          <w:noProof/>
        </w:rPr>
        <w:t>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samt de delmål och mål som Portugal ska uppnå. I synnerhet ska alla projekt som kan antas medföra betydande miljöpåverkan bli föremål för en miljökonsekvensbedömning (MKB), som ska slutföras i enlighet med Europaparlamentets och rådets direktiv 2011/92/EU av den 13 december 2011 om bedömning av inverkan på miljön av vissa offentliga och privata projekt samt relevanta bedömningar inom ramen för Europaparlamentets och rådets direktiv 2000/60/EG om upprättande av en ram för gemenskapens åtgärder på vattenpolitikens område, eller kort sagt EU:s ramdirektiv för vatten, inbegripet genomförande av nödvändiga begränsningsåtgärder, för att säkerställa överensstämmelse med den tekniska vägledningen om att inte orsaka betydande skada (2021/C58/01). Alla åtgärder som inom ramen för miljökonsekvensbedömningen och bedömningen enligt direktiv 2000/60/EG identifieras som nödvändiga för att säkerställa efterlevnad av principen om att inte orsaka betydande skada ska integreras i projektet och strikt följas under konstruktions-, drifts- och avvecklingsstadierna av infrastrukturen.</w:t>
      </w:r>
    </w:p>
    <w:p w14:paraId="05676B0D" w14:textId="77777777" w:rsidR="00E040FD" w:rsidRDefault="00740D64">
      <w:pPr>
        <w:pStyle w:val="P68B1DB1-Normal17"/>
        <w:keepNext/>
        <w:autoSpaceDE w:val="0"/>
        <w:autoSpaceDN w:val="0"/>
        <w:spacing w:before="40" w:after="40" w:line="240" w:lineRule="auto"/>
        <w:jc w:val="both"/>
        <w:rPr>
          <w:rFonts w:ascii="Times New Roman" w:eastAsia="Times New Roman" w:hAnsi="Times New Roman" w:cs="Times New Roman"/>
          <w:noProof/>
        </w:rPr>
      </w:pPr>
      <w:r>
        <w:rPr>
          <w:rFonts w:ascii="Times New Roman" w:hAnsi="Times New Roman"/>
          <w:noProof/>
        </w:rPr>
        <w:t>Om vatten tas ut ska ett relevant tillstånd beviljas av den berörda myndigheten, med angivande av villkoren för att undvika försämring och för att säkerställa att berörda vattenförekomster fortfarande har god ekologisk status, i enlighet med kraven i vattenramdirektiv 2000/60/EG.</w:t>
      </w:r>
      <w:r>
        <w:rPr>
          <w:rFonts w:ascii="Segoe UI" w:hAnsi="Segoe UI"/>
          <w:noProof/>
        </w:rPr>
        <w:t xml:space="preserve"> </w:t>
      </w:r>
    </w:p>
    <w:p w14:paraId="6B828F29" w14:textId="6F5CF201" w:rsidR="00E040FD" w:rsidRDefault="00740D64">
      <w:pPr>
        <w:pStyle w:val="P68B1DB1-Normal4"/>
        <w:keepNext/>
        <w:autoSpaceDE w:val="0"/>
        <w:autoSpaceDN w:val="0"/>
        <w:spacing w:before="40" w:after="40" w:line="240" w:lineRule="auto"/>
        <w:jc w:val="both"/>
        <w:rPr>
          <w:rFonts w:eastAsiaTheme="minorEastAsia" w:cs="Times New Roman"/>
          <w:noProof/>
        </w:rPr>
      </w:pPr>
      <w:r>
        <w:rPr>
          <w:noProof/>
        </w:rPr>
        <w:t>Investeringen ska vara genomförd senast den 30 juni 2026.</w:t>
      </w:r>
    </w:p>
    <w:p w14:paraId="0ABB1601" w14:textId="221BFC68"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RE-C09-i02: Hydrauliskt multifunktionellt företag i Crato, planeringsfas</w:t>
      </w:r>
    </w:p>
    <w:p w14:paraId="5CCA52C3" w14:textId="77777777" w:rsidR="00E040FD" w:rsidRDefault="00740D64">
      <w:pPr>
        <w:pStyle w:val="P68B1DB1-Normal4"/>
        <w:keepNext/>
        <w:spacing w:before="40" w:after="0" w:line="259" w:lineRule="auto"/>
        <w:jc w:val="both"/>
        <w:rPr>
          <w:rFonts w:eastAsia="Times New Roman" w:cs="Times New Roman"/>
          <w:noProof/>
        </w:rPr>
      </w:pPr>
      <w:r>
        <w:rPr>
          <w:noProof/>
        </w:rPr>
        <w:t xml:space="preserve">Syftet med denna åtgärd är att säkerställa dricksvattenförsörjningen, motverka ökenspridningen i regionen, diversifiera jordbruket och bidra till en omstrukturering av energiproduktionen i området. Åtgärden ska bestå av följande steg: uppförande av en damm i Crato-dalen för att säkerställa dricksvattenförsörjning och omstrukturering av jordbruket, samtidigt som man erbjuder en privilegierad plats för installation av flytande solcellspaneler (som ska installeras i vattenspegeln med medel utanför faciliteten för återhämtning och resiliens) och producera el självständigt från det planerade minivattenkraftverket. </w:t>
      </w:r>
    </w:p>
    <w:p w14:paraId="07D1FD53" w14:textId="0A00FDE9" w:rsidR="00E040FD" w:rsidRDefault="00740D64">
      <w:pPr>
        <w:pStyle w:val="P68B1DB1-Normal4"/>
        <w:keepNext/>
        <w:spacing w:before="40" w:after="0" w:line="259" w:lineRule="auto"/>
        <w:jc w:val="both"/>
        <w:rPr>
          <w:rFonts w:eastAsiaTheme="minorEastAsia" w:cs="Times New Roman"/>
          <w:noProof/>
        </w:rPr>
      </w:pPr>
      <w:r>
        <w:rPr>
          <w:noProof/>
        </w:rPr>
        <w:t>För en installerad kapacitet på 75 MW skulle solcellsanläggningen till exempel tillgodose mer än 60 % av det nuvarande energibehovet i området</w:t>
      </w:r>
    </w:p>
    <w:p w14:paraId="6FC26120" w14:textId="354A61C0" w:rsidR="00E040FD" w:rsidRDefault="00740D64">
      <w:pPr>
        <w:pStyle w:val="P68B1DB1-Normal4"/>
        <w:keepNext/>
        <w:spacing w:before="40" w:after="0" w:line="259" w:lineRule="auto"/>
        <w:jc w:val="both"/>
        <w:rPr>
          <w:rFonts w:eastAsia="Times New Roman" w:cs="Times New Roman"/>
          <w:noProof/>
        </w:rPr>
      </w:pPr>
      <w:r>
        <w:rPr>
          <w:noProof/>
        </w:rPr>
        <w:t>försörjningsredundans och minskning av koldioxidutsläppen med mer än 80 000 ton/år. Enligt det sjöområde som ska skapas – 7,24 km 2</w:t>
      </w:r>
      <w:r>
        <w:rPr>
          <w:noProof/>
          <w:vertAlign w:val="superscript"/>
        </w:rPr>
        <w:t>–</w:t>
      </w:r>
      <w:r>
        <w:rPr>
          <w:noProof/>
        </w:rPr>
        <w:t xml:space="preserve"> och den maximala yta som kan användas för installation av solcellspaneler är 20 % av detta). </w:t>
      </w:r>
    </w:p>
    <w:p w14:paraId="4647CC73" w14:textId="7E6C724D" w:rsidR="00E040FD" w:rsidRDefault="00740D64">
      <w:pPr>
        <w:pStyle w:val="P68B1DB1-Normal4"/>
        <w:keepNext/>
        <w:spacing w:before="40" w:after="0" w:line="259" w:lineRule="auto"/>
        <w:jc w:val="both"/>
        <w:rPr>
          <w:rFonts w:eastAsia="Times New Roman" w:cs="Times New Roman"/>
          <w:noProof/>
        </w:rPr>
      </w:pPr>
      <w:r>
        <w:rPr>
          <w:noProof/>
        </w:rPr>
        <w:t>Den ska också bidra till att diversifiera jordbruksverksamheten och locka invånarna till detta demografiskt missgynnade område i landet, samtidigt som ett effektivt vattenförvaltningssystem upprätthålls.</w:t>
      </w:r>
    </w:p>
    <w:p w14:paraId="4B7B386F" w14:textId="2169FF6B" w:rsidR="00E040FD" w:rsidRDefault="00740D64">
      <w:pPr>
        <w:pStyle w:val="P68B1DB1-Normal4"/>
        <w:widowControl w:val="0"/>
        <w:spacing w:after="120" w:line="307" w:lineRule="exact"/>
        <w:jc w:val="both"/>
        <w:rPr>
          <w:rFonts w:eastAsia="Calibri" w:cs="Times New Roman"/>
          <w:noProof/>
        </w:rPr>
      </w:pPr>
      <w:r>
        <w:rPr>
          <w:noProof/>
        </w:rPr>
        <w:t>Anläggningen ligger i floden Tajos avrinningsområde i ett område som ligger nära gränsen för floden Guadiana. Investeringen ska omfatta följande steg:</w:t>
      </w:r>
    </w:p>
    <w:p w14:paraId="5130E04D" w14:textId="772268AC" w:rsidR="00E040FD" w:rsidRDefault="00740D64">
      <w:pPr>
        <w:pStyle w:val="P68B1DB1-Normal4"/>
        <w:widowControl w:val="0"/>
        <w:numPr>
          <w:ilvl w:val="0"/>
          <w:numId w:val="28"/>
        </w:numPr>
        <w:spacing w:before="40" w:after="120" w:line="307" w:lineRule="exact"/>
        <w:ind w:left="714" w:hanging="357"/>
        <w:jc w:val="both"/>
        <w:rPr>
          <w:rFonts w:eastAsia="Calibri" w:cs="Times New Roman"/>
          <w:noProof/>
        </w:rPr>
      </w:pPr>
      <w:r>
        <w:rPr>
          <w:noProof/>
          <w:shd w:val="clear" w:color="auto" w:fill="FFFFFF"/>
        </w:rPr>
        <w:t>Moderslinje</w:t>
      </w:r>
      <w:r>
        <w:rPr>
          <w:noProof/>
        </w:rPr>
        <w:t>: Inrätta en fullständig lagringsreservoar på 248 meters höjd (48 m hög), med ett översvämmat område på 7,24 km</w:t>
      </w:r>
      <w:r>
        <w:rPr>
          <w:noProof/>
          <w:vertAlign w:val="superscript"/>
        </w:rPr>
        <w:t>2</w:t>
      </w:r>
      <w:r>
        <w:rPr>
          <w:noProof/>
        </w:rPr>
        <w:t>, en lagringskapacitet på 116,1 hm</w:t>
      </w:r>
      <w:r>
        <w:rPr>
          <w:noProof/>
          <w:vertAlign w:val="superscript"/>
        </w:rPr>
        <w:t xml:space="preserve">3 </w:t>
      </w:r>
      <w:r>
        <w:rPr>
          <w:noProof/>
        </w:rPr>
        <w:t>och en årlig genomsnittlig volym på 57,83 hm</w:t>
      </w:r>
      <w:r>
        <w:rPr>
          <w:noProof/>
          <w:vertAlign w:val="superscript"/>
        </w:rPr>
        <w:t>3</w:t>
      </w:r>
      <w:r>
        <w:rPr>
          <w:noProof/>
        </w:rPr>
        <w:t>per år, vilket möjliggör 50,3 hm</w:t>
      </w:r>
      <w:r>
        <w:rPr>
          <w:noProof/>
          <w:vertAlign w:val="superscript"/>
        </w:rPr>
        <w:t>3</w:t>
      </w:r>
      <w:r>
        <w:rPr>
          <w:noProof/>
        </w:rPr>
        <w:t xml:space="preserve"> /år för allmän vattenförsörjning (allmän dricksvattenförsörjning (3.3 hm3/year) och bevattning (47 hm3/year)), vilket är nödvändigt för att säkerställa att försörjningen är överflödig, dvs. tillräckligt med vatten för att betjäna befolkningen (cirka 55 000 personer) i Alter do Chão, Avis, Crato, Fronteira, Gavião, Nisa, Ponte de Sor och Sousel.</w:t>
      </w:r>
    </w:p>
    <w:p w14:paraId="5B19CBFA" w14:textId="77777777" w:rsidR="00E040FD" w:rsidRDefault="00740D64">
      <w:pPr>
        <w:pStyle w:val="P68B1DB1-Normal4"/>
        <w:widowControl w:val="0"/>
        <w:numPr>
          <w:ilvl w:val="0"/>
          <w:numId w:val="28"/>
        </w:numPr>
        <w:spacing w:before="40" w:after="120" w:line="307" w:lineRule="exact"/>
        <w:ind w:left="714" w:hanging="357"/>
        <w:jc w:val="both"/>
        <w:rPr>
          <w:rFonts w:eastAsia="Calibri" w:cs="Times New Roman"/>
          <w:noProof/>
        </w:rPr>
      </w:pPr>
      <w:r>
        <w:rPr>
          <w:noProof/>
          <w:shd w:val="clear" w:color="auto" w:fill="FFFFFF"/>
        </w:rPr>
        <w:t>Minivattenkraft</w:t>
      </w:r>
      <w:r>
        <w:rPr>
          <w:noProof/>
        </w:rPr>
        <w:t>: För energianvändningen för de flöden som ska släppas ut för bevattning i dalen nedströms, med hjälp av den sänkning som dammens höjd ger upphov till. Det ska ha en installerad kapacitet på 1,0 MW.</w:t>
      </w:r>
    </w:p>
    <w:p w14:paraId="7ECAF144" w14:textId="604696DD" w:rsidR="00E040FD" w:rsidRDefault="00740D64">
      <w:pPr>
        <w:pStyle w:val="P68B1DB1-Normal4"/>
        <w:widowControl w:val="0"/>
        <w:numPr>
          <w:ilvl w:val="0"/>
          <w:numId w:val="28"/>
        </w:numPr>
        <w:spacing w:before="40" w:after="0" w:line="302" w:lineRule="exact"/>
        <w:ind w:left="714" w:hanging="357"/>
        <w:jc w:val="both"/>
        <w:rPr>
          <w:rFonts w:eastAsia="Calibri" w:cs="Times New Roman"/>
          <w:noProof/>
        </w:rPr>
      </w:pPr>
      <w:r>
        <w:rPr>
          <w:noProof/>
          <w:shd w:val="clear" w:color="auto" w:fill="FFFFFF"/>
        </w:rPr>
        <w:t xml:space="preserve">System för att stärka försörjningen av dammen Póvoa e Meadas från Pisão </w:t>
      </w:r>
      <w:r>
        <w:rPr>
          <w:noProof/>
        </w:rPr>
        <w:t>d</w:t>
      </w:r>
      <w:r>
        <w:rPr>
          <w:noProof/>
          <w:shd w:val="clear" w:color="auto" w:fill="FFFFFF"/>
        </w:rPr>
        <w:t>am</w:t>
      </w:r>
      <w:r>
        <w:rPr>
          <w:noProof/>
        </w:rPr>
        <w:t>: anslutning från reservoaren till vattenreningsverket i Póvoa e Meadas för att säkerställa städernas konsumtionsbehov i kommunerna Alter do Chão, Avis, Crato, Fronteira, Gavião, Nisa, Ponte de Sor och Sousel.</w:t>
      </w:r>
    </w:p>
    <w:p w14:paraId="4A96B4C4" w14:textId="77777777" w:rsidR="00E040FD" w:rsidRDefault="00740D64">
      <w:pPr>
        <w:pStyle w:val="P68B1DB1-Normal4"/>
        <w:widowControl w:val="0"/>
        <w:numPr>
          <w:ilvl w:val="0"/>
          <w:numId w:val="28"/>
        </w:numPr>
        <w:tabs>
          <w:tab w:val="left" w:pos="708"/>
        </w:tabs>
        <w:spacing w:before="237" w:after="131" w:line="307" w:lineRule="exact"/>
        <w:ind w:left="714" w:hanging="357"/>
        <w:jc w:val="both"/>
        <w:rPr>
          <w:rFonts w:eastAsia="Calibri" w:cs="Times New Roman"/>
          <w:noProof/>
        </w:rPr>
      </w:pPr>
      <w:r>
        <w:rPr>
          <w:noProof/>
          <w:shd w:val="clear" w:color="auto" w:fill="FFFFFF"/>
        </w:rPr>
        <w:t>Bevattningsinfrastruktur för att stödja befintliga jordbruksområden:</w:t>
      </w:r>
      <w:r>
        <w:rPr>
          <w:b/>
          <w:noProof/>
          <w:shd w:val="clear" w:color="auto" w:fill="FFFFFF"/>
        </w:rPr>
        <w:t xml:space="preserve"> </w:t>
      </w:r>
      <w:r>
        <w:rPr>
          <w:noProof/>
          <w:shd w:val="clear" w:color="auto" w:fill="FFFFFF"/>
        </w:rPr>
        <w:t xml:space="preserve">detta ska </w:t>
      </w:r>
      <w:r>
        <w:rPr>
          <w:noProof/>
        </w:rPr>
        <w:t>omfatta lyftstationer för bevattning, ledningar, balanseringsreservoarer och distributionsnät, bevattningsnät och förbättrad tillgång till jordbruket, och förväntas skapa 5 078 hektar nya bevattningsblock (Alter do Chão, Avis, Crato, Fronteira och Sousel). bevattningsområdet ska delas upp i partier med en areal på högst 100 hektar.</w:t>
      </w:r>
    </w:p>
    <w:p w14:paraId="12A18ECF" w14:textId="58490B1B" w:rsidR="00E040FD" w:rsidRDefault="00740D64">
      <w:pPr>
        <w:pStyle w:val="P68B1DB1-Normal4"/>
        <w:widowControl w:val="0"/>
        <w:numPr>
          <w:ilvl w:val="0"/>
          <w:numId w:val="28"/>
        </w:numPr>
        <w:tabs>
          <w:tab w:val="left" w:pos="708"/>
        </w:tabs>
        <w:spacing w:before="237" w:after="131" w:line="307" w:lineRule="exact"/>
        <w:ind w:left="714" w:hanging="357"/>
        <w:jc w:val="both"/>
        <w:rPr>
          <w:rFonts w:eastAsia="Calibri" w:cs="Times New Roman"/>
          <w:noProof/>
        </w:rPr>
      </w:pPr>
      <w:r>
        <w:rPr>
          <w:noProof/>
          <w:shd w:val="clear" w:color="auto" w:fill="FFFFFF"/>
        </w:rPr>
        <w:t>Fotovoltaiskt</w:t>
      </w:r>
      <w:r>
        <w:rPr>
          <w:b/>
          <w:noProof/>
          <w:shd w:val="clear" w:color="auto" w:fill="FFFFFF"/>
        </w:rPr>
        <w:t xml:space="preserve"> </w:t>
      </w:r>
      <w:r>
        <w:rPr>
          <w:noProof/>
          <w:shd w:val="clear" w:color="auto" w:fill="FFFFFF"/>
        </w:rPr>
        <w:t>kraftverk</w:t>
      </w:r>
      <w:r>
        <w:rPr>
          <w:noProof/>
        </w:rPr>
        <w:t>(solplattor, växelriktare, flytande anordningar, låg- och mellanspänningsledningar): installation av solcellspaneler i vattenspegeln i reservoaren. Finansieringen ska ske utanför planen för återhämtning och resiliens.</w:t>
      </w:r>
    </w:p>
    <w:p w14:paraId="5AF0593D" w14:textId="7BA9A102" w:rsidR="00E040FD" w:rsidRDefault="00740D64">
      <w:pPr>
        <w:pStyle w:val="P68B1DB1-Normal4"/>
        <w:spacing w:before="40" w:after="0" w:line="259" w:lineRule="auto"/>
        <w:jc w:val="both"/>
        <w:rPr>
          <w:rFonts w:eastAsiaTheme="minorEastAsia" w:cs="Times New Roman"/>
          <w:noProof/>
        </w:rPr>
      </w:pPr>
      <w:r>
        <w:rPr>
          <w:noProof/>
        </w:rPr>
        <w:t xml:space="preserve">Denna åtgärd får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och de delmål och mål som Portugal ska uppnå. Fullständig och materiell överensstämmelse med tillämpliga rättsliga bestämmelser ska visas. När utkastet till miljökonsekvensbedömning offentliggörs för offentligt samråd ska det omfatta 1) de beräknade vattenflödena i den berörda vattenförekomsten i grundscenariot (ingen investering) samt efter investeringen, med full hänsyn till klimatförändringarnas negativa effekter på grundval av bästa tillgängliga vetenskapliga prognos, inbegripet ett rimligt värsta scenario, och 2) en motivering av syftet med investeringen jämfört med alternativ med potentiellt mindre miljöpåverkan, både när det gäller deras mål (omfattningen av bevattnad mark jämfört med hållbar förnyelse av landsbygden) och deras medel (minskad efterfrågan på vatten och naturbaserade lösningar). I synnerhet ska alla projekt som kan antas medföra betydande miljöpåverkan bli föremål för en miljökonsekvensbedömning (MKB), som ska slutföras i enlighet med direktiv 2011/92/EU, samt relevanta bedömningar inom ramen för direktiv 2000/60/EG, inbegripet genomförandet av nödvändiga begränsningsåtgärder, för att säkerställa efterlevnad av den tekniska vägledningen om att inte orsaka betydande skada (2021/C58/01). </w:t>
      </w:r>
    </w:p>
    <w:p w14:paraId="519C6249" w14:textId="77777777" w:rsidR="00E040FD" w:rsidRDefault="00740D64">
      <w:pPr>
        <w:pStyle w:val="P68B1DB1-Normal4"/>
        <w:spacing w:before="40" w:after="0" w:line="259" w:lineRule="auto"/>
        <w:jc w:val="both"/>
        <w:rPr>
          <w:rFonts w:eastAsiaTheme="minorEastAsia" w:cs="Times New Roman"/>
          <w:noProof/>
        </w:rPr>
      </w:pPr>
      <w:r>
        <w:rPr>
          <w:noProof/>
        </w:rPr>
        <w:t>Alla åtgärder som inom ramen för miljökonsekvensbedömningen och bedömningen enligt direktiv 2000/60/EG identifieras som nödvändiga för att säkerställa efterlevnad av principen om att inte orsaka betydande skada ska integreras i projektet och strikt följas under konstruktions-, drifts- och avvecklingsstadierna av infrastrukturen.</w:t>
      </w:r>
    </w:p>
    <w:p w14:paraId="77735E49" w14:textId="77777777" w:rsidR="00E040FD" w:rsidRDefault="00740D64">
      <w:pPr>
        <w:pStyle w:val="P68B1DB1-Normal4"/>
        <w:spacing w:before="40" w:after="0" w:line="259" w:lineRule="auto"/>
        <w:jc w:val="both"/>
        <w:rPr>
          <w:rFonts w:eastAsiaTheme="minorEastAsia" w:cs="Times New Roman"/>
          <w:noProof/>
        </w:rPr>
      </w:pPr>
      <w:r>
        <w:rPr>
          <w:noProof/>
        </w:rPr>
        <w:t>Miljökonsekvensbedömningen ska baseras på de mest aktuella, heltäckande och korrekta uppgifterna, inbegripet övervakningsdata om biologiska kvalitetsfaktorer som är särskilt känsliga för hydromorfologiska förändringar, och på vattenförekomstens förväntade status till följd av de nya verksamheterna, jämfört med nuvarande. Den ska särskilt bedöma de kumulativa effekterna av detta nya projekt med annan befintlig eller planerad infrastruktur i avrinningsområdet.</w:t>
      </w:r>
    </w:p>
    <w:p w14:paraId="3A356255" w14:textId="77777777" w:rsidR="00E040FD" w:rsidRDefault="00740D64">
      <w:pPr>
        <w:pStyle w:val="P68B1DB1-Normal4"/>
        <w:spacing w:before="40" w:after="0" w:line="259" w:lineRule="auto"/>
        <w:jc w:val="both"/>
        <w:rPr>
          <w:rFonts w:eastAsiaTheme="minorEastAsia" w:cs="Times New Roman"/>
          <w:noProof/>
        </w:rPr>
      </w:pPr>
      <w:r>
        <w:rPr>
          <w:noProof/>
        </w:rPr>
        <w:t>För att vara förenlig med direktiv 2000/60/EG ska det, på grundval av en bedömning av alla potentiella effekter på statusen hos vattenförekomster inom samma avrinningsområde och på skyddade livsmiljöer och arter som är direkt beroende av vatten, särskilt med beaktande av nuvarande påverkan i samband med vattenuttag, visas att åtgärden</w:t>
      </w:r>
    </w:p>
    <w:p w14:paraId="4E8790D8" w14:textId="77777777" w:rsidR="00E040FD" w:rsidRDefault="00740D64">
      <w:pPr>
        <w:pStyle w:val="P68B1DB1-Normal4"/>
        <w:spacing w:before="40" w:after="0" w:line="259" w:lineRule="auto"/>
        <w:jc w:val="both"/>
        <w:rPr>
          <w:rFonts w:eastAsiaTheme="minorEastAsia" w:cs="Times New Roman"/>
          <w:noProof/>
        </w:rPr>
      </w:pPr>
      <w:r>
        <w:rPr>
          <w:noProof/>
        </w:rPr>
        <w:t xml:space="preserve">i) inte har någon betydande eller oåterkallelig inverkan på påverkade vattenförekomster, och inte heller hindrar den specifika vattenförekomst som den hänför sig till eller andra vattenförekomster i samma avrinningsområde att uppnå god status eller potential senast första kvartalet 4 2025, och </w:t>
      </w:r>
    </w:p>
    <w:p w14:paraId="41CC86CF" w14:textId="77777777" w:rsidR="00E040FD" w:rsidRDefault="00740D64">
      <w:pPr>
        <w:pStyle w:val="P68B1DB1-Normal4"/>
        <w:spacing w:before="40" w:after="0" w:line="259" w:lineRule="auto"/>
        <w:jc w:val="both"/>
        <w:rPr>
          <w:rFonts w:eastAsiaTheme="minorEastAsia" w:cs="Times New Roman"/>
          <w:noProof/>
        </w:rPr>
      </w:pPr>
      <w:r>
        <w:rPr>
          <w:noProof/>
        </w:rPr>
        <w:t>II) inte har någon betydande negativ inverkan på skyddade livsmiljöer och arter som är direkt beroende av vatten.</w:t>
      </w:r>
    </w:p>
    <w:p w14:paraId="5E5C92F5" w14:textId="0CA8BF50" w:rsidR="00E040FD" w:rsidRDefault="00740D64">
      <w:pPr>
        <w:pStyle w:val="P68B1DB1-Normal4"/>
        <w:keepNext/>
        <w:spacing w:before="40" w:after="0" w:line="259" w:lineRule="auto"/>
        <w:jc w:val="both"/>
        <w:rPr>
          <w:rFonts w:eastAsiaTheme="minorEastAsia" w:cs="Times New Roman"/>
          <w:noProof/>
        </w:rPr>
      </w:pPr>
      <w:r>
        <w:rPr>
          <w:noProof/>
        </w:rPr>
        <w:t xml:space="preserve">Ett tillstånd för projektet ska beviljas av den berörda myndigheten, med angivande av alla tekniskt genomförbara och ekologiskt relevanta åtgärder som genomförts för att mildra effekterna och säkerställa att god ekologisk status och potential uppnås i de berörda vattenförekomsterna senast första kvartalet 4 2025, och säkerställa att dessa åtgärders effektivitet övervakas, i enlighet med kraven i vattenramdirektiv 2000/60/EG. </w:t>
      </w:r>
    </w:p>
    <w:p w14:paraId="207EA017" w14:textId="19E4EEFD"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mars 2022.</w:t>
      </w:r>
    </w:p>
    <w:p w14:paraId="34D05917" w14:textId="77777777" w:rsidR="00E040FD" w:rsidRDefault="00740D64">
      <w:pPr>
        <w:pStyle w:val="P68B1DB1-Normal5"/>
        <w:spacing w:before="240" w:after="0" w:line="259" w:lineRule="auto"/>
        <w:ind w:left="851"/>
        <w:jc w:val="both"/>
        <w:outlineLvl w:val="3"/>
        <w:rPr>
          <w:rFonts w:eastAsiaTheme="minorEastAsia" w:cs="Times New Roman"/>
          <w:noProof/>
        </w:rPr>
      </w:pPr>
      <w:r>
        <w:rPr>
          <w:noProof/>
        </w:rPr>
        <w:t>Investering RE-C09-i03-RAM: Plan för vatteneffektivitet och förstärkning av försörjning och bevattningssystem på Madeira</w:t>
      </w:r>
    </w:p>
    <w:p w14:paraId="37F68CD1" w14:textId="17F84417" w:rsidR="00E040FD" w:rsidRDefault="00740D64">
      <w:pPr>
        <w:pStyle w:val="P68B1DB1-Normal4"/>
        <w:spacing w:before="40" w:after="0" w:line="259" w:lineRule="auto"/>
        <w:jc w:val="both"/>
        <w:rPr>
          <w:rFonts w:eastAsiaTheme="minorEastAsia" w:cs="Times New Roman"/>
          <w:noProof/>
        </w:rPr>
      </w:pPr>
      <w:r>
        <w:rPr>
          <w:noProof/>
        </w:rPr>
        <w:t xml:space="preserve">Syftet med åtgärden är att öka motståndskraften hos vattenresurserna på öarna Madeira och Porto Santo. </w:t>
      </w:r>
    </w:p>
    <w:p w14:paraId="0884F004" w14:textId="7EB121EB" w:rsidR="00E040FD" w:rsidRDefault="00740D64">
      <w:pPr>
        <w:pStyle w:val="P68B1DB1-Normal4"/>
        <w:spacing w:before="40" w:after="0" w:line="259" w:lineRule="auto"/>
        <w:jc w:val="both"/>
        <w:rPr>
          <w:rFonts w:eastAsiaTheme="minorEastAsia" w:cs="Times New Roman"/>
          <w:noProof/>
        </w:rPr>
      </w:pPr>
      <w:r>
        <w:rPr>
          <w:noProof/>
        </w:rPr>
        <w:t xml:space="preserve">Investeringen ska bestå i att tillhandahålla vattenresurser genom att optimera användningen av befintliga resurser, uttag av överskottsvatten utan påverkan på ekosystemen, upprättande och utbyggnad av strategiska reserver och sammanlänkning av de olika vattenkällorna. </w:t>
      </w:r>
    </w:p>
    <w:p w14:paraId="6EF884DE" w14:textId="77777777" w:rsidR="00E040FD" w:rsidRDefault="00740D64">
      <w:pPr>
        <w:pStyle w:val="P68B1DB1-Normal4"/>
        <w:spacing w:before="40" w:after="0" w:line="259" w:lineRule="auto"/>
        <w:jc w:val="both"/>
        <w:rPr>
          <w:rFonts w:eastAsiaTheme="minorEastAsia" w:cs="Times New Roman"/>
          <w:noProof/>
        </w:rPr>
      </w:pPr>
      <w:r>
        <w:rPr>
          <w:noProof/>
        </w:rPr>
        <w:t>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samt de delmål och mål som Portugal ska uppnå. I synnerhet måste alla projekt som kan antas medföra betydande miljöpåverkan nödvändigtvis bli föremål för en miljökonsekvensbedömning (MKB) i enlighet med direktiv 2011/92/EU, samt relevanta bedömningar inom ramen för direktiv 2000/60/EG och direktiv 92/43/EEG, inbegripet genomförandet av nödvändiga begränsningsåtgärder.</w:t>
      </w:r>
    </w:p>
    <w:p w14:paraId="38F7BA54" w14:textId="4535BBF2" w:rsidR="00E040FD" w:rsidRDefault="00740D64">
      <w:pPr>
        <w:pStyle w:val="P68B1DB1-Normal4"/>
        <w:keepNext/>
        <w:spacing w:before="40" w:after="0" w:line="259" w:lineRule="auto"/>
        <w:jc w:val="both"/>
        <w:rPr>
          <w:rFonts w:eastAsiaTheme="minorEastAsia" w:cs="Times New Roman"/>
          <w:noProof/>
        </w:rPr>
        <w:sectPr w:rsidR="00E040FD" w:rsidSect="00E00EDD">
          <w:headerReference w:type="even" r:id="rId180"/>
          <w:headerReference w:type="default" r:id="rId181"/>
          <w:footerReference w:type="even" r:id="rId182"/>
          <w:footerReference w:type="default" r:id="rId183"/>
          <w:headerReference w:type="first" r:id="rId184"/>
          <w:footerReference w:type="first" r:id="rId185"/>
          <w:pgSz w:w="11907" w:h="16839"/>
          <w:pgMar w:top="1134" w:right="1134" w:bottom="1134" w:left="1134" w:header="567" w:footer="567" w:gutter="0"/>
          <w:cols w:space="720"/>
          <w:docGrid w:linePitch="360"/>
        </w:sectPr>
      </w:pPr>
      <w:r>
        <w:rPr>
          <w:noProof/>
        </w:rPr>
        <w:t>Investeringen ska vara genomförd senast den 30 juni 2026.</w:t>
      </w:r>
    </w:p>
    <w:p w14:paraId="12B3E8CF"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1AF6FAD5"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1001889C" w14:textId="77777777"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I.2 Delmål, mål, indikatorer och tidsplan för övervakning och genomförande avseende icke återbetalningspliktigt ekonomiskt stöd</w:t>
      </w:r>
    </w:p>
    <w:p w14:paraId="25E28A3C" w14:textId="77777777" w:rsidR="00E040FD" w:rsidRDefault="00E040FD">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E040FD" w14:paraId="600C6CC3" w14:textId="77777777">
        <w:trPr>
          <w:trHeight w:val="300"/>
          <w:tblHeader/>
          <w:jc w:val="center"/>
        </w:trPr>
        <w:tc>
          <w:tcPr>
            <w:tcW w:w="1135" w:type="dxa"/>
            <w:vMerge w:val="restart"/>
            <w:shd w:val="clear" w:color="auto" w:fill="BDD6EE"/>
            <w:vAlign w:val="center"/>
            <w:hideMark/>
          </w:tcPr>
          <w:p w14:paraId="7EDDF729"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noWrap/>
            <w:vAlign w:val="center"/>
            <w:hideMark/>
          </w:tcPr>
          <w:p w14:paraId="245FD828"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noWrap/>
            <w:vAlign w:val="center"/>
            <w:hideMark/>
          </w:tcPr>
          <w:p w14:paraId="0BF43E8A" w14:textId="22BCA461" w:rsidR="00E040FD" w:rsidRDefault="00740D64">
            <w:pPr>
              <w:pStyle w:val="P68B1DB1-Normal6"/>
              <w:spacing w:after="0" w:line="240" w:lineRule="auto"/>
              <w:jc w:val="center"/>
              <w:rPr>
                <w:rFonts w:eastAsia="Times New Roman" w:cs="Times New Roman"/>
                <w:noProof/>
              </w:rPr>
            </w:pPr>
            <w:r>
              <w:rPr>
                <w:noProof/>
              </w:rPr>
              <w:t>Delmål/mål</w:t>
            </w:r>
          </w:p>
        </w:tc>
        <w:tc>
          <w:tcPr>
            <w:tcW w:w="1701" w:type="dxa"/>
            <w:vMerge w:val="restart"/>
            <w:shd w:val="clear" w:color="auto" w:fill="BDD6EE"/>
            <w:noWrap/>
            <w:vAlign w:val="center"/>
            <w:hideMark/>
          </w:tcPr>
          <w:p w14:paraId="340FFCF7"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75" w:type="dxa"/>
            <w:vMerge w:val="restart"/>
            <w:shd w:val="clear" w:color="auto" w:fill="BDD6EE"/>
            <w:noWrap/>
            <w:vAlign w:val="center"/>
            <w:hideMark/>
          </w:tcPr>
          <w:p w14:paraId="6468587C"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694" w:type="dxa"/>
            <w:gridSpan w:val="3"/>
            <w:shd w:val="clear" w:color="auto" w:fill="BDD6EE"/>
            <w:noWrap/>
            <w:vAlign w:val="center"/>
            <w:hideMark/>
          </w:tcPr>
          <w:p w14:paraId="12177533"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noWrap/>
            <w:vAlign w:val="center"/>
            <w:hideMark/>
          </w:tcPr>
          <w:p w14:paraId="28F7EB70" w14:textId="77777777" w:rsidR="00E040FD" w:rsidRDefault="00740D64">
            <w:pPr>
              <w:pStyle w:val="P68B1DB1-Normal6"/>
              <w:spacing w:after="0" w:line="240" w:lineRule="auto"/>
              <w:jc w:val="center"/>
              <w:rPr>
                <w:rFonts w:eastAsia="Times New Roman" w:cs="Times New Roman"/>
                <w:noProof/>
              </w:rPr>
            </w:pPr>
            <w:r>
              <w:rPr>
                <w:noProof/>
              </w:rPr>
              <w:t>Tidsplan för slutförande</w:t>
            </w:r>
          </w:p>
        </w:tc>
        <w:tc>
          <w:tcPr>
            <w:tcW w:w="3969" w:type="dxa"/>
            <w:vMerge w:val="restart"/>
            <w:shd w:val="clear" w:color="auto" w:fill="BDD6EE"/>
            <w:vAlign w:val="center"/>
            <w:hideMark/>
          </w:tcPr>
          <w:p w14:paraId="4A0FED38"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1E2172AA" w14:textId="77777777">
        <w:trPr>
          <w:trHeight w:val="300"/>
          <w:tblHeader/>
          <w:jc w:val="center"/>
        </w:trPr>
        <w:tc>
          <w:tcPr>
            <w:tcW w:w="1135" w:type="dxa"/>
            <w:vMerge/>
            <w:vAlign w:val="center"/>
            <w:hideMark/>
          </w:tcPr>
          <w:p w14:paraId="57B55280"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622AD449"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noWrap/>
            <w:vAlign w:val="center"/>
            <w:hideMark/>
          </w:tcPr>
          <w:p w14:paraId="201EE1EB" w14:textId="3CE9A911" w:rsidR="00E040FD" w:rsidRDefault="00E040FD">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5BCDAF57" w14:textId="77777777" w:rsidR="00E040FD" w:rsidRDefault="00E040FD">
            <w:pPr>
              <w:spacing w:after="0" w:line="240" w:lineRule="auto"/>
              <w:rPr>
                <w:rFonts w:ascii="Times New Roman" w:eastAsia="Times New Roman" w:hAnsi="Times New Roman" w:cs="Times New Roman"/>
                <w:b/>
                <w:noProof/>
                <w:sz w:val="18"/>
              </w:rPr>
            </w:pPr>
          </w:p>
        </w:tc>
        <w:tc>
          <w:tcPr>
            <w:tcW w:w="1275" w:type="dxa"/>
            <w:vMerge/>
            <w:vAlign w:val="center"/>
            <w:hideMark/>
          </w:tcPr>
          <w:p w14:paraId="7CCC7491" w14:textId="77777777" w:rsidR="00E040FD" w:rsidRDefault="00E040FD">
            <w:pPr>
              <w:spacing w:after="0" w:line="240" w:lineRule="auto"/>
              <w:rPr>
                <w:rFonts w:ascii="Times New Roman" w:eastAsia="Times New Roman" w:hAnsi="Times New Roman" w:cs="Times New Roman"/>
                <w:b/>
                <w:noProof/>
                <w:sz w:val="18"/>
              </w:rPr>
            </w:pPr>
          </w:p>
        </w:tc>
        <w:tc>
          <w:tcPr>
            <w:tcW w:w="993" w:type="dxa"/>
            <w:shd w:val="clear" w:color="auto" w:fill="BDD6EE"/>
            <w:noWrap/>
            <w:vAlign w:val="center"/>
            <w:hideMark/>
          </w:tcPr>
          <w:p w14:paraId="4AA0E852"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noWrap/>
            <w:vAlign w:val="center"/>
            <w:hideMark/>
          </w:tcPr>
          <w:p w14:paraId="19FD5F31"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709" w:type="dxa"/>
            <w:shd w:val="clear" w:color="auto" w:fill="BDD6EE"/>
            <w:noWrap/>
            <w:vAlign w:val="center"/>
            <w:hideMark/>
          </w:tcPr>
          <w:p w14:paraId="2839A6A1"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7" w:type="dxa"/>
            <w:shd w:val="clear" w:color="auto" w:fill="BDD6EE"/>
            <w:noWrap/>
            <w:vAlign w:val="center"/>
            <w:hideMark/>
          </w:tcPr>
          <w:p w14:paraId="46BA416F"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shd w:val="clear" w:color="auto" w:fill="BDD6EE"/>
            <w:noWrap/>
            <w:vAlign w:val="center"/>
            <w:hideMark/>
          </w:tcPr>
          <w:p w14:paraId="726D1C15" w14:textId="77777777" w:rsidR="00E040FD" w:rsidRDefault="00740D64">
            <w:pPr>
              <w:pStyle w:val="P68B1DB1-Normal6"/>
              <w:spacing w:after="0" w:line="240" w:lineRule="auto"/>
              <w:jc w:val="center"/>
              <w:rPr>
                <w:rFonts w:eastAsia="Times New Roman" w:cs="Times New Roman"/>
                <w:noProof/>
              </w:rPr>
            </w:pPr>
            <w:r>
              <w:rPr>
                <w:noProof/>
              </w:rPr>
              <w:t>Året</w:t>
            </w:r>
          </w:p>
        </w:tc>
        <w:tc>
          <w:tcPr>
            <w:tcW w:w="3969" w:type="dxa"/>
            <w:vMerge/>
            <w:vAlign w:val="center"/>
            <w:hideMark/>
          </w:tcPr>
          <w:p w14:paraId="5EDB4CE2" w14:textId="77777777" w:rsidR="00E040FD" w:rsidRDefault="00E040FD">
            <w:pPr>
              <w:spacing w:after="0" w:line="240" w:lineRule="auto"/>
              <w:rPr>
                <w:rFonts w:ascii="Times New Roman" w:eastAsia="Times New Roman" w:hAnsi="Times New Roman" w:cs="Times New Roman"/>
                <w:b/>
                <w:noProof/>
                <w:sz w:val="18"/>
              </w:rPr>
            </w:pPr>
          </w:p>
        </w:tc>
      </w:tr>
      <w:tr w:rsidR="00E040FD" w14:paraId="6349FC7E" w14:textId="77777777">
        <w:trPr>
          <w:trHeight w:val="1480"/>
          <w:jc w:val="center"/>
        </w:trPr>
        <w:tc>
          <w:tcPr>
            <w:tcW w:w="1135" w:type="dxa"/>
            <w:shd w:val="clear" w:color="auto" w:fill="C5EFCE"/>
            <w:noWrap/>
            <w:vAlign w:val="center"/>
            <w:hideMark/>
          </w:tcPr>
          <w:p w14:paraId="0438A134" w14:textId="77777777" w:rsidR="00E040FD" w:rsidRDefault="00740D64">
            <w:pPr>
              <w:pStyle w:val="P68B1DB1-Normal7"/>
              <w:spacing w:after="0" w:line="240" w:lineRule="auto"/>
              <w:jc w:val="center"/>
              <w:rPr>
                <w:rFonts w:eastAsia="Times New Roman" w:cs="Calibri"/>
                <w:noProof/>
              </w:rPr>
            </w:pPr>
            <w:r>
              <w:rPr>
                <w:noProof/>
              </w:rPr>
              <w:t>9.1</w:t>
            </w:r>
          </w:p>
        </w:tc>
        <w:tc>
          <w:tcPr>
            <w:tcW w:w="1276" w:type="dxa"/>
            <w:shd w:val="clear" w:color="auto" w:fill="C4EFCE"/>
            <w:noWrap/>
            <w:vAlign w:val="center"/>
            <w:hideMark/>
          </w:tcPr>
          <w:p w14:paraId="0B8CF946" w14:textId="77777777" w:rsidR="00E040FD" w:rsidRDefault="00740D6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3A439A71"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E88BABD" w14:textId="77777777" w:rsidR="00E040FD" w:rsidRDefault="00740D64">
            <w:pPr>
              <w:pStyle w:val="P68B1DB1-Normal8"/>
              <w:spacing w:after="0" w:line="240" w:lineRule="auto"/>
              <w:jc w:val="center"/>
              <w:rPr>
                <w:rFonts w:eastAsia="Times New Roman" w:cs="Calibri"/>
                <w:noProof/>
              </w:rPr>
            </w:pPr>
            <w:r>
              <w:rPr>
                <w:noProof/>
              </w:rPr>
              <w:t>Ytterligare övervakningspunkter för installerade grundvattenresurser (SM3)</w:t>
            </w:r>
          </w:p>
        </w:tc>
        <w:tc>
          <w:tcPr>
            <w:tcW w:w="1275" w:type="dxa"/>
            <w:shd w:val="clear" w:color="auto" w:fill="C4EFCE"/>
            <w:noWrap/>
            <w:vAlign w:val="center"/>
            <w:hideMark/>
          </w:tcPr>
          <w:p w14:paraId="6E70CEC2" w14:textId="77777777" w:rsidR="00E040FD" w:rsidRDefault="00E040FD">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78B8CA1B"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642E61B9" w14:textId="77777777" w:rsidR="00E040FD" w:rsidRDefault="00740D64">
            <w:pPr>
              <w:pStyle w:val="P68B1DB1-Normal8"/>
              <w:spacing w:after="0" w:line="240" w:lineRule="auto"/>
              <w:jc w:val="center"/>
              <w:rPr>
                <w:rFonts w:eastAsia="Times New Roman" w:cs="Calibri"/>
                <w:noProof/>
              </w:rPr>
            </w:pPr>
            <w:r>
              <w:rPr>
                <w:noProof/>
              </w:rPr>
              <w:t>32</w:t>
            </w:r>
          </w:p>
        </w:tc>
        <w:tc>
          <w:tcPr>
            <w:tcW w:w="709" w:type="dxa"/>
            <w:shd w:val="clear" w:color="auto" w:fill="C4EFCE"/>
            <w:noWrap/>
            <w:vAlign w:val="center"/>
            <w:hideMark/>
          </w:tcPr>
          <w:p w14:paraId="6267D00B" w14:textId="77777777" w:rsidR="00E040FD" w:rsidRDefault="00740D64">
            <w:pPr>
              <w:pStyle w:val="P68B1DB1-Normal8"/>
              <w:spacing w:after="0" w:line="240" w:lineRule="auto"/>
              <w:jc w:val="center"/>
              <w:rPr>
                <w:rFonts w:eastAsia="Times New Roman" w:cs="Calibri"/>
                <w:noProof/>
              </w:rPr>
            </w:pPr>
            <w:r>
              <w:rPr>
                <w:noProof/>
              </w:rPr>
              <w:t>82</w:t>
            </w:r>
          </w:p>
        </w:tc>
        <w:tc>
          <w:tcPr>
            <w:tcW w:w="567" w:type="dxa"/>
            <w:shd w:val="clear" w:color="auto" w:fill="C4EFCE"/>
            <w:noWrap/>
            <w:vAlign w:val="center"/>
            <w:hideMark/>
          </w:tcPr>
          <w:p w14:paraId="43A52E08" w14:textId="39780CFB"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32E3C24C" w14:textId="77777777"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6A1ABD5" w14:textId="77777777" w:rsidR="00E040FD" w:rsidRDefault="00740D64">
            <w:pPr>
              <w:pStyle w:val="P68B1DB1-Normal9"/>
              <w:spacing w:after="0" w:line="240" w:lineRule="auto"/>
              <w:jc w:val="both"/>
              <w:rPr>
                <w:rFonts w:eastAsia="Times New Roman" w:cs="Calibri"/>
                <w:noProof/>
                <w:sz w:val="16"/>
              </w:rPr>
            </w:pPr>
            <w:r>
              <w:rPr>
                <w:noProof/>
                <w:sz w:val="16"/>
              </w:rPr>
              <w:t>Installation av övervaknings- och övervakningspunkter för grundvattenresurser (inklusive piezometrar och telemetrimätare). Utöver en befintlig 32 piezometrar ska ytterligare 50 piezometrar installeras.</w:t>
            </w:r>
            <w:r>
              <w:rPr>
                <w:noProof/>
                <w:sz w:val="18"/>
              </w:rPr>
              <w:t xml:space="preserve"> </w:t>
            </w:r>
          </w:p>
        </w:tc>
      </w:tr>
      <w:tr w:rsidR="00E040FD" w14:paraId="0792A2CB" w14:textId="77777777">
        <w:trPr>
          <w:trHeight w:val="1050"/>
          <w:jc w:val="center"/>
        </w:trPr>
        <w:tc>
          <w:tcPr>
            <w:tcW w:w="1135" w:type="dxa"/>
            <w:shd w:val="clear" w:color="auto" w:fill="C4EFCE"/>
            <w:noWrap/>
            <w:vAlign w:val="center"/>
            <w:hideMark/>
          </w:tcPr>
          <w:p w14:paraId="2868601E" w14:textId="77777777" w:rsidR="00E040FD" w:rsidRDefault="00740D64">
            <w:pPr>
              <w:pStyle w:val="P68B1DB1-Normal7"/>
              <w:spacing w:after="0" w:line="240" w:lineRule="auto"/>
              <w:jc w:val="center"/>
              <w:rPr>
                <w:rFonts w:eastAsia="Times New Roman" w:cs="Calibri"/>
                <w:noProof/>
              </w:rPr>
            </w:pPr>
            <w:r>
              <w:rPr>
                <w:noProof/>
              </w:rPr>
              <w:t>9.2</w:t>
            </w:r>
          </w:p>
        </w:tc>
        <w:tc>
          <w:tcPr>
            <w:tcW w:w="1276" w:type="dxa"/>
            <w:shd w:val="clear" w:color="auto" w:fill="C4EFCE"/>
            <w:noWrap/>
            <w:vAlign w:val="center"/>
            <w:hideMark/>
          </w:tcPr>
          <w:p w14:paraId="473C196B" w14:textId="77777777" w:rsidR="00E040FD" w:rsidRDefault="00740D6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7A7F263"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10ABBF9" w14:textId="77777777" w:rsidR="00E040FD" w:rsidRDefault="00740D64">
            <w:pPr>
              <w:pStyle w:val="P68B1DB1-Normal8"/>
              <w:spacing w:after="0" w:line="240" w:lineRule="auto"/>
              <w:jc w:val="center"/>
              <w:rPr>
                <w:rFonts w:eastAsia="Times New Roman" w:cs="Calibri"/>
                <w:noProof/>
              </w:rPr>
            </w:pPr>
            <w:r>
              <w:rPr>
                <w:noProof/>
              </w:rPr>
              <w:t>Slutförande av nätingrepp för att minska vattenförlusterna (SM1)</w:t>
            </w:r>
          </w:p>
        </w:tc>
        <w:tc>
          <w:tcPr>
            <w:tcW w:w="1275" w:type="dxa"/>
            <w:shd w:val="clear" w:color="auto" w:fill="C4EFCE"/>
            <w:noWrap/>
            <w:vAlign w:val="center"/>
            <w:hideMark/>
          </w:tcPr>
          <w:p w14:paraId="03DA0A8A" w14:textId="77777777" w:rsidR="00E040FD" w:rsidRDefault="00E040FD">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5ED303C2" w14:textId="77777777" w:rsidR="00E040FD" w:rsidRDefault="00740D64">
            <w:pPr>
              <w:pStyle w:val="P68B1DB1-Normal8"/>
              <w:spacing w:after="0" w:line="240" w:lineRule="auto"/>
              <w:jc w:val="center"/>
              <w:rPr>
                <w:rFonts w:eastAsia="Times New Roman" w:cs="Calibri"/>
                <w:noProof/>
              </w:rPr>
            </w:pPr>
            <w:r>
              <w:rPr>
                <w:noProof/>
              </w:rPr>
              <w:t>Km</w:t>
            </w:r>
          </w:p>
        </w:tc>
        <w:tc>
          <w:tcPr>
            <w:tcW w:w="992" w:type="dxa"/>
            <w:shd w:val="clear" w:color="auto" w:fill="C4EFCE"/>
            <w:noWrap/>
            <w:vAlign w:val="center"/>
            <w:hideMark/>
          </w:tcPr>
          <w:p w14:paraId="60440915"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2D1D6224" w14:textId="77777777" w:rsidR="00E040FD" w:rsidRDefault="00740D64">
            <w:pPr>
              <w:pStyle w:val="P68B1DB1-Normal8"/>
              <w:spacing w:after="0" w:line="240" w:lineRule="auto"/>
              <w:jc w:val="center"/>
              <w:rPr>
                <w:rFonts w:eastAsia="Times New Roman" w:cs="Calibri"/>
                <w:noProof/>
              </w:rPr>
            </w:pPr>
            <w:r>
              <w:rPr>
                <w:noProof/>
              </w:rPr>
              <w:t>125</w:t>
            </w:r>
          </w:p>
        </w:tc>
        <w:tc>
          <w:tcPr>
            <w:tcW w:w="567" w:type="dxa"/>
            <w:shd w:val="clear" w:color="auto" w:fill="C4EFCE"/>
            <w:noWrap/>
            <w:vAlign w:val="center"/>
            <w:hideMark/>
          </w:tcPr>
          <w:p w14:paraId="5B4ACE0D" w14:textId="77777777" w:rsidR="00E040FD" w:rsidRDefault="00740D64">
            <w:pPr>
              <w:pStyle w:val="P68B1DB1-Normal8"/>
              <w:spacing w:after="0" w:line="240" w:lineRule="auto"/>
              <w:jc w:val="center"/>
              <w:rPr>
                <w:rFonts w:eastAsia="Times New Roman" w:cs="Calibri"/>
                <w:noProof/>
              </w:rPr>
            </w:pPr>
            <w:r>
              <w:rPr>
                <w:noProof/>
              </w:rPr>
              <w:t>KVARTAL 1</w:t>
            </w:r>
          </w:p>
        </w:tc>
        <w:tc>
          <w:tcPr>
            <w:tcW w:w="708" w:type="dxa"/>
            <w:shd w:val="clear" w:color="auto" w:fill="C4EFCE"/>
            <w:noWrap/>
            <w:vAlign w:val="center"/>
            <w:hideMark/>
          </w:tcPr>
          <w:p w14:paraId="5FCFB3CB" w14:textId="77777777" w:rsidR="00E040FD" w:rsidRDefault="00740D6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3E31623D" w14:textId="77777777" w:rsidR="00E040FD" w:rsidRDefault="00740D64">
            <w:pPr>
              <w:pStyle w:val="P68B1DB1-Normal8"/>
              <w:spacing w:after="0" w:line="240" w:lineRule="auto"/>
              <w:jc w:val="both"/>
              <w:rPr>
                <w:rFonts w:eastAsia="Times New Roman" w:cs="Calibri"/>
                <w:noProof/>
              </w:rPr>
            </w:pPr>
            <w:r>
              <w:rPr>
                <w:noProof/>
              </w:rPr>
              <w:t>Slutförande av nätverksinsatser för att optimera trycket och återställa nätverket med följande åtgärder: 1) tryckoptimering och flödesmätning, 2) upprustning av nätverk i stadsområden/historiska områden, 3) upprustning av nätverk i landsbygdsområden eller medelstora landsbygdsområden.</w:t>
            </w:r>
          </w:p>
        </w:tc>
      </w:tr>
      <w:tr w:rsidR="00E040FD" w14:paraId="470669E2" w14:textId="77777777">
        <w:trPr>
          <w:trHeight w:val="1757"/>
          <w:jc w:val="center"/>
        </w:trPr>
        <w:tc>
          <w:tcPr>
            <w:tcW w:w="1135" w:type="dxa"/>
            <w:shd w:val="clear" w:color="auto" w:fill="C5EFCE"/>
            <w:noWrap/>
            <w:vAlign w:val="center"/>
            <w:hideMark/>
          </w:tcPr>
          <w:p w14:paraId="24335E6E" w14:textId="77777777" w:rsidR="00E040FD" w:rsidRDefault="00740D64">
            <w:pPr>
              <w:pStyle w:val="P68B1DB1-Normal7"/>
              <w:spacing w:after="0" w:line="240" w:lineRule="auto"/>
              <w:jc w:val="center"/>
              <w:rPr>
                <w:rFonts w:eastAsia="Times New Roman" w:cs="Calibri"/>
                <w:noProof/>
              </w:rPr>
            </w:pPr>
            <w:r>
              <w:rPr>
                <w:noProof/>
              </w:rPr>
              <w:t>9.3</w:t>
            </w:r>
          </w:p>
        </w:tc>
        <w:tc>
          <w:tcPr>
            <w:tcW w:w="1276" w:type="dxa"/>
            <w:shd w:val="clear" w:color="auto" w:fill="C4EFCE"/>
            <w:noWrap/>
            <w:vAlign w:val="center"/>
            <w:hideMark/>
          </w:tcPr>
          <w:p w14:paraId="61BA6E03" w14:textId="77777777" w:rsidR="00E040FD" w:rsidRDefault="00740D6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481B50F1"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AFCFDF3" w14:textId="77777777" w:rsidR="00E040FD" w:rsidRDefault="00740D64">
            <w:pPr>
              <w:pStyle w:val="P68B1DB1-Normal8"/>
              <w:spacing w:after="0" w:line="240" w:lineRule="auto"/>
              <w:jc w:val="center"/>
              <w:rPr>
                <w:rFonts w:eastAsia="Times New Roman" w:cs="Calibri"/>
                <w:noProof/>
              </w:rPr>
            </w:pPr>
            <w:r>
              <w:rPr>
                <w:noProof/>
              </w:rPr>
              <w:t>Modernisering av markareal för gemensam användning inom vattenbruket och individuell bevattning (SM2)</w:t>
            </w:r>
          </w:p>
        </w:tc>
        <w:tc>
          <w:tcPr>
            <w:tcW w:w="1275" w:type="dxa"/>
            <w:shd w:val="clear" w:color="auto" w:fill="C4EFCE"/>
            <w:noWrap/>
            <w:vAlign w:val="center"/>
            <w:hideMark/>
          </w:tcPr>
          <w:p w14:paraId="36A7294C" w14:textId="77777777" w:rsidR="00E040FD" w:rsidRDefault="00E040FD">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45E8102A" w14:textId="77777777" w:rsidR="00E040FD" w:rsidRDefault="00740D64">
            <w:pPr>
              <w:pStyle w:val="P68B1DB1-Normal8"/>
              <w:spacing w:after="0" w:line="240" w:lineRule="auto"/>
              <w:jc w:val="center"/>
              <w:rPr>
                <w:rFonts w:eastAsia="Times New Roman" w:cs="Calibri"/>
                <w:noProof/>
              </w:rPr>
            </w:pPr>
            <w:r>
              <w:rPr>
                <w:noProof/>
              </w:rPr>
              <w:t>Ha</w:t>
            </w:r>
          </w:p>
        </w:tc>
        <w:tc>
          <w:tcPr>
            <w:tcW w:w="992" w:type="dxa"/>
            <w:shd w:val="clear" w:color="auto" w:fill="C4EFCE"/>
            <w:noWrap/>
            <w:vAlign w:val="center"/>
            <w:hideMark/>
          </w:tcPr>
          <w:p w14:paraId="72C10700"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23692D8" w14:textId="77777777" w:rsidR="00E040FD" w:rsidRDefault="00740D64">
            <w:pPr>
              <w:pStyle w:val="P68B1DB1-Normal8"/>
              <w:spacing w:after="0" w:line="240" w:lineRule="auto"/>
              <w:jc w:val="center"/>
              <w:rPr>
                <w:rFonts w:eastAsia="Times New Roman" w:cs="Calibri"/>
                <w:noProof/>
              </w:rPr>
            </w:pPr>
            <w:r>
              <w:rPr>
                <w:noProof/>
              </w:rPr>
              <w:t>10 300</w:t>
            </w:r>
          </w:p>
        </w:tc>
        <w:tc>
          <w:tcPr>
            <w:tcW w:w="567" w:type="dxa"/>
            <w:shd w:val="clear" w:color="auto" w:fill="C4EFCE"/>
            <w:noWrap/>
            <w:vAlign w:val="center"/>
            <w:hideMark/>
          </w:tcPr>
          <w:p w14:paraId="32AC4E73" w14:textId="77777777" w:rsidR="00E040FD" w:rsidRDefault="00740D64">
            <w:pPr>
              <w:pStyle w:val="P68B1DB1-Normal8"/>
              <w:spacing w:after="0" w:line="240" w:lineRule="auto"/>
              <w:jc w:val="center"/>
              <w:rPr>
                <w:rFonts w:eastAsia="Times New Roman" w:cs="Calibri"/>
                <w:noProof/>
              </w:rPr>
            </w:pPr>
            <w:r>
              <w:rPr>
                <w:noProof/>
              </w:rPr>
              <w:t>KVARTAL 1</w:t>
            </w:r>
          </w:p>
        </w:tc>
        <w:tc>
          <w:tcPr>
            <w:tcW w:w="708" w:type="dxa"/>
            <w:shd w:val="clear" w:color="auto" w:fill="C4EFCE"/>
            <w:noWrap/>
            <w:vAlign w:val="center"/>
            <w:hideMark/>
          </w:tcPr>
          <w:p w14:paraId="174A4D7F" w14:textId="77777777" w:rsidR="00E040FD" w:rsidRDefault="00740D6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188BD210" w14:textId="77777777" w:rsidR="00E040FD" w:rsidRDefault="00740D64">
            <w:pPr>
              <w:pStyle w:val="P68B1DB1-Normal8"/>
              <w:spacing w:after="0" w:line="240" w:lineRule="auto"/>
              <w:jc w:val="both"/>
              <w:rPr>
                <w:rFonts w:eastAsia="Times New Roman" w:cs="Calibri"/>
                <w:noProof/>
              </w:rPr>
            </w:pPr>
            <w:r>
              <w:rPr>
                <w:noProof/>
              </w:rPr>
              <w:t xml:space="preserve">Område som berörs av införandet av effektivare distributionssystem, genom ersättning av kanaler med ledningar, förbättrat nätverkstryck, införande av system för fjärranalys och förbrukningskontroll, införande av läckagedetekteringssystem för gemensamma vattenbruksanläggningar och för installation av effektivare och mer övervakningsbara bevattningssystem i individuell bevattning. </w:t>
            </w:r>
          </w:p>
        </w:tc>
      </w:tr>
      <w:tr w:rsidR="00E040FD" w14:paraId="13208EC3" w14:textId="77777777">
        <w:trPr>
          <w:trHeight w:val="1251"/>
          <w:jc w:val="center"/>
        </w:trPr>
        <w:tc>
          <w:tcPr>
            <w:tcW w:w="1135" w:type="dxa"/>
            <w:shd w:val="clear" w:color="auto" w:fill="C5EFCE"/>
            <w:noWrap/>
            <w:vAlign w:val="center"/>
            <w:hideMark/>
          </w:tcPr>
          <w:p w14:paraId="5C18D42C" w14:textId="77777777" w:rsidR="00E040FD" w:rsidRDefault="00740D64">
            <w:pPr>
              <w:pStyle w:val="P68B1DB1-Normal7"/>
              <w:spacing w:after="0" w:line="240" w:lineRule="auto"/>
              <w:jc w:val="center"/>
              <w:rPr>
                <w:rFonts w:eastAsia="Times New Roman" w:cs="Calibri"/>
                <w:noProof/>
              </w:rPr>
            </w:pPr>
            <w:r>
              <w:rPr>
                <w:noProof/>
              </w:rPr>
              <w:t>9.4</w:t>
            </w:r>
          </w:p>
        </w:tc>
        <w:tc>
          <w:tcPr>
            <w:tcW w:w="1276" w:type="dxa"/>
            <w:shd w:val="clear" w:color="auto" w:fill="C4EFCE"/>
            <w:noWrap/>
            <w:vAlign w:val="center"/>
            <w:hideMark/>
          </w:tcPr>
          <w:p w14:paraId="3F908A5B" w14:textId="77777777" w:rsidR="00E040FD" w:rsidRDefault="00740D6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27188DE4"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4082C95" w14:textId="77777777" w:rsidR="00E040FD" w:rsidRDefault="00740D64">
            <w:pPr>
              <w:pStyle w:val="P68B1DB1-Normal8"/>
              <w:spacing w:after="0" w:line="240" w:lineRule="auto"/>
              <w:jc w:val="center"/>
              <w:rPr>
                <w:rFonts w:eastAsia="Times New Roman" w:cs="Calibri"/>
                <w:noProof/>
              </w:rPr>
            </w:pPr>
            <w:r>
              <w:rPr>
                <w:noProof/>
              </w:rPr>
              <w:t>Antal reningsverk för att säkerställa produktion och förfining av renat avloppsvatten (SM4)</w:t>
            </w:r>
          </w:p>
        </w:tc>
        <w:tc>
          <w:tcPr>
            <w:tcW w:w="1275" w:type="dxa"/>
            <w:shd w:val="clear" w:color="auto" w:fill="C4EFCE"/>
            <w:noWrap/>
            <w:vAlign w:val="center"/>
            <w:hideMark/>
          </w:tcPr>
          <w:p w14:paraId="78A33847" w14:textId="77777777" w:rsidR="00E040FD" w:rsidRDefault="00E040FD">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28B2E837"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72835986"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40E57D3" w14:textId="77777777" w:rsidR="00E040FD" w:rsidRDefault="00740D64">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254C1418" w14:textId="77777777" w:rsidR="00E040FD" w:rsidRDefault="00740D64">
            <w:pPr>
              <w:pStyle w:val="P68B1DB1-Normal8"/>
              <w:spacing w:after="0" w:line="240" w:lineRule="auto"/>
              <w:jc w:val="center"/>
              <w:rPr>
                <w:rFonts w:eastAsia="Times New Roman" w:cs="Calibri"/>
                <w:noProof/>
              </w:rPr>
            </w:pPr>
            <w:r>
              <w:rPr>
                <w:noProof/>
              </w:rPr>
              <w:t>KVARTAL 1</w:t>
            </w:r>
          </w:p>
        </w:tc>
        <w:tc>
          <w:tcPr>
            <w:tcW w:w="708" w:type="dxa"/>
            <w:shd w:val="clear" w:color="auto" w:fill="C4EFCE"/>
            <w:noWrap/>
            <w:vAlign w:val="center"/>
            <w:hideMark/>
          </w:tcPr>
          <w:p w14:paraId="72AB9968" w14:textId="77777777" w:rsidR="00E040FD" w:rsidRDefault="00740D6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3C292FEE" w14:textId="77777777" w:rsidR="00E040FD" w:rsidRDefault="00740D64">
            <w:pPr>
              <w:pStyle w:val="P68B1DB1-Normal8"/>
              <w:spacing w:after="0" w:line="240" w:lineRule="auto"/>
              <w:jc w:val="both"/>
              <w:rPr>
                <w:rFonts w:eastAsia="Times New Roman" w:cs="Calibri"/>
                <w:noProof/>
              </w:rPr>
            </w:pPr>
            <w:r>
              <w:rPr>
                <w:noProof/>
              </w:rPr>
              <w:t>Antal reningsverk som öppnats för att säkerställa produktionen av renat avloppsvatten som är färdigt för återanvändning</w:t>
            </w:r>
          </w:p>
        </w:tc>
      </w:tr>
      <w:tr w:rsidR="00E040FD" w14:paraId="4757E211" w14:textId="77777777">
        <w:trPr>
          <w:trHeight w:val="1050"/>
          <w:jc w:val="center"/>
        </w:trPr>
        <w:tc>
          <w:tcPr>
            <w:tcW w:w="1135" w:type="dxa"/>
            <w:shd w:val="clear" w:color="auto" w:fill="C4EFCE"/>
            <w:noWrap/>
            <w:vAlign w:val="center"/>
            <w:hideMark/>
          </w:tcPr>
          <w:p w14:paraId="63118563" w14:textId="77777777" w:rsidR="00E040FD" w:rsidRDefault="00740D64">
            <w:pPr>
              <w:pStyle w:val="P68B1DB1-Normal7"/>
              <w:spacing w:after="0" w:line="240" w:lineRule="auto"/>
              <w:jc w:val="center"/>
              <w:rPr>
                <w:rFonts w:eastAsia="Times New Roman" w:cs="Calibri"/>
                <w:noProof/>
              </w:rPr>
            </w:pPr>
            <w:r>
              <w:rPr>
                <w:noProof/>
              </w:rPr>
              <w:t>9.5</w:t>
            </w:r>
          </w:p>
        </w:tc>
        <w:tc>
          <w:tcPr>
            <w:tcW w:w="1276" w:type="dxa"/>
            <w:shd w:val="clear" w:color="auto" w:fill="C4EFCE"/>
            <w:noWrap/>
            <w:vAlign w:val="center"/>
            <w:hideMark/>
          </w:tcPr>
          <w:p w14:paraId="323709CC" w14:textId="77777777" w:rsidR="00E040FD" w:rsidRDefault="00740D6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047FA0FE"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2F4FE77F" w14:textId="77777777" w:rsidR="00E040FD" w:rsidRDefault="00740D64">
            <w:pPr>
              <w:pStyle w:val="P68B1DB1-Normal8"/>
              <w:spacing w:after="0" w:line="240" w:lineRule="auto"/>
              <w:jc w:val="center"/>
              <w:rPr>
                <w:rFonts w:eastAsia="Times New Roman" w:cs="Calibri"/>
                <w:noProof/>
              </w:rPr>
            </w:pPr>
            <w:r>
              <w:rPr>
                <w:noProof/>
              </w:rPr>
              <w:t>Antagande av en uppdaterad utformning (om så krävs) av åtgärden för uttag i Guadiana, med fullständig integrering av alla resultat och villkor från miljökonsekvensbedömningen (SM5).</w:t>
            </w:r>
          </w:p>
        </w:tc>
        <w:tc>
          <w:tcPr>
            <w:tcW w:w="1275" w:type="dxa"/>
            <w:shd w:val="clear" w:color="auto" w:fill="C4EFCE"/>
            <w:noWrap/>
            <w:vAlign w:val="center"/>
            <w:hideMark/>
          </w:tcPr>
          <w:p w14:paraId="2770C7F5" w14:textId="77777777" w:rsidR="00E040FD" w:rsidRDefault="00740D64">
            <w:pPr>
              <w:pStyle w:val="P68B1DB1-Normal8"/>
              <w:spacing w:after="0" w:line="240" w:lineRule="auto"/>
              <w:jc w:val="center"/>
              <w:rPr>
                <w:rFonts w:eastAsia="Times New Roman" w:cs="Calibri"/>
                <w:noProof/>
              </w:rPr>
            </w:pPr>
            <w:r>
              <w:rPr>
                <w:noProof/>
              </w:rPr>
              <w:t>Antagande av den uppdaterade utformningen (om så krävs)</w:t>
            </w:r>
          </w:p>
        </w:tc>
        <w:tc>
          <w:tcPr>
            <w:tcW w:w="993" w:type="dxa"/>
            <w:shd w:val="clear" w:color="auto" w:fill="C4EFCE"/>
            <w:noWrap/>
            <w:vAlign w:val="center"/>
            <w:hideMark/>
          </w:tcPr>
          <w:p w14:paraId="2CB3CD29" w14:textId="77777777" w:rsidR="00E040FD" w:rsidRDefault="00E040FD">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08D2587E" w14:textId="77777777" w:rsidR="00E040FD" w:rsidRDefault="00E040FD">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08998EE7" w14:textId="77777777" w:rsidR="00E040FD" w:rsidRDefault="00E040FD">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060BDF15" w14:textId="4D96C4DC"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1079CDB9" w14:textId="77777777"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73E76A50" w14:textId="77777777" w:rsidR="00E040FD" w:rsidRDefault="00740D64">
            <w:pPr>
              <w:pStyle w:val="P68B1DB1-Normal8"/>
              <w:spacing w:after="0" w:line="240" w:lineRule="auto"/>
              <w:jc w:val="both"/>
              <w:rPr>
                <w:rFonts w:eastAsia="Times New Roman" w:cs="Calibri"/>
                <w:noProof/>
              </w:rPr>
            </w:pPr>
            <w:r>
              <w:rPr>
                <w:noProof/>
              </w:rPr>
              <w:t xml:space="preserve">Antagande av en uppdaterad utformning av åtgärden (om så krävs), som fullt ut införlivar de nödvändiga resultaten och villkoren från miljökonsekvensbedömningen, som ska slutföras i enlighet med direktiv 2011/92/EU och direktiv 92/43/EEG, samt relevanta bedömningar inom ramen för direktiv 2000/60/EG, inbegripet genomförandet av nödvändiga riskreducerande åtgärder, för att säkerställa efterlevnad av den tekniska vägledningen om att inte orsaka betydande skada (2021/C58/01). </w:t>
            </w:r>
          </w:p>
          <w:p w14:paraId="3F1FF344" w14:textId="77777777" w:rsidR="00E040FD" w:rsidRDefault="00740D64">
            <w:pPr>
              <w:pStyle w:val="P68B1DB1-Normal8"/>
              <w:spacing w:after="0" w:line="240" w:lineRule="auto"/>
              <w:jc w:val="both"/>
              <w:rPr>
                <w:rFonts w:eastAsia="Times New Roman" w:cs="Calibri"/>
                <w:noProof/>
              </w:rPr>
            </w:pPr>
            <w:r>
              <w:rPr>
                <w:noProof/>
              </w:rPr>
              <w:t xml:space="preserve">Alla åtgärder som inom ramen för miljökonsekvensbedömningen och bedömningen enligt direktiv 2000/60/EG identifieras som nödvändiga för att säkerställa efterlevnad av principen om att inte orsaka betydande skada ska integreras i projektet och strikt följas under konstruktions-, drifts- och avvecklingsstadierna av infrastrukturen. </w:t>
            </w:r>
          </w:p>
          <w:p w14:paraId="2BD5E250" w14:textId="2C0B174C" w:rsidR="00E040FD" w:rsidRDefault="00740D64">
            <w:pPr>
              <w:pStyle w:val="P68B1DB1-Normal8"/>
              <w:spacing w:after="0" w:line="240" w:lineRule="auto"/>
              <w:jc w:val="both"/>
              <w:rPr>
                <w:rFonts w:eastAsia="Times New Roman" w:cs="Calibri"/>
                <w:noProof/>
              </w:rPr>
            </w:pPr>
            <w:r>
              <w:rPr>
                <w:noProof/>
              </w:rPr>
              <w:t>Om vatten tas ut ska ett relevant tillstånd beviljas av den berörda myndigheten, med angivande av villkoren för att undvika försämring och säkerställa att berörda vattenförekomster fortfarande har god ekologisk status, i enlighet med kraven i 2000/60/EG.</w:t>
            </w:r>
          </w:p>
        </w:tc>
      </w:tr>
      <w:tr w:rsidR="00E040FD" w14:paraId="192B3758" w14:textId="77777777">
        <w:trPr>
          <w:trHeight w:val="3160"/>
          <w:jc w:val="center"/>
        </w:trPr>
        <w:tc>
          <w:tcPr>
            <w:tcW w:w="1135" w:type="dxa"/>
            <w:shd w:val="clear" w:color="auto" w:fill="C4EFCE"/>
            <w:noWrap/>
            <w:vAlign w:val="center"/>
            <w:hideMark/>
          </w:tcPr>
          <w:p w14:paraId="2C0C5900" w14:textId="77777777" w:rsidR="00E040FD" w:rsidRDefault="00740D64">
            <w:pPr>
              <w:pStyle w:val="P68B1DB1-Normal7"/>
              <w:spacing w:after="0" w:line="240" w:lineRule="auto"/>
              <w:jc w:val="center"/>
              <w:rPr>
                <w:rFonts w:eastAsia="Times New Roman" w:cs="Calibri"/>
                <w:noProof/>
              </w:rPr>
            </w:pPr>
            <w:r>
              <w:rPr>
                <w:noProof/>
              </w:rPr>
              <w:t>9.6</w:t>
            </w:r>
          </w:p>
        </w:tc>
        <w:tc>
          <w:tcPr>
            <w:tcW w:w="1276" w:type="dxa"/>
            <w:shd w:val="clear" w:color="auto" w:fill="C4EFCE"/>
            <w:noWrap/>
            <w:vAlign w:val="center"/>
            <w:hideMark/>
          </w:tcPr>
          <w:p w14:paraId="70BF118A" w14:textId="77777777" w:rsidR="00E040FD" w:rsidRDefault="00740D6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D10D257"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9625382" w14:textId="77777777" w:rsidR="00E040FD" w:rsidRDefault="00740D64">
            <w:pPr>
              <w:pStyle w:val="P68B1DB1-Normal8"/>
              <w:spacing w:after="0" w:line="240" w:lineRule="auto"/>
              <w:jc w:val="center"/>
              <w:rPr>
                <w:rFonts w:eastAsia="Times New Roman" w:cs="Calibri"/>
                <w:noProof/>
              </w:rPr>
            </w:pPr>
            <w:r>
              <w:rPr>
                <w:noProof/>
              </w:rPr>
              <w:t>Idrifttagande av uttaget i Guadiana med full respekt för de resultat och villkor som fastställs i miljökonsekvensbedömningen (SM5)</w:t>
            </w:r>
          </w:p>
        </w:tc>
        <w:tc>
          <w:tcPr>
            <w:tcW w:w="1275" w:type="dxa"/>
            <w:shd w:val="clear" w:color="auto" w:fill="C4EFCE"/>
            <w:noWrap/>
            <w:vAlign w:val="center"/>
            <w:hideMark/>
          </w:tcPr>
          <w:p w14:paraId="0C2A7E77" w14:textId="77777777" w:rsidR="00E040FD" w:rsidRDefault="00740D64">
            <w:pPr>
              <w:pStyle w:val="P68B1DB1-Normal8"/>
              <w:spacing w:after="0" w:line="240" w:lineRule="auto"/>
              <w:jc w:val="center"/>
              <w:rPr>
                <w:rFonts w:eastAsia="Times New Roman" w:cs="Calibri"/>
                <w:noProof/>
              </w:rPr>
            </w:pPr>
            <w:r>
              <w:rPr>
                <w:noProof/>
              </w:rPr>
              <w:t>Idrifttagande av vattenuttaget</w:t>
            </w:r>
          </w:p>
        </w:tc>
        <w:tc>
          <w:tcPr>
            <w:tcW w:w="993" w:type="dxa"/>
            <w:shd w:val="clear" w:color="auto" w:fill="C4EFCE"/>
            <w:noWrap/>
            <w:vAlign w:val="center"/>
            <w:hideMark/>
          </w:tcPr>
          <w:p w14:paraId="554265B5" w14:textId="77777777" w:rsidR="00E040FD" w:rsidRDefault="00E040FD">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6F44BFB8" w14:textId="77777777" w:rsidR="00E040FD" w:rsidRDefault="00E040FD">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3B7BF66C" w14:textId="77777777" w:rsidR="00E040FD" w:rsidRDefault="00E040FD">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1DA95B63" w14:textId="40897D40"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0523A9C1" w14:textId="7596D464" w:rsidR="00E040FD" w:rsidRDefault="00740D6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4433FAD9" w14:textId="696B8034" w:rsidR="00E040FD" w:rsidRDefault="00740D64">
            <w:pPr>
              <w:pStyle w:val="P68B1DB1-Normal8"/>
              <w:spacing w:after="0" w:line="240" w:lineRule="auto"/>
              <w:jc w:val="both"/>
              <w:rPr>
                <w:rFonts w:eastAsia="Times New Roman" w:cs="Calibri"/>
                <w:noProof/>
              </w:rPr>
            </w:pPr>
            <w:r>
              <w:rPr>
                <w:noProof/>
              </w:rPr>
              <w:t xml:space="preserve">Idrifttagande av uttaget i Guadiana, med full respekt för resultatet av den miljökonsekvensbedömning som ska ha slutförts i enlighet med direktiv 2011/92/EU och direktiv 92/43/EEG, inbegripet genomförandet av nödvändiga riskreducerande åtgärder, för att säkerställa överensstämmelse med den tekniska vägledningen om att inte orsaka betydande skada (2021/C58/01). </w:t>
            </w:r>
          </w:p>
        </w:tc>
      </w:tr>
      <w:tr w:rsidR="00E040FD" w14:paraId="6F9F9602" w14:textId="77777777">
        <w:trPr>
          <w:trHeight w:val="2966"/>
          <w:jc w:val="center"/>
        </w:trPr>
        <w:tc>
          <w:tcPr>
            <w:tcW w:w="1135" w:type="dxa"/>
            <w:shd w:val="clear" w:color="auto" w:fill="C4EFCE"/>
            <w:noWrap/>
            <w:vAlign w:val="center"/>
            <w:hideMark/>
          </w:tcPr>
          <w:p w14:paraId="29F6DCA6" w14:textId="77777777" w:rsidR="00E040FD" w:rsidRDefault="00740D64">
            <w:pPr>
              <w:pStyle w:val="P68B1DB1-Normal7"/>
              <w:spacing w:after="0" w:line="240" w:lineRule="auto"/>
              <w:jc w:val="center"/>
              <w:rPr>
                <w:rFonts w:eastAsia="Times New Roman" w:cs="Calibri"/>
                <w:noProof/>
              </w:rPr>
            </w:pPr>
            <w:r>
              <w:rPr>
                <w:noProof/>
              </w:rPr>
              <w:t>9.7</w:t>
            </w:r>
          </w:p>
        </w:tc>
        <w:tc>
          <w:tcPr>
            <w:tcW w:w="1276" w:type="dxa"/>
            <w:shd w:val="clear" w:color="auto" w:fill="C4EFCE"/>
            <w:noWrap/>
            <w:vAlign w:val="center"/>
            <w:hideMark/>
          </w:tcPr>
          <w:p w14:paraId="7E7B9030" w14:textId="77777777" w:rsidR="00E040FD" w:rsidRDefault="00740D6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5577101"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6971F09" w14:textId="77777777" w:rsidR="00E040FD" w:rsidRDefault="00740D64">
            <w:pPr>
              <w:pStyle w:val="P68B1DB1-Normal8"/>
              <w:spacing w:after="0" w:line="240" w:lineRule="auto"/>
              <w:jc w:val="center"/>
              <w:rPr>
                <w:rFonts w:eastAsia="Times New Roman" w:cs="Calibri"/>
                <w:noProof/>
              </w:rPr>
            </w:pPr>
            <w:r>
              <w:rPr>
                <w:noProof/>
              </w:rPr>
              <w:t>Antagande av en uppdaterad utformning (om så krävs) av avsaltningsåtgärden, med fullständig integrering av alla resultat och villkor från miljökonsekvensbedömningen (SM6).</w:t>
            </w:r>
          </w:p>
        </w:tc>
        <w:tc>
          <w:tcPr>
            <w:tcW w:w="1275" w:type="dxa"/>
            <w:shd w:val="clear" w:color="auto" w:fill="C4EFCE"/>
            <w:noWrap/>
            <w:vAlign w:val="center"/>
            <w:hideMark/>
          </w:tcPr>
          <w:p w14:paraId="4E8E76C8" w14:textId="77777777" w:rsidR="00E040FD" w:rsidRDefault="00740D64">
            <w:pPr>
              <w:pStyle w:val="P68B1DB1-Normal8"/>
              <w:spacing w:after="0" w:line="240" w:lineRule="auto"/>
              <w:jc w:val="center"/>
              <w:rPr>
                <w:rFonts w:eastAsia="Times New Roman" w:cs="Calibri"/>
                <w:noProof/>
              </w:rPr>
            </w:pPr>
            <w:r>
              <w:rPr>
                <w:noProof/>
              </w:rPr>
              <w:t>Antagande av den uppdaterade utformningen (om så krävs)</w:t>
            </w:r>
          </w:p>
        </w:tc>
        <w:tc>
          <w:tcPr>
            <w:tcW w:w="993" w:type="dxa"/>
            <w:shd w:val="clear" w:color="auto" w:fill="C4EFCE"/>
            <w:noWrap/>
            <w:vAlign w:val="center"/>
            <w:hideMark/>
          </w:tcPr>
          <w:p w14:paraId="4A6FC0AE" w14:textId="77777777" w:rsidR="00E040FD" w:rsidRDefault="00E040FD">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3C3FADE0" w14:textId="77777777" w:rsidR="00E040FD" w:rsidRDefault="00E040FD">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71FE3BF8" w14:textId="77777777" w:rsidR="00E040FD" w:rsidRDefault="00E040FD">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414F91E1" w14:textId="365EFFDB"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249C3716" w14:textId="0AB69983"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17FA125F" w14:textId="77777777" w:rsidR="00E040FD" w:rsidRDefault="00740D64">
            <w:pPr>
              <w:pStyle w:val="P68B1DB1-Normal8"/>
              <w:spacing w:after="0" w:line="240" w:lineRule="auto"/>
              <w:jc w:val="both"/>
              <w:rPr>
                <w:rFonts w:eastAsia="Times New Roman" w:cs="Calibri"/>
                <w:noProof/>
              </w:rPr>
            </w:pPr>
            <w:r>
              <w:rPr>
                <w:noProof/>
              </w:rPr>
              <w:t>Antagande av en uppdaterad utformning av avsaltningsåtgärden (om så krävs), som fullt ut införlivar de nödvändiga resultaten och villkoren från miljökonsekvensbedömningen, som ska slutföras i enlighet med direktiv 2011/92/EU samt relevanta bedömningar inom ramen för direktiv 2000/60/EG, inbegripet genomförandet av nödvändiga riskreducerande åtgärder, för att säkerställa efterlevnad av den tekniska vägledningen om att inte orsaka betydande skada (2021/C58/01). Alla åtgärder som inom ramen för miljökonsekvensbedömningen och bedömningen enligt direktiv 2000/60/EG identifieras som nödvändiga för att säkerställa efterlevnad av principen om att inte orsaka betydande skada ska integreras i projektet och strikt följas under konstruktions-, drifts- och avvecklingsstadierna av infrastrukturen.</w:t>
            </w:r>
          </w:p>
        </w:tc>
      </w:tr>
      <w:tr w:rsidR="00E040FD" w14:paraId="3DA4741E" w14:textId="77777777">
        <w:trPr>
          <w:trHeight w:val="1250"/>
          <w:jc w:val="center"/>
        </w:trPr>
        <w:tc>
          <w:tcPr>
            <w:tcW w:w="1135" w:type="dxa"/>
            <w:shd w:val="clear" w:color="auto" w:fill="C4EFCE"/>
            <w:noWrap/>
            <w:vAlign w:val="center"/>
            <w:hideMark/>
          </w:tcPr>
          <w:p w14:paraId="584AC037" w14:textId="77777777" w:rsidR="00E040FD" w:rsidRDefault="00740D64">
            <w:pPr>
              <w:pStyle w:val="P68B1DB1-Normal7"/>
              <w:spacing w:after="0" w:line="240" w:lineRule="auto"/>
              <w:jc w:val="center"/>
              <w:rPr>
                <w:rFonts w:eastAsia="Times New Roman" w:cs="Calibri"/>
                <w:noProof/>
              </w:rPr>
            </w:pPr>
            <w:r>
              <w:rPr>
                <w:noProof/>
              </w:rPr>
              <w:t>9.8</w:t>
            </w:r>
          </w:p>
        </w:tc>
        <w:tc>
          <w:tcPr>
            <w:tcW w:w="1276" w:type="dxa"/>
            <w:shd w:val="clear" w:color="auto" w:fill="C4EFCE"/>
            <w:noWrap/>
            <w:vAlign w:val="center"/>
            <w:hideMark/>
          </w:tcPr>
          <w:p w14:paraId="46BCD0A0" w14:textId="77777777" w:rsidR="00E040FD" w:rsidRDefault="00740D6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549C7160"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0B65542" w14:textId="758A5464" w:rsidR="00E040FD" w:rsidRDefault="00740D64">
            <w:pPr>
              <w:pStyle w:val="P68B1DB1-Normal8"/>
              <w:spacing w:after="0" w:line="240" w:lineRule="auto"/>
              <w:jc w:val="center"/>
              <w:rPr>
                <w:rFonts w:eastAsia="Times New Roman" w:cs="Calibri"/>
                <w:noProof/>
              </w:rPr>
            </w:pPr>
            <w:r>
              <w:rPr>
                <w:noProof/>
              </w:rPr>
              <w:t>Införande av avsaltningsåtgärden, med full respekt för de resultat och villkor som fastställs i miljökonsekvensbedömningen (SM6).</w:t>
            </w:r>
          </w:p>
        </w:tc>
        <w:tc>
          <w:tcPr>
            <w:tcW w:w="1275" w:type="dxa"/>
            <w:shd w:val="clear" w:color="auto" w:fill="C4EFCE"/>
            <w:noWrap/>
            <w:vAlign w:val="center"/>
            <w:hideMark/>
          </w:tcPr>
          <w:p w14:paraId="3DF16F3D" w14:textId="77777777" w:rsidR="00E040FD" w:rsidRDefault="00740D64">
            <w:pPr>
              <w:pStyle w:val="P68B1DB1-Normal8"/>
              <w:spacing w:after="0" w:line="240" w:lineRule="auto"/>
              <w:jc w:val="center"/>
              <w:rPr>
                <w:rFonts w:eastAsia="Times New Roman" w:cs="Calibri"/>
                <w:noProof/>
              </w:rPr>
            </w:pPr>
            <w:r>
              <w:rPr>
                <w:noProof/>
              </w:rPr>
              <w:t>Avsaltningsapparaten tas i drift</w:t>
            </w:r>
          </w:p>
        </w:tc>
        <w:tc>
          <w:tcPr>
            <w:tcW w:w="993" w:type="dxa"/>
            <w:shd w:val="clear" w:color="auto" w:fill="C4EFCE"/>
            <w:noWrap/>
            <w:vAlign w:val="center"/>
            <w:hideMark/>
          </w:tcPr>
          <w:p w14:paraId="72453BB8" w14:textId="77777777" w:rsidR="00E040FD" w:rsidRDefault="00E040FD">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6510E366" w14:textId="77777777" w:rsidR="00E040FD" w:rsidRDefault="00E040FD">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53F0AD13" w14:textId="77777777" w:rsidR="00E040FD" w:rsidRDefault="00E040FD">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532C96C1" w14:textId="77777777" w:rsidR="00E040FD" w:rsidRDefault="00740D64">
            <w:pPr>
              <w:pStyle w:val="P68B1DB1-Normal8"/>
              <w:spacing w:after="0" w:line="240" w:lineRule="auto"/>
              <w:jc w:val="center"/>
              <w:rPr>
                <w:rFonts w:eastAsia="Times New Roman" w:cs="Calibri"/>
                <w:noProof/>
              </w:rPr>
            </w:pPr>
            <w:r>
              <w:rPr>
                <w:noProof/>
              </w:rPr>
              <w:t>KVARTAL 1</w:t>
            </w:r>
          </w:p>
        </w:tc>
        <w:tc>
          <w:tcPr>
            <w:tcW w:w="708" w:type="dxa"/>
            <w:shd w:val="clear" w:color="auto" w:fill="C4EFCE"/>
            <w:noWrap/>
            <w:vAlign w:val="center"/>
            <w:hideMark/>
          </w:tcPr>
          <w:p w14:paraId="70A056AF" w14:textId="77777777" w:rsidR="00E040FD" w:rsidRDefault="00740D6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522A58FB" w14:textId="77777777" w:rsidR="00E040FD" w:rsidRDefault="00740D64">
            <w:pPr>
              <w:pStyle w:val="P68B1DB1-Normal8"/>
              <w:spacing w:after="0" w:line="240" w:lineRule="auto"/>
              <w:jc w:val="both"/>
              <w:rPr>
                <w:rFonts w:eastAsia="Times New Roman" w:cs="Calibri"/>
                <w:noProof/>
              </w:rPr>
            </w:pPr>
            <w:r>
              <w:rPr>
                <w:noProof/>
              </w:rPr>
              <w:t xml:space="preserve">Idrifttagande av avsaldaren, med full respekt för resultatet av miljökonsekvensbedömningen som ska ha slutförts i enlighet med direktiv 2011/92/EU, inbegripet genomförandet av nödvändiga riskreducerande åtgärder, för att säkerställa överensstämmelse med den tekniska vägledningen om att inte orsaka betydande skada (2021/C58/01). </w:t>
            </w:r>
          </w:p>
        </w:tc>
      </w:tr>
      <w:tr w:rsidR="00E040FD" w14:paraId="0EE35F32" w14:textId="77777777">
        <w:trPr>
          <w:trHeight w:val="1260"/>
          <w:jc w:val="center"/>
        </w:trPr>
        <w:tc>
          <w:tcPr>
            <w:tcW w:w="1135" w:type="dxa"/>
            <w:shd w:val="clear" w:color="auto" w:fill="C4EFCE"/>
            <w:noWrap/>
            <w:vAlign w:val="center"/>
            <w:hideMark/>
          </w:tcPr>
          <w:p w14:paraId="6907820E" w14:textId="77777777" w:rsidR="00E040FD" w:rsidRDefault="00740D64">
            <w:pPr>
              <w:pStyle w:val="P68B1DB1-Normal7"/>
              <w:spacing w:after="0" w:line="240" w:lineRule="auto"/>
              <w:jc w:val="center"/>
              <w:rPr>
                <w:rFonts w:eastAsia="Times New Roman" w:cs="Calibri"/>
                <w:noProof/>
              </w:rPr>
            </w:pPr>
            <w:r>
              <w:rPr>
                <w:noProof/>
              </w:rPr>
              <w:t>9.9</w:t>
            </w:r>
          </w:p>
        </w:tc>
        <w:tc>
          <w:tcPr>
            <w:tcW w:w="1276" w:type="dxa"/>
            <w:shd w:val="clear" w:color="auto" w:fill="C4EFCE"/>
            <w:noWrap/>
            <w:vAlign w:val="center"/>
            <w:hideMark/>
          </w:tcPr>
          <w:p w14:paraId="60154726" w14:textId="77777777" w:rsidR="00E040FD" w:rsidRDefault="00740D64">
            <w:pPr>
              <w:pStyle w:val="P68B1DB1-Normal8"/>
              <w:spacing w:after="0" w:line="240" w:lineRule="auto"/>
              <w:jc w:val="center"/>
              <w:rPr>
                <w:rFonts w:eastAsia="Times New Roman" w:cs="Calibri"/>
                <w:noProof/>
              </w:rPr>
            </w:pPr>
            <w:r>
              <w:rPr>
                <w:noProof/>
              </w:rPr>
              <w:t>RE-C09-i02</w:t>
            </w:r>
          </w:p>
        </w:tc>
        <w:tc>
          <w:tcPr>
            <w:tcW w:w="1134" w:type="dxa"/>
            <w:shd w:val="clear" w:color="auto" w:fill="C4EFCE"/>
            <w:noWrap/>
            <w:vAlign w:val="center"/>
            <w:hideMark/>
          </w:tcPr>
          <w:p w14:paraId="2B576482"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2B791B0" w14:textId="77777777" w:rsidR="00E040FD" w:rsidRDefault="00740D64">
            <w:pPr>
              <w:pStyle w:val="P68B1DB1-Normal8"/>
              <w:spacing w:after="0" w:line="240" w:lineRule="auto"/>
              <w:jc w:val="center"/>
              <w:rPr>
                <w:rFonts w:eastAsia="Times New Roman" w:cs="Calibri"/>
                <w:noProof/>
              </w:rPr>
            </w:pPr>
            <w:r>
              <w:rPr>
                <w:noProof/>
              </w:rPr>
              <w:t xml:space="preserve">Offentliggörande av planeringsdokumentationen för åtgärden, med fullständiga uppgifter om alla resultat och villkor från miljökonsekvensbedömningen. </w:t>
            </w:r>
          </w:p>
        </w:tc>
        <w:tc>
          <w:tcPr>
            <w:tcW w:w="1275" w:type="dxa"/>
            <w:shd w:val="clear" w:color="auto" w:fill="C4EFCE"/>
            <w:noWrap/>
            <w:vAlign w:val="center"/>
            <w:hideMark/>
          </w:tcPr>
          <w:p w14:paraId="675CEB32" w14:textId="77777777" w:rsidR="00E040FD" w:rsidRDefault="00740D64">
            <w:pPr>
              <w:pStyle w:val="P68B1DB1-Normal8"/>
              <w:spacing w:after="0" w:line="240" w:lineRule="auto"/>
              <w:jc w:val="center"/>
              <w:rPr>
                <w:rFonts w:eastAsia="Times New Roman" w:cs="Calibri"/>
                <w:noProof/>
              </w:rPr>
            </w:pPr>
            <w:r>
              <w:rPr>
                <w:noProof/>
              </w:rPr>
              <w:t>Offentliggörande av planeringsdokumentationen för åtgärden, med fullständiga uppgifter om alla resultat och villkor från miljökonsekvensbedömningen.</w:t>
            </w:r>
          </w:p>
        </w:tc>
        <w:tc>
          <w:tcPr>
            <w:tcW w:w="993" w:type="dxa"/>
            <w:shd w:val="clear" w:color="auto" w:fill="C4EFCE"/>
            <w:noWrap/>
            <w:vAlign w:val="center"/>
            <w:hideMark/>
          </w:tcPr>
          <w:p w14:paraId="72B7CA55" w14:textId="77777777" w:rsidR="00E040FD" w:rsidRDefault="00E040FD">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0FDA11AC" w14:textId="77777777" w:rsidR="00E040FD" w:rsidRDefault="00E040FD">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3BE4B173" w14:textId="77777777" w:rsidR="00E040FD" w:rsidRDefault="00E040FD">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4F786AEF" w14:textId="77777777" w:rsidR="00E040FD" w:rsidRDefault="00740D64">
            <w:pPr>
              <w:pStyle w:val="P68B1DB1-Normal8"/>
              <w:spacing w:after="0" w:line="240" w:lineRule="auto"/>
              <w:jc w:val="center"/>
              <w:rPr>
                <w:rFonts w:eastAsia="Times New Roman" w:cs="Calibri"/>
                <w:noProof/>
              </w:rPr>
            </w:pPr>
            <w:r>
              <w:rPr>
                <w:noProof/>
              </w:rPr>
              <w:t>KVARTAL 1</w:t>
            </w:r>
          </w:p>
        </w:tc>
        <w:tc>
          <w:tcPr>
            <w:tcW w:w="708" w:type="dxa"/>
            <w:shd w:val="clear" w:color="auto" w:fill="C4EFCE"/>
            <w:noWrap/>
            <w:vAlign w:val="center"/>
            <w:hideMark/>
          </w:tcPr>
          <w:p w14:paraId="59AB2AB7" w14:textId="77777777" w:rsidR="00E040FD" w:rsidRDefault="00740D6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8FDFB3C" w14:textId="77777777" w:rsidR="00E040FD" w:rsidRDefault="00740D64">
            <w:pPr>
              <w:pStyle w:val="P68B1DB1-Normal8"/>
              <w:spacing w:after="0" w:line="240" w:lineRule="auto"/>
              <w:jc w:val="both"/>
              <w:rPr>
                <w:rFonts w:eastAsia="Times New Roman" w:cs="Calibri"/>
                <w:noProof/>
              </w:rPr>
            </w:pPr>
            <w:r>
              <w:rPr>
                <w:noProof/>
              </w:rPr>
              <w:t xml:space="preserve">Villkorad av en positiv miljökonsekvensbedömning som till fullo och i sak uppfyller de rättsliga kriterierna, offentliggörande av planeringsdokumentationen för åtgärden, med fullständig integrering av alla resultat och villkor från miljökonsekvensbedömningen om detta krävs för att uppfylla kraven i den tekniska vägledningen om att inte orsaka betydande skada (2021/C58/01). Miljökonsekvensbedömningen offentliggörs och slutförs i enlighet med direktiv 2011/92/EU samt relevanta bedömningar inom ramen för direktiv 2000/60/EG, inbegripet genomförandet av nödvändiga begränsningsåtgärder. </w:t>
            </w:r>
          </w:p>
          <w:p w14:paraId="16928ACC" w14:textId="62802450" w:rsidR="00E040FD" w:rsidRDefault="00740D64">
            <w:pPr>
              <w:pStyle w:val="P68B1DB1-Normal8"/>
              <w:spacing w:after="0" w:line="240" w:lineRule="auto"/>
              <w:jc w:val="both"/>
              <w:rPr>
                <w:rFonts w:eastAsia="Times New Roman" w:cs="Calibri"/>
                <w:noProof/>
              </w:rPr>
            </w:pPr>
            <w:r>
              <w:rPr>
                <w:noProof/>
              </w:rPr>
              <w:t>Alla åtgärder som inom ramen för miljökonsekvensbedömningen och bedömningen enligt direktiv 2000/60/EG identifieras som nödvändiga för att säkerställa efterlevnad av den tekniska vägledningen om att inte orsaka betydande skada (2021/C58/01) ska integreras i projektet och uppfyllas under konstruktions-, drifts- och avvecklingsstadierna av infrastrukturen.</w:t>
            </w:r>
          </w:p>
        </w:tc>
      </w:tr>
      <w:tr w:rsidR="00E040FD" w14:paraId="6E7029E4" w14:textId="77777777">
        <w:trPr>
          <w:trHeight w:val="850"/>
          <w:jc w:val="center"/>
        </w:trPr>
        <w:tc>
          <w:tcPr>
            <w:tcW w:w="1135" w:type="dxa"/>
            <w:shd w:val="clear" w:color="auto" w:fill="C4EFCE"/>
            <w:noWrap/>
            <w:vAlign w:val="center"/>
            <w:hideMark/>
          </w:tcPr>
          <w:p w14:paraId="7DFAB53A" w14:textId="77777777" w:rsidR="00E040FD" w:rsidRDefault="00740D64">
            <w:pPr>
              <w:pStyle w:val="P68B1DB1-Normal7"/>
              <w:spacing w:after="0" w:line="240" w:lineRule="auto"/>
              <w:jc w:val="center"/>
              <w:rPr>
                <w:rFonts w:eastAsia="Times New Roman" w:cs="Calibri"/>
                <w:noProof/>
              </w:rPr>
            </w:pPr>
            <w:r>
              <w:rPr>
                <w:noProof/>
              </w:rPr>
              <w:t>9.12</w:t>
            </w:r>
          </w:p>
        </w:tc>
        <w:tc>
          <w:tcPr>
            <w:tcW w:w="1276" w:type="dxa"/>
            <w:shd w:val="clear" w:color="auto" w:fill="C4EFCE"/>
            <w:noWrap/>
            <w:vAlign w:val="center"/>
            <w:hideMark/>
          </w:tcPr>
          <w:p w14:paraId="16076ED4" w14:textId="77777777" w:rsidR="00E040FD" w:rsidRDefault="00740D64">
            <w:pPr>
              <w:pStyle w:val="P68B1DB1-Normal8"/>
              <w:spacing w:after="0" w:line="240" w:lineRule="auto"/>
              <w:jc w:val="center"/>
              <w:rPr>
                <w:rFonts w:eastAsia="Times New Roman" w:cs="Calibri"/>
                <w:noProof/>
              </w:rPr>
            </w:pPr>
            <w:r>
              <w:rPr>
                <w:noProof/>
              </w:rPr>
              <w:t>RE-C09-i03-RAM</w:t>
            </w:r>
          </w:p>
        </w:tc>
        <w:tc>
          <w:tcPr>
            <w:tcW w:w="1134" w:type="dxa"/>
            <w:shd w:val="clear" w:color="auto" w:fill="C4EFCE"/>
            <w:noWrap/>
            <w:vAlign w:val="center"/>
            <w:hideMark/>
          </w:tcPr>
          <w:p w14:paraId="36337F20"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0A0CCBB" w14:textId="77777777" w:rsidR="00E040FD" w:rsidRDefault="00740D64">
            <w:pPr>
              <w:pStyle w:val="P68B1DB1-Normal8"/>
              <w:spacing w:after="0" w:line="240" w:lineRule="auto"/>
              <w:jc w:val="center"/>
              <w:rPr>
                <w:rFonts w:eastAsia="Times New Roman" w:cs="Calibri"/>
                <w:noProof/>
              </w:rPr>
            </w:pPr>
            <w:r>
              <w:rPr>
                <w:noProof/>
              </w:rPr>
              <w:t>Ytterligare km ledningar som renoverats eller renoverats</w:t>
            </w:r>
          </w:p>
        </w:tc>
        <w:tc>
          <w:tcPr>
            <w:tcW w:w="1275" w:type="dxa"/>
            <w:shd w:val="clear" w:color="auto" w:fill="C4EFCE"/>
            <w:noWrap/>
            <w:vAlign w:val="center"/>
            <w:hideMark/>
          </w:tcPr>
          <w:p w14:paraId="63DB2787" w14:textId="77777777" w:rsidR="00E040FD" w:rsidRDefault="00E040FD">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69886126" w14:textId="77777777" w:rsidR="00E040FD" w:rsidRDefault="00740D64">
            <w:pPr>
              <w:pStyle w:val="P68B1DB1-Normal8"/>
              <w:spacing w:after="0" w:line="240" w:lineRule="auto"/>
              <w:jc w:val="center"/>
              <w:rPr>
                <w:rFonts w:eastAsia="Times New Roman" w:cs="Calibri"/>
                <w:noProof/>
              </w:rPr>
            </w:pPr>
            <w:r>
              <w:rPr>
                <w:noProof/>
              </w:rPr>
              <w:t>km</w:t>
            </w:r>
          </w:p>
        </w:tc>
        <w:tc>
          <w:tcPr>
            <w:tcW w:w="992" w:type="dxa"/>
            <w:shd w:val="clear" w:color="auto" w:fill="C4EFCE"/>
            <w:noWrap/>
            <w:vAlign w:val="center"/>
            <w:hideMark/>
          </w:tcPr>
          <w:p w14:paraId="3003D95B"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EB636C7" w14:textId="77777777" w:rsidR="00E040FD" w:rsidRDefault="00740D64">
            <w:pPr>
              <w:pStyle w:val="P68B1DB1-Normal8"/>
              <w:spacing w:after="0" w:line="240" w:lineRule="auto"/>
              <w:jc w:val="center"/>
              <w:rPr>
                <w:rFonts w:eastAsia="Times New Roman" w:cs="Calibri"/>
                <w:noProof/>
              </w:rPr>
            </w:pPr>
            <w:r>
              <w:rPr>
                <w:noProof/>
              </w:rPr>
              <w:t>53</w:t>
            </w:r>
          </w:p>
        </w:tc>
        <w:tc>
          <w:tcPr>
            <w:tcW w:w="567" w:type="dxa"/>
            <w:shd w:val="clear" w:color="auto" w:fill="C4EFCE"/>
            <w:noWrap/>
            <w:vAlign w:val="center"/>
            <w:hideMark/>
          </w:tcPr>
          <w:p w14:paraId="4F60250B" w14:textId="3336C189"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3679EC0A" w14:textId="68FE60DD"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E611BB0" w14:textId="096EC16F" w:rsidR="00E040FD" w:rsidRDefault="00740D64">
            <w:pPr>
              <w:pStyle w:val="P68B1DB1-Normal8"/>
              <w:spacing w:after="0" w:line="240" w:lineRule="auto"/>
              <w:jc w:val="both"/>
              <w:rPr>
                <w:rFonts w:eastAsia="Times New Roman" w:cs="Calibri"/>
                <w:noProof/>
              </w:rPr>
            </w:pPr>
            <w:r>
              <w:rPr>
                <w:noProof/>
              </w:rPr>
              <w:t>Längd, i km, på vattenledningar som byggts, renoverats eller renoverats</w:t>
            </w:r>
          </w:p>
        </w:tc>
      </w:tr>
      <w:tr w:rsidR="00E040FD" w14:paraId="31E82792" w14:textId="77777777">
        <w:trPr>
          <w:trHeight w:val="2110"/>
          <w:jc w:val="center"/>
        </w:trPr>
        <w:tc>
          <w:tcPr>
            <w:tcW w:w="1135" w:type="dxa"/>
            <w:shd w:val="clear" w:color="auto" w:fill="C4EFCE"/>
            <w:noWrap/>
            <w:vAlign w:val="center"/>
            <w:hideMark/>
          </w:tcPr>
          <w:p w14:paraId="600412E0" w14:textId="77777777" w:rsidR="00E040FD" w:rsidRDefault="00740D64">
            <w:pPr>
              <w:pStyle w:val="P68B1DB1-Normal7"/>
              <w:spacing w:after="0" w:line="240" w:lineRule="auto"/>
              <w:jc w:val="center"/>
              <w:rPr>
                <w:rFonts w:eastAsia="Times New Roman" w:cs="Calibri"/>
                <w:noProof/>
              </w:rPr>
            </w:pPr>
            <w:r>
              <w:rPr>
                <w:noProof/>
              </w:rPr>
              <w:t>9.13</w:t>
            </w:r>
          </w:p>
        </w:tc>
        <w:tc>
          <w:tcPr>
            <w:tcW w:w="1276" w:type="dxa"/>
            <w:shd w:val="clear" w:color="auto" w:fill="C4EFCE"/>
            <w:noWrap/>
            <w:vAlign w:val="center"/>
            <w:hideMark/>
          </w:tcPr>
          <w:p w14:paraId="17550FBE" w14:textId="77777777" w:rsidR="00E040FD" w:rsidRDefault="00740D64">
            <w:pPr>
              <w:pStyle w:val="P68B1DB1-Normal8"/>
              <w:spacing w:after="0" w:line="240" w:lineRule="auto"/>
              <w:jc w:val="center"/>
              <w:rPr>
                <w:rFonts w:eastAsia="Times New Roman" w:cs="Calibri"/>
                <w:noProof/>
              </w:rPr>
            </w:pPr>
            <w:r>
              <w:rPr>
                <w:noProof/>
              </w:rPr>
              <w:t>RE-C09-i03-RAM</w:t>
            </w:r>
          </w:p>
        </w:tc>
        <w:tc>
          <w:tcPr>
            <w:tcW w:w="1134" w:type="dxa"/>
            <w:shd w:val="clear" w:color="auto" w:fill="C4EFCE"/>
            <w:noWrap/>
            <w:vAlign w:val="center"/>
            <w:hideMark/>
          </w:tcPr>
          <w:p w14:paraId="3549A2DF"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4FA1D5A" w14:textId="77777777" w:rsidR="00E040FD" w:rsidRDefault="00740D64">
            <w:pPr>
              <w:pStyle w:val="P68B1DB1-Normal8"/>
              <w:spacing w:after="0" w:line="240" w:lineRule="auto"/>
              <w:jc w:val="center"/>
              <w:rPr>
                <w:rFonts w:eastAsia="Times New Roman" w:cs="Calibri"/>
                <w:noProof/>
              </w:rPr>
            </w:pPr>
            <w:r>
              <w:rPr>
                <w:noProof/>
              </w:rPr>
              <w:t>Ytterligare vattenvolym som görs tillgänglig på den södra delen av ön Madeira för offentlig försörjning och bevattning</w:t>
            </w:r>
          </w:p>
        </w:tc>
        <w:tc>
          <w:tcPr>
            <w:tcW w:w="1275" w:type="dxa"/>
            <w:shd w:val="clear" w:color="auto" w:fill="C4EFCE"/>
            <w:noWrap/>
            <w:vAlign w:val="center"/>
            <w:hideMark/>
          </w:tcPr>
          <w:p w14:paraId="6A44E574" w14:textId="77777777" w:rsidR="00E040FD" w:rsidRDefault="00E040FD">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70237239" w14:textId="77777777" w:rsidR="00E040FD" w:rsidRDefault="00740D64">
            <w:pPr>
              <w:pStyle w:val="P68B1DB1-Normal8"/>
              <w:spacing w:after="0" w:line="240" w:lineRule="auto"/>
              <w:jc w:val="center"/>
              <w:rPr>
                <w:rFonts w:eastAsia="Times New Roman" w:cs="Calibri"/>
                <w:noProof/>
              </w:rPr>
            </w:pPr>
            <w:r>
              <w:rPr>
                <w:noProof/>
              </w:rPr>
              <w:t>hm3</w:t>
            </w:r>
          </w:p>
        </w:tc>
        <w:tc>
          <w:tcPr>
            <w:tcW w:w="992" w:type="dxa"/>
            <w:shd w:val="clear" w:color="auto" w:fill="C4EFCE"/>
            <w:noWrap/>
            <w:vAlign w:val="center"/>
            <w:hideMark/>
          </w:tcPr>
          <w:p w14:paraId="1AE1E1CE" w14:textId="77777777" w:rsidR="00E040FD" w:rsidRDefault="00740D64">
            <w:pPr>
              <w:pStyle w:val="P68B1DB1-Normal8"/>
              <w:spacing w:after="0" w:line="240" w:lineRule="auto"/>
              <w:jc w:val="center"/>
              <w:rPr>
                <w:rFonts w:eastAsia="Times New Roman" w:cs="Calibri"/>
                <w:noProof/>
              </w:rPr>
            </w:pPr>
            <w:r>
              <w:rPr>
                <w:noProof/>
              </w:rPr>
              <w:t>INGA</w:t>
            </w:r>
          </w:p>
        </w:tc>
        <w:tc>
          <w:tcPr>
            <w:tcW w:w="709" w:type="dxa"/>
            <w:shd w:val="clear" w:color="auto" w:fill="C4EFCE"/>
            <w:noWrap/>
            <w:vAlign w:val="center"/>
            <w:hideMark/>
          </w:tcPr>
          <w:p w14:paraId="66A0614B" w14:textId="77777777" w:rsidR="00E040FD" w:rsidRDefault="00740D64">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31C162B3"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62F42872"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BC078D4" w14:textId="77777777" w:rsidR="00E040FD" w:rsidRDefault="00740D64">
            <w:pPr>
              <w:pStyle w:val="P68B1DB1-Normal8"/>
              <w:spacing w:after="0" w:line="240" w:lineRule="auto"/>
              <w:jc w:val="both"/>
              <w:rPr>
                <w:rFonts w:eastAsia="Times New Roman" w:cs="Calibri"/>
                <w:noProof/>
              </w:rPr>
            </w:pPr>
            <w:r>
              <w:rPr>
                <w:noProof/>
              </w:rPr>
              <w:t>Ytterligare vattenvolym som görs tillgänglig för allmän försörjning och bevattning. detta ska uppnås genom förstärkning, renovering, ombyggnad och byggande av nya rörledningar, kanaler, dammar och reservoarer.</w:t>
            </w:r>
          </w:p>
        </w:tc>
      </w:tr>
    </w:tbl>
    <w:p w14:paraId="5E4AB6BD" w14:textId="77777777" w:rsidR="00E040FD" w:rsidRDefault="00E040FD">
      <w:pPr>
        <w:keepNext/>
        <w:spacing w:before="40" w:after="0" w:line="259" w:lineRule="auto"/>
        <w:jc w:val="both"/>
        <w:rPr>
          <w:rFonts w:ascii="Times New Roman" w:eastAsiaTheme="minorEastAsia" w:hAnsi="Times New Roman" w:cs="Times New Roman"/>
          <w:noProof/>
          <w:sz w:val="24"/>
        </w:rPr>
        <w:sectPr w:rsidR="00E040FD" w:rsidSect="00E00EDD">
          <w:headerReference w:type="even" r:id="rId186"/>
          <w:headerReference w:type="default" r:id="rId187"/>
          <w:footerReference w:type="even" r:id="rId188"/>
          <w:footerReference w:type="default" r:id="rId189"/>
          <w:headerReference w:type="first" r:id="rId190"/>
          <w:footerReference w:type="first" r:id="rId191"/>
          <w:pgSz w:w="16839" w:h="11907" w:orient="landscape"/>
          <w:pgMar w:top="1134" w:right="1134" w:bottom="1134" w:left="1134" w:header="567" w:footer="567" w:gutter="0"/>
          <w:cols w:space="720"/>
          <w:docGrid w:linePitch="360"/>
        </w:sectPr>
      </w:pPr>
    </w:p>
    <w:p w14:paraId="49EFEC21"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45C8B58D" w14:textId="293E2C82" w:rsidR="00E040FD" w:rsidRDefault="00740D64">
      <w:pPr>
        <w:pStyle w:val="P68B1DB1-Normal3"/>
        <w:spacing w:before="40" w:after="0" w:line="259" w:lineRule="auto"/>
        <w:ind w:left="130" w:firstLine="720"/>
        <w:jc w:val="both"/>
        <w:outlineLvl w:val="2"/>
        <w:rPr>
          <w:rFonts w:eastAsiaTheme="minorEastAsia" w:cs="Times New Roman"/>
          <w:noProof/>
        </w:rPr>
      </w:pPr>
      <w:r>
        <w:rPr>
          <w:noProof/>
        </w:rPr>
        <w:t xml:space="preserve">I.3 </w:t>
      </w:r>
      <w:r>
        <w:rPr>
          <w:noProof/>
        </w:rPr>
        <w:tab/>
        <w:t xml:space="preserve">Beskrivning av reformerna och investeringarna för lånet </w:t>
      </w:r>
    </w:p>
    <w:p w14:paraId="39E334BC" w14:textId="43A46B43"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 RE-C09-i04: Hydrauliskt multifunktionellt företag i Crato, byggfas</w:t>
      </w:r>
    </w:p>
    <w:p w14:paraId="55CAA73A" w14:textId="74061741" w:rsidR="00E040FD" w:rsidRDefault="00740D64">
      <w:pPr>
        <w:pStyle w:val="P68B1DB1-Normal4"/>
        <w:keepNext/>
        <w:spacing w:before="40" w:after="0" w:line="259" w:lineRule="auto"/>
        <w:jc w:val="both"/>
        <w:outlineLvl w:val="2"/>
        <w:rPr>
          <w:rFonts w:eastAsia="Times New Roman" w:cs="Times New Roman"/>
          <w:noProof/>
        </w:rPr>
      </w:pPr>
      <w:r>
        <w:rPr>
          <w:noProof/>
        </w:rPr>
        <w:t xml:space="preserve">Denna investering avser det projekt som beskrivs under investering RE-C09 – i02, det hydrauliska multifunktionella företaget i Crato, planeringsfasen. Denna investering ska omfatta antagandet av den uppdaterade utformningen av dammen (DCAPE) och idrifttagandet av dammen. </w:t>
      </w:r>
    </w:p>
    <w:p w14:paraId="0F013EA5" w14:textId="5E42A201" w:rsidR="00E040FD" w:rsidRDefault="00740D64">
      <w:pPr>
        <w:pStyle w:val="P68B1DB1-Normal4"/>
        <w:keepNext/>
        <w:spacing w:before="40" w:after="0" w:line="259" w:lineRule="auto"/>
        <w:jc w:val="both"/>
        <w:outlineLvl w:val="2"/>
        <w:rPr>
          <w:rFonts w:eastAsia="Times New Roman" w:cs="Times New Roman"/>
          <w:noProof/>
        </w:rPr>
      </w:pPr>
      <w:r>
        <w:rPr>
          <w:noProof/>
        </w:rPr>
        <w:t xml:space="preserve">Alla andra delar, inbegripet skyldigheterna avseende principen om att inte orsaka betydande skada, ska vara desamma som anges i investering RE-C09 – i02 Hydrauliska multifunktionella företag i Crato, planeringsfasen. </w:t>
      </w:r>
    </w:p>
    <w:p w14:paraId="0D565263" w14:textId="54DC2D99"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30 juni 2026.</w:t>
      </w:r>
    </w:p>
    <w:p w14:paraId="735167DE" w14:textId="77777777" w:rsidR="00E040FD" w:rsidRDefault="00E040FD">
      <w:pPr>
        <w:keepNext/>
        <w:spacing w:before="40" w:after="0" w:line="259" w:lineRule="auto"/>
        <w:ind w:left="130" w:firstLine="720"/>
        <w:jc w:val="both"/>
        <w:outlineLvl w:val="2"/>
        <w:rPr>
          <w:rFonts w:ascii="Times New Roman" w:eastAsia="Times New Roman" w:hAnsi="Times New Roman" w:cs="Times New Roman"/>
          <w:noProof/>
          <w:sz w:val="24"/>
        </w:rPr>
        <w:sectPr w:rsidR="00E040FD" w:rsidSect="009A4B20">
          <w:headerReference w:type="even" r:id="rId192"/>
          <w:headerReference w:type="default" r:id="rId193"/>
          <w:footerReference w:type="even" r:id="rId194"/>
          <w:footerReference w:type="default" r:id="rId195"/>
          <w:headerReference w:type="first" r:id="rId196"/>
          <w:footerReference w:type="first" r:id="rId197"/>
          <w:pgSz w:w="11907" w:h="16839"/>
          <w:pgMar w:top="1134" w:right="1134" w:bottom="1134" w:left="1134" w:header="567" w:footer="567" w:gutter="0"/>
          <w:cols w:space="720"/>
          <w:docGrid w:linePitch="360"/>
        </w:sectPr>
      </w:pPr>
    </w:p>
    <w:p w14:paraId="1FFCEE23" w14:textId="336170A4"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I.4 Delmål, mål, indikatorer och tidsplan för övervakning och genomförande av lånet</w:t>
      </w:r>
    </w:p>
    <w:p w14:paraId="4548674B" w14:textId="77777777" w:rsidR="00E040FD" w:rsidRDefault="00E040FD">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E040FD" w14:paraId="5B622BB4" w14:textId="77777777">
        <w:trPr>
          <w:trHeight w:val="300"/>
          <w:tblHeader/>
        </w:trPr>
        <w:tc>
          <w:tcPr>
            <w:tcW w:w="1135" w:type="dxa"/>
            <w:vMerge w:val="restart"/>
            <w:shd w:val="clear" w:color="auto" w:fill="BDD6EE"/>
            <w:vAlign w:val="center"/>
            <w:hideMark/>
          </w:tcPr>
          <w:p w14:paraId="05AF7307" w14:textId="77777777" w:rsidR="00E040FD" w:rsidRDefault="00740D64">
            <w:pPr>
              <w:pStyle w:val="P68B1DB1-Normal6"/>
              <w:spacing w:after="0" w:line="240" w:lineRule="auto"/>
              <w:jc w:val="center"/>
              <w:rPr>
                <w:rFonts w:eastAsia="Times New Roman" w:cs="Times New Roman"/>
                <w:noProof/>
              </w:rPr>
            </w:pPr>
            <w:bookmarkStart w:id="22" w:name="_Hlk145941568"/>
            <w:r>
              <w:rPr>
                <w:noProof/>
              </w:rPr>
              <w:t>Löpnummer</w:t>
            </w:r>
          </w:p>
        </w:tc>
        <w:tc>
          <w:tcPr>
            <w:tcW w:w="1276" w:type="dxa"/>
            <w:vMerge w:val="restart"/>
            <w:shd w:val="clear" w:color="auto" w:fill="BDD6EE"/>
            <w:noWrap/>
            <w:vAlign w:val="center"/>
            <w:hideMark/>
          </w:tcPr>
          <w:p w14:paraId="36DC91A9"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noWrap/>
            <w:vAlign w:val="center"/>
            <w:hideMark/>
          </w:tcPr>
          <w:p w14:paraId="46CCCA20" w14:textId="75056E55" w:rsidR="00E040FD" w:rsidRDefault="00740D64">
            <w:pPr>
              <w:pStyle w:val="P68B1DB1-Normal6"/>
              <w:spacing w:after="0" w:line="240" w:lineRule="auto"/>
              <w:jc w:val="center"/>
              <w:rPr>
                <w:rFonts w:eastAsia="Times New Roman" w:cs="Times New Roman"/>
                <w:noProof/>
              </w:rPr>
            </w:pPr>
            <w:r>
              <w:rPr>
                <w:noProof/>
              </w:rPr>
              <w:t>Delmål/mål</w:t>
            </w:r>
          </w:p>
        </w:tc>
        <w:tc>
          <w:tcPr>
            <w:tcW w:w="1701" w:type="dxa"/>
            <w:vMerge w:val="restart"/>
            <w:shd w:val="clear" w:color="auto" w:fill="BDD6EE"/>
            <w:noWrap/>
            <w:vAlign w:val="center"/>
            <w:hideMark/>
          </w:tcPr>
          <w:p w14:paraId="3972FD46"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75" w:type="dxa"/>
            <w:vMerge w:val="restart"/>
            <w:shd w:val="clear" w:color="auto" w:fill="BDD6EE"/>
            <w:noWrap/>
            <w:vAlign w:val="center"/>
            <w:hideMark/>
          </w:tcPr>
          <w:p w14:paraId="0B6B437F"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694" w:type="dxa"/>
            <w:gridSpan w:val="3"/>
            <w:shd w:val="clear" w:color="auto" w:fill="BDD6EE"/>
            <w:noWrap/>
            <w:vAlign w:val="center"/>
            <w:hideMark/>
          </w:tcPr>
          <w:p w14:paraId="2D09032E"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noWrap/>
            <w:vAlign w:val="center"/>
            <w:hideMark/>
          </w:tcPr>
          <w:p w14:paraId="4DCBBD59" w14:textId="77777777" w:rsidR="00E040FD" w:rsidRDefault="00740D64">
            <w:pPr>
              <w:pStyle w:val="P68B1DB1-Normal6"/>
              <w:spacing w:after="0" w:line="240" w:lineRule="auto"/>
              <w:jc w:val="center"/>
              <w:rPr>
                <w:rFonts w:eastAsia="Times New Roman" w:cs="Times New Roman"/>
                <w:noProof/>
              </w:rPr>
            </w:pPr>
            <w:r>
              <w:rPr>
                <w:noProof/>
              </w:rPr>
              <w:t>Tidsplan för slutförande</w:t>
            </w:r>
          </w:p>
        </w:tc>
        <w:tc>
          <w:tcPr>
            <w:tcW w:w="3969" w:type="dxa"/>
            <w:vMerge w:val="restart"/>
            <w:shd w:val="clear" w:color="auto" w:fill="BDD6EE"/>
            <w:vAlign w:val="center"/>
            <w:hideMark/>
          </w:tcPr>
          <w:p w14:paraId="1C2BDDAB"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bookmarkEnd w:id="22"/>
      <w:tr w:rsidR="00E040FD" w14:paraId="2512663C" w14:textId="77777777">
        <w:trPr>
          <w:trHeight w:val="300"/>
          <w:tblHeader/>
        </w:trPr>
        <w:tc>
          <w:tcPr>
            <w:tcW w:w="1135" w:type="dxa"/>
            <w:vMerge/>
            <w:vAlign w:val="center"/>
            <w:hideMark/>
          </w:tcPr>
          <w:p w14:paraId="71D29AAD"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3784C786"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shd w:val="clear" w:color="auto" w:fill="BDD6EE"/>
            <w:noWrap/>
            <w:vAlign w:val="center"/>
            <w:hideMark/>
          </w:tcPr>
          <w:p w14:paraId="7BE73013" w14:textId="1244C4EB" w:rsidR="00E040FD" w:rsidRDefault="00E040FD">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6F2C4548" w14:textId="77777777" w:rsidR="00E040FD" w:rsidRDefault="00E040FD">
            <w:pPr>
              <w:spacing w:after="0" w:line="240" w:lineRule="auto"/>
              <w:rPr>
                <w:rFonts w:ascii="Times New Roman" w:eastAsia="Times New Roman" w:hAnsi="Times New Roman" w:cs="Times New Roman"/>
                <w:b/>
                <w:noProof/>
                <w:sz w:val="18"/>
              </w:rPr>
            </w:pPr>
          </w:p>
        </w:tc>
        <w:tc>
          <w:tcPr>
            <w:tcW w:w="1275" w:type="dxa"/>
            <w:vMerge/>
            <w:vAlign w:val="center"/>
            <w:hideMark/>
          </w:tcPr>
          <w:p w14:paraId="106AC914" w14:textId="77777777" w:rsidR="00E040FD" w:rsidRDefault="00E040FD">
            <w:pPr>
              <w:spacing w:after="0" w:line="240" w:lineRule="auto"/>
              <w:rPr>
                <w:rFonts w:ascii="Times New Roman" w:eastAsia="Times New Roman" w:hAnsi="Times New Roman" w:cs="Times New Roman"/>
                <w:b/>
                <w:noProof/>
                <w:sz w:val="18"/>
              </w:rPr>
            </w:pPr>
          </w:p>
        </w:tc>
        <w:tc>
          <w:tcPr>
            <w:tcW w:w="993" w:type="dxa"/>
            <w:shd w:val="clear" w:color="auto" w:fill="BDD6EE"/>
            <w:noWrap/>
            <w:vAlign w:val="center"/>
            <w:hideMark/>
          </w:tcPr>
          <w:p w14:paraId="6BB0C9B9"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noWrap/>
            <w:vAlign w:val="center"/>
            <w:hideMark/>
          </w:tcPr>
          <w:p w14:paraId="7837A6A7"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709" w:type="dxa"/>
            <w:shd w:val="clear" w:color="auto" w:fill="BDD6EE"/>
            <w:noWrap/>
            <w:vAlign w:val="center"/>
            <w:hideMark/>
          </w:tcPr>
          <w:p w14:paraId="0A015CF7"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7" w:type="dxa"/>
            <w:shd w:val="clear" w:color="auto" w:fill="BDD6EE"/>
            <w:noWrap/>
            <w:vAlign w:val="center"/>
            <w:hideMark/>
          </w:tcPr>
          <w:p w14:paraId="715832CA"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shd w:val="clear" w:color="auto" w:fill="BDD6EE"/>
            <w:noWrap/>
            <w:vAlign w:val="center"/>
            <w:hideMark/>
          </w:tcPr>
          <w:p w14:paraId="5FA15F06" w14:textId="77777777" w:rsidR="00E040FD" w:rsidRDefault="00740D64">
            <w:pPr>
              <w:pStyle w:val="P68B1DB1-Normal6"/>
              <w:spacing w:after="0" w:line="240" w:lineRule="auto"/>
              <w:jc w:val="center"/>
              <w:rPr>
                <w:rFonts w:eastAsia="Times New Roman" w:cs="Times New Roman"/>
                <w:noProof/>
              </w:rPr>
            </w:pPr>
            <w:r>
              <w:rPr>
                <w:noProof/>
              </w:rPr>
              <w:t>Året</w:t>
            </w:r>
          </w:p>
        </w:tc>
        <w:tc>
          <w:tcPr>
            <w:tcW w:w="3969" w:type="dxa"/>
            <w:vMerge/>
            <w:vAlign w:val="center"/>
            <w:hideMark/>
          </w:tcPr>
          <w:p w14:paraId="4CC75BE5" w14:textId="77777777" w:rsidR="00E040FD" w:rsidRDefault="00E040FD">
            <w:pPr>
              <w:spacing w:after="0" w:line="240" w:lineRule="auto"/>
              <w:rPr>
                <w:rFonts w:ascii="Times New Roman" w:eastAsia="Times New Roman" w:hAnsi="Times New Roman" w:cs="Times New Roman"/>
                <w:b/>
                <w:noProof/>
                <w:sz w:val="18"/>
              </w:rPr>
            </w:pPr>
          </w:p>
        </w:tc>
      </w:tr>
      <w:tr w:rsidR="00E040FD" w14:paraId="7A04D420" w14:textId="77777777">
        <w:trPr>
          <w:trHeight w:val="1260"/>
          <w:tblHeader/>
        </w:trPr>
        <w:tc>
          <w:tcPr>
            <w:tcW w:w="1135" w:type="dxa"/>
            <w:shd w:val="clear" w:color="auto" w:fill="C4EFCE"/>
            <w:noWrap/>
            <w:vAlign w:val="center"/>
          </w:tcPr>
          <w:p w14:paraId="5AE76F1F" w14:textId="0E0C05FE" w:rsidR="00E040FD" w:rsidRDefault="00740D64">
            <w:pPr>
              <w:pStyle w:val="P68B1DB1-Normal7"/>
              <w:spacing w:after="0" w:line="240" w:lineRule="auto"/>
              <w:jc w:val="center"/>
              <w:rPr>
                <w:rFonts w:eastAsia="Times New Roman" w:cs="Calibri"/>
                <w:noProof/>
              </w:rPr>
            </w:pPr>
            <w:r>
              <w:rPr>
                <w:noProof/>
              </w:rPr>
              <w:t>9.10</w:t>
            </w:r>
          </w:p>
        </w:tc>
        <w:tc>
          <w:tcPr>
            <w:tcW w:w="1276" w:type="dxa"/>
            <w:shd w:val="clear" w:color="auto" w:fill="C4EFCE"/>
            <w:noWrap/>
            <w:vAlign w:val="center"/>
          </w:tcPr>
          <w:p w14:paraId="7B9ECDFA" w14:textId="4638F8FA" w:rsidR="00E040FD" w:rsidRDefault="00740D64">
            <w:pPr>
              <w:pStyle w:val="P68B1DB1-Normal8"/>
              <w:spacing w:after="0" w:line="240" w:lineRule="auto"/>
              <w:jc w:val="center"/>
              <w:rPr>
                <w:rFonts w:eastAsia="Times New Roman" w:cs="Calibri"/>
                <w:noProof/>
              </w:rPr>
            </w:pPr>
            <w:r>
              <w:rPr>
                <w:noProof/>
              </w:rPr>
              <w:t>RE-C09-i04</w:t>
            </w:r>
          </w:p>
        </w:tc>
        <w:tc>
          <w:tcPr>
            <w:tcW w:w="1134" w:type="dxa"/>
            <w:shd w:val="clear" w:color="auto" w:fill="C4EFCE"/>
            <w:noWrap/>
            <w:vAlign w:val="center"/>
          </w:tcPr>
          <w:p w14:paraId="1650E83C" w14:textId="2A98B9CC"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38E9F561" w14:textId="401CA359" w:rsidR="00E040FD" w:rsidRDefault="00740D64">
            <w:pPr>
              <w:pStyle w:val="P68B1DB1-Normal8"/>
              <w:spacing w:after="0" w:line="240" w:lineRule="auto"/>
              <w:jc w:val="center"/>
              <w:rPr>
                <w:rFonts w:eastAsia="Times New Roman" w:cs="Calibri"/>
                <w:noProof/>
              </w:rPr>
            </w:pPr>
            <w:r>
              <w:rPr>
                <w:noProof/>
              </w:rPr>
              <w:t>Villkorad av en positiv miljökonsekvensbedömning som till fullo och i sak uppfyller de rättsliga kriterierna, antagande av en uppdaterad utformning av produktionen och bevattningen av dammen, vattenkraft och solenergi, med fullständig integrering av alla resultat och villkor från miljökonsekvensbedömningen.</w:t>
            </w:r>
          </w:p>
        </w:tc>
        <w:tc>
          <w:tcPr>
            <w:tcW w:w="1275" w:type="dxa"/>
            <w:shd w:val="clear" w:color="auto" w:fill="C4EFCE"/>
            <w:noWrap/>
            <w:vAlign w:val="center"/>
          </w:tcPr>
          <w:p w14:paraId="02774AD5" w14:textId="25B357D0" w:rsidR="00E040FD" w:rsidRDefault="00740D64">
            <w:pPr>
              <w:pStyle w:val="P68B1DB1-Normal8"/>
              <w:spacing w:after="0" w:line="240" w:lineRule="auto"/>
              <w:jc w:val="center"/>
              <w:rPr>
                <w:rFonts w:eastAsia="Times New Roman" w:cs="Calibri"/>
                <w:noProof/>
              </w:rPr>
            </w:pPr>
            <w:r>
              <w:rPr>
                <w:noProof/>
              </w:rPr>
              <w:t>Antagande av den uppdaterade formgivningen</w:t>
            </w:r>
          </w:p>
        </w:tc>
        <w:tc>
          <w:tcPr>
            <w:tcW w:w="993" w:type="dxa"/>
            <w:shd w:val="clear" w:color="auto" w:fill="C4EFCE"/>
            <w:noWrap/>
            <w:vAlign w:val="center"/>
          </w:tcPr>
          <w:p w14:paraId="357E7085" w14:textId="77777777" w:rsidR="00E040FD" w:rsidRDefault="00E040FD">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4EAF7F6D" w14:textId="77777777" w:rsidR="00E040FD" w:rsidRDefault="00E040FD">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3DB852A9" w14:textId="77777777" w:rsidR="00E040FD" w:rsidRDefault="00E040FD">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634803F8" w14:textId="6C3C8F2A"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tcPr>
          <w:p w14:paraId="5CCD347B" w14:textId="6A4D3ED5" w:rsidR="00E040FD" w:rsidRDefault="00740D64">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tcPr>
          <w:p w14:paraId="307065E5" w14:textId="77777777" w:rsidR="00E040FD" w:rsidRDefault="00740D64">
            <w:pPr>
              <w:pStyle w:val="P68B1DB1-Normal8"/>
              <w:spacing w:after="0" w:line="240" w:lineRule="auto"/>
              <w:jc w:val="both"/>
              <w:rPr>
                <w:rFonts w:eastAsia="Times New Roman" w:cs="Calibri"/>
                <w:noProof/>
              </w:rPr>
            </w:pPr>
            <w:r>
              <w:rPr>
                <w:noProof/>
              </w:rPr>
              <w:t xml:space="preserve">Under förutsättning att det görs en miljökonsekvensbedömning där det konstateras att ingen betydande skada föreligger, antagande av en uppdaterad utformning av produktionen och bevattningen av dammen, vattenkraft och solenergi, som fullt ut införlivar alla resultat och villkor från den omfattande och kumulativa miljökonsekvensbedömningen om detta krävs för att uppnå överensstämmelse med den tekniska vägledningen om att inte orsaka betydande skada (2021/C58/01). Miljökonsekvensbedömningen slutförs i enlighet med direktiv 2011/92/EU samt relevanta bedömningar inom ramen för direktiv 2000/60/EG, inbegripet genomförandet av nödvändiga begränsningsåtgärder. </w:t>
            </w:r>
          </w:p>
          <w:p w14:paraId="6301C6F9" w14:textId="77777777" w:rsidR="00E040FD" w:rsidRDefault="00E040FD">
            <w:pPr>
              <w:spacing w:after="0" w:line="240" w:lineRule="auto"/>
              <w:jc w:val="both"/>
              <w:rPr>
                <w:rFonts w:ascii="Calibri" w:eastAsia="Times New Roman" w:hAnsi="Calibri" w:cs="Calibri"/>
                <w:noProof/>
                <w:sz w:val="16"/>
              </w:rPr>
            </w:pPr>
          </w:p>
          <w:p w14:paraId="563B34EB" w14:textId="77777777" w:rsidR="00E040FD" w:rsidRDefault="00740D64">
            <w:pPr>
              <w:pStyle w:val="P68B1DB1-Normal8"/>
              <w:spacing w:after="0" w:line="240" w:lineRule="auto"/>
              <w:jc w:val="both"/>
              <w:rPr>
                <w:rFonts w:eastAsia="Times New Roman" w:cs="Calibri"/>
                <w:noProof/>
              </w:rPr>
            </w:pPr>
            <w:r>
              <w:rPr>
                <w:noProof/>
              </w:rPr>
              <w:t>Alla åtgärder som inom ramen för miljökonsekvensbedömningen och bedömningen enligt direktiv 2000/60/EG identifieras som nödvändiga för att säkerställa efterlevnad av den tekniska vägledningen om att inte orsaka betydande skada (2021/C58/01) ska integreras i projektet och uppfyllas under konstruktions-, drifts- och avvecklingsstadierna av infrastrukturen.</w:t>
            </w:r>
          </w:p>
          <w:p w14:paraId="47634865" w14:textId="7A8CAFDB" w:rsidR="00E040FD" w:rsidRDefault="00E040FD">
            <w:pPr>
              <w:spacing w:after="0" w:line="240" w:lineRule="auto"/>
              <w:jc w:val="both"/>
              <w:rPr>
                <w:rFonts w:ascii="Calibri" w:eastAsia="Times New Roman" w:hAnsi="Calibri" w:cs="Calibri"/>
                <w:noProof/>
                <w:sz w:val="16"/>
              </w:rPr>
            </w:pPr>
          </w:p>
        </w:tc>
      </w:tr>
    </w:tbl>
    <w:p w14:paraId="7E0C9D80" w14:textId="77777777" w:rsidR="00E040FD" w:rsidRDefault="00E040FD">
      <w:pPr>
        <w:spacing w:after="0" w:line="240" w:lineRule="auto"/>
        <w:jc w:val="center"/>
        <w:rPr>
          <w:rFonts w:ascii="Calibri" w:eastAsia="Times New Roman" w:hAnsi="Calibri" w:cs="Calibri"/>
          <w:b/>
          <w:noProof/>
          <w:sz w:val="16"/>
        </w:rPr>
        <w:sectPr w:rsidR="00E040FD" w:rsidSect="00E00EDD">
          <w:headerReference w:type="even" r:id="rId198"/>
          <w:headerReference w:type="default" r:id="rId199"/>
          <w:footerReference w:type="even" r:id="rId200"/>
          <w:footerReference w:type="default" r:id="rId201"/>
          <w:headerReference w:type="first" r:id="rId202"/>
          <w:footerReference w:type="first" r:id="rId203"/>
          <w:pgSz w:w="16839" w:h="11907" w:orient="landscape"/>
          <w:pgMar w:top="1134" w:right="1134" w:bottom="1134" w:left="1134" w:header="567" w:footer="567" w:gutter="0"/>
          <w:cols w:space="720"/>
          <w:docGrid w:linePitch="360"/>
        </w:sect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E040FD" w14:paraId="645A7A24" w14:textId="77777777">
        <w:trPr>
          <w:trHeight w:val="525"/>
          <w:tblHeader/>
        </w:trPr>
        <w:tc>
          <w:tcPr>
            <w:tcW w:w="1135" w:type="dxa"/>
            <w:vMerge w:val="restart"/>
            <w:shd w:val="clear" w:color="auto" w:fill="BDD6EE"/>
            <w:noWrap/>
            <w:vAlign w:val="center"/>
          </w:tcPr>
          <w:p w14:paraId="49BCA749" w14:textId="574691EA"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noWrap/>
            <w:vAlign w:val="center"/>
          </w:tcPr>
          <w:p w14:paraId="656A6E3D" w14:textId="65A6BE6F"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noWrap/>
            <w:vAlign w:val="center"/>
          </w:tcPr>
          <w:p w14:paraId="3F140861" w14:textId="05956691" w:rsidR="00E040FD" w:rsidRDefault="00740D64">
            <w:pPr>
              <w:pStyle w:val="P68B1DB1-Normal6"/>
              <w:spacing w:after="0" w:line="240" w:lineRule="auto"/>
              <w:jc w:val="center"/>
              <w:rPr>
                <w:rFonts w:eastAsia="Times New Roman" w:cs="Times New Roman"/>
                <w:noProof/>
              </w:rPr>
            </w:pPr>
            <w:r>
              <w:rPr>
                <w:noProof/>
              </w:rPr>
              <w:t>Delmål/mål</w:t>
            </w:r>
          </w:p>
        </w:tc>
        <w:tc>
          <w:tcPr>
            <w:tcW w:w="1701" w:type="dxa"/>
            <w:vMerge w:val="restart"/>
            <w:shd w:val="clear" w:color="auto" w:fill="BDD6EE"/>
            <w:noWrap/>
            <w:vAlign w:val="center"/>
          </w:tcPr>
          <w:p w14:paraId="7E92527E" w14:textId="5A6FC241" w:rsidR="00E040FD" w:rsidRDefault="00740D64">
            <w:pPr>
              <w:pStyle w:val="P68B1DB1-Normal6"/>
              <w:spacing w:after="0" w:line="240" w:lineRule="auto"/>
              <w:jc w:val="center"/>
              <w:rPr>
                <w:rFonts w:eastAsia="Times New Roman" w:cs="Times New Roman"/>
                <w:noProof/>
              </w:rPr>
            </w:pPr>
            <w:r>
              <w:rPr>
                <w:noProof/>
              </w:rPr>
              <w:t>Namn</w:t>
            </w:r>
          </w:p>
        </w:tc>
        <w:tc>
          <w:tcPr>
            <w:tcW w:w="1275" w:type="dxa"/>
            <w:vMerge w:val="restart"/>
            <w:shd w:val="clear" w:color="auto" w:fill="BDD6EE"/>
            <w:noWrap/>
            <w:vAlign w:val="center"/>
          </w:tcPr>
          <w:p w14:paraId="4E73A322" w14:textId="10710CE6"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694" w:type="dxa"/>
            <w:gridSpan w:val="3"/>
            <w:shd w:val="clear" w:color="auto" w:fill="BDD6EE"/>
            <w:noWrap/>
            <w:vAlign w:val="center"/>
          </w:tcPr>
          <w:p w14:paraId="1CF25973" w14:textId="50C0721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noWrap/>
            <w:vAlign w:val="center"/>
          </w:tcPr>
          <w:p w14:paraId="7627C3DB" w14:textId="67658CFC" w:rsidR="00E040FD" w:rsidRDefault="00740D64">
            <w:pPr>
              <w:pStyle w:val="P68B1DB1-Normal6"/>
              <w:spacing w:after="0" w:line="240" w:lineRule="auto"/>
              <w:jc w:val="center"/>
              <w:rPr>
                <w:rFonts w:eastAsia="Times New Roman" w:cs="Times New Roman"/>
                <w:noProof/>
              </w:rPr>
            </w:pPr>
            <w:r>
              <w:rPr>
                <w:noProof/>
              </w:rPr>
              <w:t>Tidsplan för slutförande</w:t>
            </w:r>
          </w:p>
        </w:tc>
        <w:tc>
          <w:tcPr>
            <w:tcW w:w="3969" w:type="dxa"/>
            <w:vMerge w:val="restart"/>
            <w:shd w:val="clear" w:color="auto" w:fill="BDD6EE"/>
            <w:vAlign w:val="center"/>
          </w:tcPr>
          <w:p w14:paraId="6E91A456" w14:textId="1EEE8516"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6AF10782" w14:textId="77777777">
        <w:trPr>
          <w:trHeight w:val="525"/>
          <w:tblHeader/>
        </w:trPr>
        <w:tc>
          <w:tcPr>
            <w:tcW w:w="1135" w:type="dxa"/>
            <w:vMerge/>
            <w:shd w:val="clear" w:color="auto" w:fill="BDD6EE"/>
            <w:noWrap/>
            <w:vAlign w:val="center"/>
          </w:tcPr>
          <w:p w14:paraId="5D493835" w14:textId="77777777" w:rsidR="00E040FD" w:rsidRDefault="00E040FD">
            <w:pPr>
              <w:spacing w:after="0" w:line="240" w:lineRule="auto"/>
              <w:jc w:val="center"/>
              <w:rPr>
                <w:rFonts w:ascii="Times New Roman" w:eastAsia="Times New Roman" w:hAnsi="Times New Roman" w:cs="Times New Roman"/>
                <w:b/>
                <w:noProof/>
                <w:sz w:val="18"/>
              </w:rPr>
            </w:pPr>
          </w:p>
        </w:tc>
        <w:tc>
          <w:tcPr>
            <w:tcW w:w="1276" w:type="dxa"/>
            <w:vMerge/>
            <w:shd w:val="clear" w:color="auto" w:fill="BDD6EE"/>
            <w:noWrap/>
            <w:vAlign w:val="center"/>
          </w:tcPr>
          <w:p w14:paraId="5CFE31A1" w14:textId="77777777" w:rsidR="00E040FD" w:rsidRDefault="00E040FD">
            <w:pPr>
              <w:spacing w:after="0" w:line="240" w:lineRule="auto"/>
              <w:jc w:val="center"/>
              <w:rPr>
                <w:rFonts w:ascii="Times New Roman" w:eastAsia="Times New Roman" w:hAnsi="Times New Roman" w:cs="Times New Roman"/>
                <w:b/>
                <w:noProof/>
                <w:sz w:val="18"/>
              </w:rPr>
            </w:pPr>
          </w:p>
        </w:tc>
        <w:tc>
          <w:tcPr>
            <w:tcW w:w="1134" w:type="dxa"/>
            <w:vMerge/>
            <w:shd w:val="clear" w:color="auto" w:fill="BDD6EE"/>
            <w:noWrap/>
            <w:vAlign w:val="center"/>
          </w:tcPr>
          <w:p w14:paraId="1EC2C84E" w14:textId="77777777" w:rsidR="00E040FD" w:rsidRDefault="00E040FD">
            <w:pPr>
              <w:spacing w:after="0" w:line="240" w:lineRule="auto"/>
              <w:jc w:val="center"/>
              <w:rPr>
                <w:rFonts w:ascii="Times New Roman" w:eastAsia="Times New Roman" w:hAnsi="Times New Roman" w:cs="Times New Roman"/>
                <w:b/>
                <w:noProof/>
                <w:sz w:val="18"/>
              </w:rPr>
            </w:pPr>
          </w:p>
        </w:tc>
        <w:tc>
          <w:tcPr>
            <w:tcW w:w="1701" w:type="dxa"/>
            <w:vMerge/>
            <w:shd w:val="clear" w:color="auto" w:fill="BDD6EE"/>
            <w:noWrap/>
            <w:vAlign w:val="center"/>
          </w:tcPr>
          <w:p w14:paraId="318B1182" w14:textId="77777777" w:rsidR="00E040FD" w:rsidRDefault="00E040FD">
            <w:pPr>
              <w:spacing w:after="0" w:line="240" w:lineRule="auto"/>
              <w:jc w:val="center"/>
              <w:rPr>
                <w:rFonts w:ascii="Times New Roman" w:eastAsia="Times New Roman" w:hAnsi="Times New Roman" w:cs="Times New Roman"/>
                <w:b/>
                <w:noProof/>
                <w:sz w:val="18"/>
              </w:rPr>
            </w:pPr>
          </w:p>
        </w:tc>
        <w:tc>
          <w:tcPr>
            <w:tcW w:w="1275" w:type="dxa"/>
            <w:vMerge/>
            <w:shd w:val="clear" w:color="auto" w:fill="BDD6EE"/>
            <w:noWrap/>
            <w:vAlign w:val="center"/>
          </w:tcPr>
          <w:p w14:paraId="3F2B7268" w14:textId="77777777" w:rsidR="00E040FD" w:rsidRDefault="00E040FD">
            <w:pPr>
              <w:spacing w:after="0" w:line="240" w:lineRule="auto"/>
              <w:jc w:val="center"/>
              <w:rPr>
                <w:rFonts w:ascii="Times New Roman" w:eastAsia="Times New Roman" w:hAnsi="Times New Roman" w:cs="Times New Roman"/>
                <w:b/>
                <w:noProof/>
                <w:sz w:val="18"/>
              </w:rPr>
            </w:pPr>
          </w:p>
        </w:tc>
        <w:tc>
          <w:tcPr>
            <w:tcW w:w="993" w:type="dxa"/>
            <w:shd w:val="clear" w:color="auto" w:fill="BDD6EE"/>
            <w:noWrap/>
            <w:vAlign w:val="center"/>
          </w:tcPr>
          <w:p w14:paraId="442EF0A7" w14:textId="46709A64"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vAlign w:val="center"/>
          </w:tcPr>
          <w:p w14:paraId="57D31F6B" w14:textId="69A20BB0" w:rsidR="00E040FD" w:rsidRDefault="00740D64">
            <w:pPr>
              <w:pStyle w:val="P68B1DB1-Normal6"/>
              <w:spacing w:after="0" w:line="240" w:lineRule="auto"/>
              <w:jc w:val="center"/>
              <w:rPr>
                <w:rFonts w:eastAsia="Times New Roman" w:cs="Times New Roman"/>
                <w:noProof/>
              </w:rPr>
            </w:pPr>
            <w:r>
              <w:rPr>
                <w:noProof/>
              </w:rPr>
              <w:t>Baslinjen</w:t>
            </w:r>
          </w:p>
        </w:tc>
        <w:tc>
          <w:tcPr>
            <w:tcW w:w="709" w:type="dxa"/>
            <w:shd w:val="clear" w:color="auto" w:fill="BDD6EE"/>
            <w:vAlign w:val="center"/>
          </w:tcPr>
          <w:p w14:paraId="00D0D2E2" w14:textId="333D1553" w:rsidR="00E040FD" w:rsidRDefault="00740D64">
            <w:pPr>
              <w:pStyle w:val="P68B1DB1-Normal6"/>
              <w:spacing w:after="0" w:line="240" w:lineRule="auto"/>
              <w:jc w:val="center"/>
              <w:rPr>
                <w:rFonts w:eastAsia="Times New Roman" w:cs="Times New Roman"/>
                <w:noProof/>
              </w:rPr>
            </w:pPr>
            <w:r>
              <w:rPr>
                <w:noProof/>
              </w:rPr>
              <w:t>Mål</w:t>
            </w:r>
          </w:p>
        </w:tc>
        <w:tc>
          <w:tcPr>
            <w:tcW w:w="567" w:type="dxa"/>
            <w:shd w:val="clear" w:color="auto" w:fill="C6D9F1" w:themeFill="text2" w:themeFillTint="33"/>
            <w:noWrap/>
            <w:vAlign w:val="center"/>
          </w:tcPr>
          <w:p w14:paraId="0C609051" w14:textId="5DFF1650" w:rsidR="00E040FD" w:rsidRDefault="00740D64">
            <w:pPr>
              <w:pStyle w:val="P68B1DB1-Normal8"/>
              <w:spacing w:after="0" w:line="240" w:lineRule="auto"/>
              <w:jc w:val="center"/>
              <w:rPr>
                <w:rFonts w:eastAsia="Times New Roman" w:cs="Calibri"/>
                <w:noProof/>
              </w:rPr>
            </w:pPr>
            <w:r>
              <w:rPr>
                <w:noProof/>
              </w:rPr>
              <w:t>Q</w:t>
            </w:r>
          </w:p>
        </w:tc>
        <w:tc>
          <w:tcPr>
            <w:tcW w:w="708" w:type="dxa"/>
            <w:shd w:val="clear" w:color="auto" w:fill="BDD6EE"/>
            <w:vAlign w:val="center"/>
          </w:tcPr>
          <w:p w14:paraId="5E59938E" w14:textId="4687ACDB" w:rsidR="00E040FD" w:rsidRDefault="00740D64">
            <w:pPr>
              <w:pStyle w:val="P68B1DB1-Normal6"/>
              <w:spacing w:after="0" w:line="240" w:lineRule="auto"/>
              <w:jc w:val="center"/>
              <w:rPr>
                <w:rFonts w:ascii="Calibri" w:eastAsia="Times New Roman" w:hAnsi="Calibri" w:cs="Calibri"/>
                <w:noProof/>
                <w:sz w:val="16"/>
              </w:rPr>
            </w:pPr>
            <w:r>
              <w:rPr>
                <w:noProof/>
              </w:rPr>
              <w:t>Året</w:t>
            </w:r>
          </w:p>
        </w:tc>
        <w:tc>
          <w:tcPr>
            <w:tcW w:w="3969" w:type="dxa"/>
            <w:vMerge/>
            <w:shd w:val="clear" w:color="auto" w:fill="B8CCE4" w:themeFill="accent1" w:themeFillTint="66"/>
            <w:vAlign w:val="center"/>
          </w:tcPr>
          <w:p w14:paraId="2D7E8CEC" w14:textId="77777777" w:rsidR="00E040FD" w:rsidRDefault="00E040FD">
            <w:pPr>
              <w:spacing w:after="0" w:line="240" w:lineRule="auto"/>
              <w:jc w:val="both"/>
              <w:rPr>
                <w:rFonts w:ascii="Calibri" w:eastAsia="Times New Roman" w:hAnsi="Calibri" w:cs="Calibri"/>
                <w:noProof/>
                <w:sz w:val="16"/>
              </w:rPr>
            </w:pPr>
          </w:p>
        </w:tc>
      </w:tr>
      <w:tr w:rsidR="00E040FD" w14:paraId="377F90B7" w14:textId="77777777">
        <w:trPr>
          <w:trHeight w:val="1050"/>
          <w:tblHeader/>
        </w:trPr>
        <w:tc>
          <w:tcPr>
            <w:tcW w:w="1135" w:type="dxa"/>
            <w:shd w:val="clear" w:color="auto" w:fill="C4EFCE"/>
            <w:noWrap/>
            <w:vAlign w:val="center"/>
          </w:tcPr>
          <w:p w14:paraId="1879CF06" w14:textId="2ED24A15" w:rsidR="00E040FD" w:rsidRDefault="00740D64">
            <w:pPr>
              <w:pStyle w:val="P68B1DB1-Normal7"/>
              <w:spacing w:after="0" w:line="240" w:lineRule="auto"/>
              <w:jc w:val="center"/>
              <w:rPr>
                <w:rFonts w:eastAsia="Times New Roman" w:cs="Calibri"/>
                <w:noProof/>
              </w:rPr>
            </w:pPr>
            <w:r>
              <w:rPr>
                <w:noProof/>
              </w:rPr>
              <w:t>9.11</w:t>
            </w:r>
          </w:p>
        </w:tc>
        <w:tc>
          <w:tcPr>
            <w:tcW w:w="1276" w:type="dxa"/>
            <w:shd w:val="clear" w:color="auto" w:fill="C4EFCE"/>
            <w:noWrap/>
            <w:vAlign w:val="center"/>
          </w:tcPr>
          <w:p w14:paraId="1407D8DF" w14:textId="7A6EA6EF" w:rsidR="00E040FD" w:rsidRDefault="00740D64">
            <w:pPr>
              <w:pStyle w:val="P68B1DB1-Normal8"/>
              <w:spacing w:after="0" w:line="240" w:lineRule="auto"/>
              <w:jc w:val="center"/>
              <w:rPr>
                <w:rFonts w:eastAsia="Times New Roman" w:cs="Calibri"/>
                <w:noProof/>
              </w:rPr>
            </w:pPr>
            <w:r>
              <w:rPr>
                <w:noProof/>
              </w:rPr>
              <w:t>RE-C09-i04</w:t>
            </w:r>
          </w:p>
        </w:tc>
        <w:tc>
          <w:tcPr>
            <w:tcW w:w="1134" w:type="dxa"/>
            <w:shd w:val="clear" w:color="auto" w:fill="C4EFCE"/>
            <w:noWrap/>
            <w:vAlign w:val="center"/>
          </w:tcPr>
          <w:p w14:paraId="0C17A5A0" w14:textId="063C5029"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0239B0F6" w14:textId="52DBFA21" w:rsidR="00E040FD" w:rsidRDefault="00740D64">
            <w:pPr>
              <w:pStyle w:val="P68B1DB1-Normal8"/>
              <w:spacing w:after="0" w:line="240" w:lineRule="auto"/>
              <w:jc w:val="center"/>
              <w:rPr>
                <w:rFonts w:eastAsia="Times New Roman" w:cs="Calibri"/>
                <w:noProof/>
              </w:rPr>
            </w:pPr>
            <w:r>
              <w:rPr>
                <w:noProof/>
              </w:rPr>
              <w:t>Idrifttagande av produktion och bevattning av dammen, vattenkraft och solenergi, med full respekt för de resultat och villkor som fastställs i miljökonsekvensbedömningen, och uppnåendet av god status för de berörda vattenförekomsterna.</w:t>
            </w:r>
          </w:p>
        </w:tc>
        <w:tc>
          <w:tcPr>
            <w:tcW w:w="1275" w:type="dxa"/>
            <w:shd w:val="clear" w:color="auto" w:fill="C4EFCE"/>
            <w:noWrap/>
            <w:vAlign w:val="center"/>
          </w:tcPr>
          <w:p w14:paraId="7A468BEE" w14:textId="5C179788" w:rsidR="00E040FD" w:rsidRDefault="00740D64">
            <w:pPr>
              <w:pStyle w:val="P68B1DB1-Normal8"/>
              <w:spacing w:after="0" w:line="240" w:lineRule="auto"/>
              <w:jc w:val="center"/>
              <w:rPr>
                <w:rFonts w:eastAsia="Times New Roman" w:cs="Calibri"/>
                <w:noProof/>
              </w:rPr>
            </w:pPr>
            <w:r>
              <w:rPr>
                <w:noProof/>
              </w:rPr>
              <w:t>Dammets idrifttagande</w:t>
            </w:r>
          </w:p>
        </w:tc>
        <w:tc>
          <w:tcPr>
            <w:tcW w:w="993" w:type="dxa"/>
            <w:shd w:val="clear" w:color="auto" w:fill="C4EFCE"/>
            <w:noWrap/>
            <w:vAlign w:val="center"/>
          </w:tcPr>
          <w:p w14:paraId="7F731D00" w14:textId="77777777" w:rsidR="00E040FD" w:rsidRDefault="00E040FD">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7E2C7D5C" w14:textId="77777777" w:rsidR="00E040FD" w:rsidRDefault="00E040FD">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0BD23613" w14:textId="77777777" w:rsidR="00E040FD" w:rsidRDefault="00E040FD">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1A712FED" w14:textId="101D2A8E"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tcPr>
          <w:p w14:paraId="03485358" w14:textId="49F63D83" w:rsidR="00E040FD" w:rsidRDefault="00740D6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tcPr>
          <w:p w14:paraId="06A29FB6" w14:textId="77777777" w:rsidR="00E040FD" w:rsidRDefault="00740D64">
            <w:pPr>
              <w:pStyle w:val="P68B1DB1-Normal8"/>
              <w:spacing w:after="0" w:line="240" w:lineRule="auto"/>
              <w:jc w:val="both"/>
              <w:rPr>
                <w:rFonts w:eastAsia="Times New Roman" w:cs="Calibri"/>
                <w:noProof/>
              </w:rPr>
            </w:pPr>
            <w:r>
              <w:rPr>
                <w:noProof/>
              </w:rPr>
              <w:t>Idrifttagande av anläggningar och bevattningssystem för dammar, vattenkraft och solenergi, med full respekt för de resultat och villkor som fastställs i den omfattande och kumulativa miljökonsekvensbedömning som ska ha slutförts i enlighet med direktiv 2011/92/EU, samt relevanta bedömningar inom ramen för direktiv 2000/60/EG, inbegripet genomförandet av nödvändiga begränsningsåtgärder. Överensstämmelse med den tekniska vägledningen om att inte orsaka betydande skada (2021/C58/01) ska säkerställas.</w:t>
            </w:r>
          </w:p>
          <w:p w14:paraId="27D5C9C8" w14:textId="77777777" w:rsidR="00E040FD" w:rsidRDefault="00E040FD">
            <w:pPr>
              <w:spacing w:after="0" w:line="240" w:lineRule="auto"/>
              <w:jc w:val="both"/>
              <w:rPr>
                <w:rFonts w:ascii="Calibri" w:eastAsia="Times New Roman" w:hAnsi="Calibri" w:cs="Calibri"/>
                <w:noProof/>
                <w:sz w:val="16"/>
              </w:rPr>
            </w:pPr>
          </w:p>
          <w:p w14:paraId="4FAACE21" w14:textId="77777777" w:rsidR="00E040FD" w:rsidRDefault="00740D64">
            <w:pPr>
              <w:pStyle w:val="P68B1DB1-Normal8"/>
              <w:spacing w:after="0" w:line="240" w:lineRule="auto"/>
              <w:jc w:val="both"/>
              <w:rPr>
                <w:rFonts w:eastAsia="Times New Roman" w:cs="Calibri"/>
                <w:noProof/>
              </w:rPr>
            </w:pPr>
            <w:r>
              <w:rPr>
                <w:noProof/>
              </w:rPr>
              <w:t>Åtgärden ska säkerställa att vattenbehoven i städerna tillgodoses för befolkningarna i Alter do Chão, Avis, Crato, Fronteira, Gavião, Nisa, Ponte de Sor och Sousel.</w:t>
            </w:r>
          </w:p>
          <w:p w14:paraId="66B2A4F9" w14:textId="77777777" w:rsidR="00E040FD" w:rsidRDefault="00E040FD">
            <w:pPr>
              <w:spacing w:after="0" w:line="240" w:lineRule="auto"/>
              <w:jc w:val="both"/>
              <w:rPr>
                <w:rFonts w:ascii="Calibri" w:eastAsia="Times New Roman" w:hAnsi="Calibri" w:cs="Calibri"/>
                <w:noProof/>
                <w:sz w:val="16"/>
              </w:rPr>
            </w:pPr>
          </w:p>
          <w:p w14:paraId="6E6FCE41" w14:textId="77777777" w:rsidR="00E040FD" w:rsidRDefault="00740D64">
            <w:pPr>
              <w:pStyle w:val="P68B1DB1-Normal8"/>
              <w:spacing w:after="0" w:line="240" w:lineRule="auto"/>
              <w:jc w:val="both"/>
              <w:rPr>
                <w:rFonts w:eastAsia="Times New Roman" w:cs="Calibri"/>
                <w:noProof/>
              </w:rPr>
            </w:pPr>
            <w:r>
              <w:rPr>
                <w:noProof/>
              </w:rPr>
              <w:t>Ökning av kapaciteten för produktion av ren energi i enlighet med kraftkapaciteten i den solenergienhet som ska installeras plus 1,0 MW/år från minivattenkraft. anläggning av bevattningsblock som gör det möjligt att tillhandahålla en ny bevattnad areal på 5 078 ha som lämpar sig för ekologiska och diversifierade grödor.</w:t>
            </w:r>
          </w:p>
          <w:p w14:paraId="52487FBC" w14:textId="77777777" w:rsidR="00E040FD" w:rsidRDefault="00E040FD">
            <w:pPr>
              <w:spacing w:after="0" w:line="240" w:lineRule="auto"/>
              <w:jc w:val="both"/>
              <w:rPr>
                <w:rFonts w:ascii="Calibri" w:eastAsia="Times New Roman" w:hAnsi="Calibri" w:cs="Calibri"/>
                <w:noProof/>
                <w:sz w:val="16"/>
              </w:rPr>
            </w:pPr>
          </w:p>
          <w:p w14:paraId="42592D55" w14:textId="77777777" w:rsidR="00E040FD" w:rsidRDefault="00740D64">
            <w:pPr>
              <w:pStyle w:val="P68B1DB1-Normal8"/>
              <w:spacing w:after="0" w:line="240" w:lineRule="auto"/>
              <w:jc w:val="both"/>
              <w:rPr>
                <w:rFonts w:eastAsia="Times New Roman" w:cs="Calibri"/>
                <w:noProof/>
              </w:rPr>
            </w:pPr>
            <w:r>
              <w:rPr>
                <w:noProof/>
              </w:rPr>
              <w:t>God ekologisk status/potential för de berörda vattenförekomsterna i enlighet med kraven i vattenramdirektiv 2000/60/EG har uppnåtts och certifierats.</w:t>
            </w:r>
          </w:p>
          <w:p w14:paraId="08B20BF2" w14:textId="24EAFAF5" w:rsidR="00E040FD" w:rsidRDefault="00E040FD">
            <w:pPr>
              <w:spacing w:after="0" w:line="240" w:lineRule="auto"/>
              <w:jc w:val="both"/>
              <w:rPr>
                <w:rFonts w:ascii="Calibri" w:eastAsia="Times New Roman" w:hAnsi="Calibri" w:cs="Calibri"/>
                <w:noProof/>
                <w:sz w:val="16"/>
              </w:rPr>
            </w:pPr>
          </w:p>
        </w:tc>
      </w:tr>
    </w:tbl>
    <w:p w14:paraId="67B8C802" w14:textId="150ED53E" w:rsidR="00E040FD" w:rsidRDefault="00E040FD">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E040FD" w:rsidSect="00E00EDD">
          <w:headerReference w:type="even" r:id="rId204"/>
          <w:headerReference w:type="default" r:id="rId205"/>
          <w:footerReference w:type="even" r:id="rId206"/>
          <w:footerReference w:type="default" r:id="rId207"/>
          <w:headerReference w:type="first" r:id="rId208"/>
          <w:footerReference w:type="first" r:id="rId209"/>
          <w:pgSz w:w="16839" w:h="11907" w:orient="landscape"/>
          <w:pgMar w:top="1134" w:right="1134" w:bottom="1134" w:left="1134" w:header="567" w:footer="567" w:gutter="0"/>
          <w:cols w:space="720"/>
          <w:docGrid w:linePitch="360"/>
        </w:sectPr>
      </w:pPr>
    </w:p>
    <w:p w14:paraId="36DDF044"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J. KOMPONENT 10: Havet</w:t>
      </w:r>
    </w:p>
    <w:p w14:paraId="7B573033" w14:textId="34C41316" w:rsidR="00E040FD" w:rsidRDefault="00740D64">
      <w:pPr>
        <w:pStyle w:val="P68B1DB1-Normal4"/>
        <w:keepNext/>
        <w:spacing w:before="40" w:after="0" w:line="259" w:lineRule="auto"/>
        <w:jc w:val="both"/>
        <w:rPr>
          <w:rFonts w:eastAsiaTheme="minorEastAsia" w:cs="Times New Roman"/>
          <w:noProof/>
        </w:rPr>
      </w:pPr>
      <w:r>
        <w:rPr>
          <w:noProof/>
        </w:rPr>
        <w:t>Komponenten är inriktad på utmaningen att bana väg för en mer konkurrenskraftig, sammanhållen, inkluderande och dessutom en mer koldioxidfri och hållbar havsekonomi, ett område där Portugal har stor potential. Komponenten ska bidra till att ta vara på de möjligheter som uppstår till följd av klimatomställningen och den digitala omställningen i havsekonomin. Syftet med denna del är att stödja uppnåendet av nationella mål som rör havsekonomins produktionspotential. Denna del syftar särskilt till att säkerställa hållbarheten och konkurrenskraften i det havsrelaterade affärssystemet. Dessutom har komponenten ambitionen att åtminstone delvis ta itu med fattigdomen i kustsamhällena och samtidigt säkerställa ett konkurrenskraftigt och sammanhållet territorium i samband med klimatanpassning och digital omställning, inbegripet med fokus på kompetens som är relevant för havssektorerna. Komponenten ska också bidra till att bevara värdet av havsekosystemets tjänster.</w:t>
      </w:r>
    </w:p>
    <w:p w14:paraId="5AE10A03"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Komponenten stöder genomförandet av de landsspecifika rekommendationerna om att fokusera den ekonomiska politiken i samband med investeringar i hamnar och på innovation (landsspecifik rekommendation 3 2019) och att inrikta investeringarna på den gröna omställningen (landsspecifik rekommendation 3 2020). Dessutom bidrar komponenten till att följa den landsspecifika rekommendationen om förbättring av befolkningens kompetensnivå (landsspecifik rekommendation 2 2020). </w:t>
      </w:r>
    </w:p>
    <w:p w14:paraId="064A0E1A" w14:textId="77777777" w:rsidR="00E040FD" w:rsidRDefault="00740D64">
      <w:pPr>
        <w:pStyle w:val="P68B1DB1-Normal4"/>
        <w:keepNext/>
        <w:spacing w:before="40" w:after="0" w:line="259" w:lineRule="auto"/>
        <w:jc w:val="both"/>
        <w:rPr>
          <w:rFonts w:eastAsiaTheme="minorEastAsia" w:cs="Times New Roman"/>
          <w:noProof/>
        </w:rPr>
      </w:pPr>
      <w:r>
        <w:rPr>
          <w:noProof/>
        </w:rPr>
        <w:t>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w:t>
      </w:r>
    </w:p>
    <w:p w14:paraId="620BBC55"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7744EE41" w14:textId="77777777"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J.1. Beskrivning av reformer och investeringar avseende icke återbetalningspliktigt ekonomiskt stöd</w:t>
      </w:r>
    </w:p>
    <w:p w14:paraId="2A752A9A"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 xml:space="preserve">Reform TC-r23: Reform av ekosystemet för infrastruktur för den blå ekonomin. </w:t>
      </w:r>
    </w:p>
    <w:p w14:paraId="6BF01A81"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reform är att se över lagstiftningen om Port Tech Clusters Network (som godkändes av ministerrådet 2017), genom vilken Portugal syftar till att stärka den ekonomiska verksamheten med anknytning till havet genom att skapa affärsmöjligheter och nya arbetstillfällen, stödja export, stödja tillväxten inom sjöfarten och främja ett hållbart utnyttjande av havspotentialen. Genom reformen utvidgas nätverket Port Tech Clusters Network till ytterligare områden med tillgång till havet, och nya mål fastställs, såsom att stärka finansieringskapaciteten i havsekonomin genom en reviderad blå fond, stödja användningen av haven för att förbättra motståndskraften mot klimatförändringar, främja kompetensutveckling med anknytning till havsekonomin och den dubbla omställningen samt stärka det offentliga stödet till innovation för hållbar utveckling av havsekonomin. </w:t>
      </w:r>
    </w:p>
    <w:p w14:paraId="7535A86B"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Genom reformen inrättas styrningsmodellen för en ny blå knutpunkt, som bör vara en drivkraft för tekniköverföring mellan de olika aktörerna i värdekedjan för en ny, mer motståndskraftig och hållbar havsekonomi vars inverkan är avsedd att vara bestående och betydande för paradigmskiftet mot smart och hållbar ekonomisk utveckling för alla i de berörda sektorerna. </w:t>
      </w:r>
    </w:p>
    <w:p w14:paraId="268AFDE5" w14:textId="77777777" w:rsidR="00E040FD" w:rsidRDefault="00740D64">
      <w:pPr>
        <w:pStyle w:val="P68B1DB1-Normal4"/>
        <w:keepNext/>
        <w:spacing w:before="40" w:after="0" w:line="259" w:lineRule="auto"/>
        <w:jc w:val="both"/>
        <w:rPr>
          <w:rFonts w:eastAsiaTheme="minorEastAsia" w:cs="Times New Roman"/>
          <w:noProof/>
        </w:rPr>
      </w:pPr>
      <w:r>
        <w:rPr>
          <w:noProof/>
        </w:rPr>
        <w:t>Genomförandet av reformen ska vara slutfört senast den 31 december 2021.</w:t>
      </w:r>
    </w:p>
    <w:p w14:paraId="3D3AF8C2" w14:textId="77777777" w:rsidR="00E040FD" w:rsidRDefault="00740D64">
      <w:pPr>
        <w:pStyle w:val="P68B1DB1-Normal5"/>
        <w:keepNext/>
        <w:keepLines/>
        <w:spacing w:before="240" w:after="0" w:line="259" w:lineRule="auto"/>
        <w:ind w:left="851"/>
        <w:jc w:val="both"/>
        <w:outlineLvl w:val="3"/>
        <w:rPr>
          <w:rFonts w:eastAsiaTheme="minorEastAsia" w:cs="Times New Roman"/>
          <w:noProof/>
        </w:rPr>
      </w:pPr>
      <w:bookmarkStart w:id="23" w:name="_Hlk67034111"/>
      <w:r>
        <w:rPr>
          <w:noProof/>
        </w:rPr>
        <w:t>Investeringar TC-C10-I01: Blå nav, infrastrukturnätverket för den blå ekonomin</w:t>
      </w:r>
      <w:bookmarkEnd w:id="23"/>
    </w:p>
    <w:p w14:paraId="1A65F7A8"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investering är att skapa ett landsomfattande infrastrukturnät för den blå ekonomin i hela landet och att stärka innovationsekosystemet för den blå ekonomin. </w:t>
      </w:r>
    </w:p>
    <w:p w14:paraId="54DA9EF4"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bestå av uppförande eller renovering av ny eller befintlig infrastruktur samt investeringar i utrustning med anknytning till havsekonomin. Investeringen ska omfatta skapandet av nya blå kluster i hela landet och uppgradering eller återställande av befintliga blå kluster samt investeringar i utbildning och kompetens genom ett nytt koncept för blå skola. Investeringen ska bestå i uppförande av nya byggnader eller renovering och uppgradering av byggnader och utrustning med anknytning till havsekonomin. Investeringen ska göra det möjligt att överföra forskningsresultat till produktiva specialiseringar inom ekonomin inom de olika klustren i Portugal (inklusive Lissabon, Oeiras, Peniche, Aveiro, Porto och Algarve). Den ska också omfatta investeringar i en blå knutpunkt som ska sammanföra den kunskap som genereras av de olika klustren och stödja nätverksarbetet mellan dessa. Detta blå nav återspeglar den senaste metoden för ekonomisk utveckling i linje med Portugals strategi för smart specialisering, som har ett starkt fokus på havsekonomin. Den ska också omfatta projektet Blue Hub School, som främst omfattar investeringar i infrastruktur och utrustning, som ska omfatta en betydande dimension av kompetensutveckling, särskilt genom utformning av kursplaner i samarbete med den nationella byrån för kvalifikationer och yrkesutbildning (ANQEP) och med tonvikt på digitala plattformar och utbildning. </w:t>
      </w:r>
    </w:p>
    <w:p w14:paraId="6210D5F3"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vara genomförd senast den 31 december 2025. </w:t>
      </w:r>
    </w:p>
    <w:p w14:paraId="3AECA6EA"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Investeringar TC-C10-I02: Grön och digital omställning och säkerhet inom fisket</w:t>
      </w:r>
    </w:p>
    <w:p w14:paraId="23CC3E78" w14:textId="77777777" w:rsidR="00E040FD" w:rsidRDefault="00740D64">
      <w:pPr>
        <w:pStyle w:val="P68B1DB1-Normal4"/>
        <w:keepNext/>
        <w:spacing w:before="40" w:after="0" w:line="259" w:lineRule="auto"/>
        <w:jc w:val="both"/>
        <w:rPr>
          <w:rFonts w:eastAsia="Times New Roman" w:cs="Times New Roman"/>
          <w:noProof/>
        </w:rPr>
      </w:pPr>
      <w:r>
        <w:rPr>
          <w:noProof/>
        </w:rPr>
        <w:t>Syftet med denna investering är att</w:t>
      </w:r>
      <w:r>
        <w:rPr>
          <w:b/>
          <w:noProof/>
        </w:rPr>
        <w:t xml:space="preserve"> </w:t>
      </w:r>
      <w:r>
        <w:rPr>
          <w:noProof/>
        </w:rPr>
        <w:t xml:space="preserve">stödja finansieringen av projekt som syftar till innovation, modernisering av processer, minskning av koldioxidavtrycket och den cirkulära ekonomin inom fiskindustrin och fiskeriorganisationerna. Investeringen ska genomföras genom nära förbindelser mellan företag, sammanslutningar som företräder sektorn, producentorganisationer, vetenskapliga organ och centrala statliga organ för att maximera den sociala nyttan av investeringen. Investeringen ska bestå av en anbudsinfordran för 70 projekt som rör innovation, modernisering av processer, cirkulär ekonomi och minskning av företagens ekologiska fotavtryck inom fiskerinäringen. </w:t>
      </w:r>
    </w:p>
    <w:p w14:paraId="6D8544CD"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vara genomförd senast den 31 december 2025. </w:t>
      </w:r>
    </w:p>
    <w:p w14:paraId="1CC63106"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 xml:space="preserve">Investeringar TC-C10-i04-RAA: Utveckling av ”Cluster do Mar dos Açores”. </w:t>
      </w:r>
    </w:p>
    <w:p w14:paraId="7A537770" w14:textId="44C7D35E"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investering är att uppgradera den fasta och mobila infrastrukturen för marin forskning i den autonoma regionen Azorerna. En åtgärd ska bestå i att ersätta fartyget ”Skärgården”, som nått slutet av sin livstid, med ett modernt fartyg med hög teknisk standard i fråga om kapacitet och utrustning och hög energiprestanda för att tillgodose nuvarande behov inom havsforskning och övervakning eller för att främja en hållbar användning av haven. Den andra åtgärden ska bestå av förvärv av två moduler, som ska införlivas i forskningsfartyget, nämligen en modul för utrustning för trålar och en fjärrstyrd vattenfordonsmodul (ROV). Den sista åtgärden ska bestå i att skapa ett experimentcentrum för forskning och utveckling med anknytning till havet, som delas med institutionerna inom Azorernas vetenskapliga och tekniska system och företag, vilket leder till forskning och utveckling i traditionella och framväxande områden, såsom fiske och härledda produkter, marin bioteknik, biomaterial eller marin teknik och marina redskap, inbegripet en blå inkubator och vattenbrukscentrum på Azorerna. </w:t>
      </w:r>
    </w:p>
    <w:p w14:paraId="6F19EFBB" w14:textId="45036ACD"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30 juni 2026.</w:t>
      </w:r>
    </w:p>
    <w:p w14:paraId="17D3B2E6" w14:textId="02ECFF14" w:rsidR="00E040FD" w:rsidRDefault="00740D64">
      <w:pPr>
        <w:pStyle w:val="P68B1DB1-Normal5"/>
        <w:keepNext/>
        <w:spacing w:before="240" w:after="0" w:line="259" w:lineRule="auto"/>
        <w:ind w:left="851"/>
        <w:jc w:val="both"/>
        <w:outlineLvl w:val="3"/>
        <w:rPr>
          <w:b/>
          <w:noProof/>
        </w:rPr>
      </w:pPr>
      <w:bookmarkStart w:id="24" w:name="_Toc137472457"/>
      <w:r>
        <w:rPr>
          <w:noProof/>
        </w:rPr>
        <w:t>Investeringar</w:t>
      </w:r>
      <w:bookmarkStart w:id="25" w:name="_Toc137472458"/>
      <w:bookmarkEnd w:id="24"/>
      <w:r>
        <w:rPr>
          <w:noProof/>
        </w:rPr>
        <w:t>TC-C10-I05-RAA: Energiomställning, digitalisering och minskning av miljöpåverkan inom fiskeri- och vattenbrukssektorn</w:t>
      </w:r>
      <w:bookmarkEnd w:id="25"/>
    </w:p>
    <w:p w14:paraId="2F82CF26" w14:textId="77777777" w:rsidR="00E040FD" w:rsidRDefault="00740D64">
      <w:pPr>
        <w:pStyle w:val="P68B1DB1-Normal4"/>
        <w:spacing w:before="40" w:after="0" w:line="259" w:lineRule="auto"/>
        <w:jc w:val="both"/>
        <w:rPr>
          <w:rFonts w:cs="Times New Roman"/>
          <w:noProof/>
        </w:rPr>
      </w:pPr>
      <w:r>
        <w:rPr>
          <w:noProof/>
        </w:rPr>
        <w:t xml:space="preserve">Syftet med denna investering är att stödja projekt som syftar till att energiomställning, digitalisering och minskning av miljöpåverkan inom fiskeri- och vattenbrukssektorn i den autonoma regionen Azorerna. </w:t>
      </w:r>
    </w:p>
    <w:p w14:paraId="4851BFBB" w14:textId="71550539" w:rsidR="00E040FD" w:rsidRDefault="00740D64">
      <w:pPr>
        <w:pStyle w:val="P68B1DB1-Normal4"/>
        <w:spacing w:before="40" w:after="0" w:line="259" w:lineRule="auto"/>
        <w:jc w:val="both"/>
        <w:rPr>
          <w:rFonts w:cs="Times New Roman"/>
          <w:noProof/>
        </w:rPr>
      </w:pPr>
      <w:r>
        <w:rPr>
          <w:noProof/>
        </w:rPr>
        <w:t xml:space="preserve"> Investeringen ska bestå av 15 projekt för modernisering och förnyelse av fiskeflottan, innovation inom fiske och vattenbruk för att förbättra energiprestandan, modernisering av processer, minskning av avfallsproduktionen till havs och främjande av den cirkulära ekonomin inom fiskeri- och vattenbrukssektorerna samt diversifiering av fiskeverksamheten. </w:t>
      </w:r>
    </w:p>
    <w:p w14:paraId="2CDB0CE1" w14:textId="4128E9A1" w:rsidR="00E040FD" w:rsidRDefault="00740D64">
      <w:pPr>
        <w:pStyle w:val="P68B1DB1-Normal4"/>
        <w:spacing w:before="40" w:after="0" w:line="259" w:lineRule="auto"/>
        <w:jc w:val="both"/>
        <w:rPr>
          <w:noProof/>
        </w:rPr>
      </w:pPr>
      <w:r>
        <w:rPr>
          <w:noProof/>
        </w:rPr>
        <w:t>För att säkerställa att åtgärden är förenlig med den tekniska vägledningen om att inte orsaka betydande skada (2021/C58/01) ska kriterierna för stödberättigande i kravspecifikationerna för kommande ansökningsomgångar inte omfatta följande verksamheter: i) Verksamhet som rör fossila bränslen, inbegripet användning i senare led</w:t>
      </w:r>
      <w:r>
        <w:rPr>
          <w:noProof/>
        </w:rPr>
        <w:footnoteReference w:id="40"/>
      </w:r>
      <w:r>
        <w:rPr>
          <w:noProof/>
        </w:rPr>
        <w:t>. II) Verksamhet inom ramen för EU:s utsläppshandelssystem som uppnår beräknade växthusgasutsläpp som inte är lägre än de relevanta riktmärkena</w:t>
      </w:r>
      <w:r>
        <w:rPr>
          <w:noProof/>
        </w:rPr>
        <w:footnoteReference w:id="41"/>
      </w:r>
      <w:r>
        <w:rPr>
          <w:noProof/>
        </w:rPr>
        <w:t>. III) Verksamhet i samband med avfallsdeponier, förbränningsanläggningar</w:t>
      </w:r>
      <w:r>
        <w:rPr>
          <w:noProof/>
        </w:rPr>
        <w:footnoteReference w:id="42"/>
      </w:r>
      <w:r>
        <w:rPr>
          <w:noProof/>
        </w:rPr>
        <w:t xml:space="preserve"> och anläggningar för mekanisk biologisk behandling</w:t>
      </w:r>
      <w:r>
        <w:rPr>
          <w:noProof/>
        </w:rPr>
        <w:footnoteReference w:id="43"/>
      </w:r>
      <w:r>
        <w:rPr>
          <w:noProof/>
        </w:rPr>
        <w:t>. Uppdragsbeskrivningen ska dessutom innehålla krav på att endast verksamheter som är förenliga med relevant EU-lagstiftning och nationell miljölagstiftning får väljas ut.</w:t>
      </w:r>
    </w:p>
    <w:p w14:paraId="6A89D7B3" w14:textId="77777777" w:rsidR="00E040FD" w:rsidRDefault="00740D64">
      <w:pPr>
        <w:pStyle w:val="P68B1DB1-Normal4"/>
        <w:spacing w:before="40" w:after="0" w:line="259" w:lineRule="auto"/>
        <w:jc w:val="both"/>
        <w:rPr>
          <w:rFonts w:cs="Times New Roman"/>
          <w:i/>
          <w:noProof/>
        </w:rPr>
      </w:pPr>
      <w:r>
        <w:rPr>
          <w:noProof/>
        </w:rPr>
        <w:t>Investeringen ska vara genomförd senast den 31 mars 2026.</w:t>
      </w:r>
    </w:p>
    <w:p w14:paraId="4524D534" w14:textId="590264E0" w:rsidR="00E040FD" w:rsidRDefault="00740D64">
      <w:pPr>
        <w:pStyle w:val="P68B1DB1-Heading214"/>
        <w:spacing w:before="120"/>
        <w:rPr>
          <w:noProof/>
        </w:rPr>
      </w:pPr>
      <w:bookmarkStart w:id="26" w:name="_Toc137472459"/>
      <w:r>
        <w:rPr>
          <w:noProof/>
        </w:rPr>
        <w:t>Investeringar TC-C10-i06-RAM: Havsteknik</w:t>
      </w:r>
      <w:bookmarkEnd w:id="26"/>
    </w:p>
    <w:p w14:paraId="31140A4D" w14:textId="77777777" w:rsidR="00E040FD" w:rsidRDefault="00740D64">
      <w:pPr>
        <w:pStyle w:val="P68B1DB1-Normal4"/>
        <w:spacing w:before="40" w:after="0" w:line="259" w:lineRule="auto"/>
        <w:jc w:val="both"/>
        <w:rPr>
          <w:rFonts w:cs="Times New Roman"/>
          <w:noProof/>
        </w:rPr>
      </w:pPr>
      <w:r>
        <w:rPr>
          <w:noProof/>
        </w:rPr>
        <w:t xml:space="preserve">Syftet med denna investering är att tillgodose infrastrukturbehoven inom marinvetenskapsforskningen i den autonoma regionen Madeira och att främja kopplingarna mellan havsforskningen och den ekonomiska sektorn. </w:t>
      </w:r>
    </w:p>
    <w:p w14:paraId="68DC00B7" w14:textId="414E5E65" w:rsidR="00E040FD" w:rsidRDefault="00740D64">
      <w:pPr>
        <w:pStyle w:val="P68B1DB1-Normal4"/>
        <w:spacing w:before="40" w:after="0" w:line="259" w:lineRule="auto"/>
        <w:jc w:val="both"/>
        <w:rPr>
          <w:rFonts w:eastAsia="@MS Mincho" w:cs="Times New Roman"/>
          <w:noProof/>
        </w:rPr>
      </w:pPr>
      <w:r>
        <w:rPr>
          <w:noProof/>
        </w:rPr>
        <w:t xml:space="preserve">Investeringen ska bestå av byggande av ett energieffektivt multifunktionellt forskningsfartyg som syftar till forskning och utbildning i grunda vatten runt öarna i Madeiras skärgård och på öppet hav. Det ska också omfatta inköp av tre autonoma obemannade fordon för att möjliggöra en ökning av antalet dagar till sjöss i Nordatlanten för havsforskning samt insamling av akustiska data av hög kvalitet jämfört med andra traditionella sökmetoder. </w:t>
      </w:r>
    </w:p>
    <w:p w14:paraId="5B145707" w14:textId="09C460B5" w:rsidR="00E040FD" w:rsidRDefault="00740D64">
      <w:pPr>
        <w:pStyle w:val="P68B1DB1-Normal4"/>
        <w:spacing w:before="40" w:after="0" w:line="259" w:lineRule="auto"/>
        <w:jc w:val="both"/>
        <w:rPr>
          <w:rFonts w:eastAsia="@MS Mincho" w:cs="Times New Roman"/>
          <w:noProof/>
        </w:rPr>
      </w:pPr>
      <w:r>
        <w:rPr>
          <w:noProof/>
        </w:rPr>
        <w:t>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I synnerhet ska forskningsfartyget och de autonoma obemannade fordonen använda bästa tillgängliga teknik med lägst miljöpåverkan inom sektorn.</w:t>
      </w:r>
    </w:p>
    <w:p w14:paraId="365B8C9F" w14:textId="701FB870" w:rsidR="00E040FD" w:rsidRDefault="00740D64">
      <w:pPr>
        <w:pStyle w:val="P68B1DB1-Normal4"/>
        <w:spacing w:before="40" w:after="0" w:line="259" w:lineRule="auto"/>
        <w:jc w:val="both"/>
        <w:rPr>
          <w:rFonts w:cs="Times New Roman"/>
          <w:noProof/>
        </w:rPr>
      </w:pPr>
      <w:r>
        <w:rPr>
          <w:noProof/>
        </w:rPr>
        <w:t>Investeringen ska vara genomförd senast den 30 juni 2026.</w:t>
      </w:r>
    </w:p>
    <w:p w14:paraId="6121D230"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3D6BEFF2" w14:textId="3AF4D913" w:rsidR="00E040FD" w:rsidRDefault="00E040FD">
      <w:pPr>
        <w:keepNext/>
        <w:spacing w:before="40" w:after="0" w:line="259" w:lineRule="auto"/>
        <w:jc w:val="both"/>
        <w:rPr>
          <w:rFonts w:ascii="Times New Roman" w:eastAsiaTheme="minorEastAsia" w:hAnsi="Times New Roman" w:cs="Times New Roman"/>
          <w:noProof/>
          <w:sz w:val="24"/>
        </w:rPr>
        <w:sectPr w:rsidR="00E040FD" w:rsidSect="00E00EDD">
          <w:headerReference w:type="even" r:id="rId210"/>
          <w:headerReference w:type="default" r:id="rId211"/>
          <w:footerReference w:type="even" r:id="rId212"/>
          <w:footerReference w:type="default" r:id="rId213"/>
          <w:headerReference w:type="first" r:id="rId214"/>
          <w:footerReference w:type="first" r:id="rId215"/>
          <w:pgSz w:w="11907" w:h="16839"/>
          <w:pgMar w:top="1134" w:right="1134" w:bottom="1134" w:left="1134" w:header="567" w:footer="567" w:gutter="0"/>
          <w:cols w:space="720"/>
          <w:docGrid w:linePitch="360"/>
        </w:sectPr>
      </w:pPr>
    </w:p>
    <w:p w14:paraId="5D1E2539" w14:textId="26B1DED9"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J.2. Delmål, mål, indikatorer och tidsplan för övervakning och genomförande avseende icke återbetalningspliktigt ekonomiskt stöd</w:t>
      </w:r>
    </w:p>
    <w:p w14:paraId="6886E91A"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31"/>
        <w:gridCol w:w="1096"/>
        <w:gridCol w:w="1640"/>
        <w:gridCol w:w="1231"/>
        <w:gridCol w:w="962"/>
        <w:gridCol w:w="961"/>
        <w:gridCol w:w="690"/>
        <w:gridCol w:w="554"/>
        <w:gridCol w:w="684"/>
        <w:gridCol w:w="5223"/>
      </w:tblGrid>
      <w:tr w:rsidR="00E040FD" w14:paraId="0F42C60E" w14:textId="77777777">
        <w:trPr>
          <w:trHeight w:val="910"/>
          <w:tblHeader/>
          <w:jc w:val="center"/>
        </w:trPr>
        <w:tc>
          <w:tcPr>
            <w:tcW w:w="1101" w:type="dxa"/>
            <w:vMerge w:val="restart"/>
            <w:shd w:val="clear" w:color="auto" w:fill="BDD6EE"/>
            <w:vAlign w:val="center"/>
            <w:hideMark/>
          </w:tcPr>
          <w:p w14:paraId="1AA982C8" w14:textId="77777777" w:rsidR="00E040FD" w:rsidRDefault="00740D64">
            <w:pPr>
              <w:pStyle w:val="P68B1DB1-Normal6"/>
              <w:keepNext/>
              <w:spacing w:before="40" w:after="0" w:line="240" w:lineRule="auto"/>
              <w:jc w:val="center"/>
              <w:rPr>
                <w:rFonts w:eastAsia="Times New Roman" w:cs="Times New Roman"/>
                <w:noProof/>
              </w:rPr>
            </w:pPr>
            <w:r>
              <w:rPr>
                <w:noProof/>
              </w:rPr>
              <w:t>Löpnummer</w:t>
            </w:r>
          </w:p>
        </w:tc>
        <w:tc>
          <w:tcPr>
            <w:tcW w:w="1231" w:type="dxa"/>
            <w:vMerge w:val="restart"/>
            <w:shd w:val="clear" w:color="auto" w:fill="BDD6EE"/>
            <w:vAlign w:val="center"/>
            <w:hideMark/>
          </w:tcPr>
          <w:p w14:paraId="740B018E" w14:textId="77777777" w:rsidR="00E040FD" w:rsidRDefault="00740D64">
            <w:pPr>
              <w:pStyle w:val="P68B1DB1-Normal6"/>
              <w:keepNext/>
              <w:spacing w:before="40" w:after="0" w:line="240" w:lineRule="auto"/>
              <w:jc w:val="center"/>
              <w:rPr>
                <w:rFonts w:eastAsia="Times New Roman" w:cs="Times New Roman"/>
                <w:noProof/>
              </w:rPr>
            </w:pPr>
            <w:r>
              <w:rPr>
                <w:noProof/>
              </w:rPr>
              <w:t>Åtgärd (reform eller investering)</w:t>
            </w:r>
          </w:p>
        </w:tc>
        <w:tc>
          <w:tcPr>
            <w:tcW w:w="1096" w:type="dxa"/>
            <w:vMerge w:val="restart"/>
            <w:shd w:val="clear" w:color="auto" w:fill="BDD6EE"/>
            <w:vAlign w:val="center"/>
            <w:hideMark/>
          </w:tcPr>
          <w:p w14:paraId="654788B0" w14:textId="0180B006" w:rsidR="00E040FD" w:rsidRDefault="00740D64">
            <w:pPr>
              <w:pStyle w:val="P68B1DB1-Normal6"/>
              <w:keepNext/>
              <w:spacing w:before="40" w:after="0" w:line="240" w:lineRule="auto"/>
              <w:jc w:val="center"/>
              <w:rPr>
                <w:rFonts w:eastAsia="Times New Roman" w:cs="Times New Roman"/>
                <w:noProof/>
                <w:sz w:val="14"/>
              </w:rPr>
            </w:pPr>
            <w:r>
              <w:rPr>
                <w:noProof/>
              </w:rPr>
              <w:t>Delmål/mål</w:t>
            </w:r>
          </w:p>
        </w:tc>
        <w:tc>
          <w:tcPr>
            <w:tcW w:w="1640" w:type="dxa"/>
            <w:vMerge w:val="restart"/>
            <w:shd w:val="clear" w:color="auto" w:fill="BDD6EE"/>
            <w:vAlign w:val="center"/>
            <w:hideMark/>
          </w:tcPr>
          <w:p w14:paraId="0453BB8E" w14:textId="77777777" w:rsidR="00E040FD" w:rsidRDefault="00740D64">
            <w:pPr>
              <w:pStyle w:val="P68B1DB1-Normal6"/>
              <w:keepNext/>
              <w:spacing w:before="40" w:after="0" w:line="240" w:lineRule="auto"/>
              <w:jc w:val="center"/>
              <w:rPr>
                <w:rFonts w:eastAsia="Times New Roman" w:cs="Times New Roman"/>
                <w:noProof/>
              </w:rPr>
            </w:pPr>
            <w:r>
              <w:rPr>
                <w:noProof/>
              </w:rPr>
              <w:t>Namn</w:t>
            </w:r>
          </w:p>
        </w:tc>
        <w:tc>
          <w:tcPr>
            <w:tcW w:w="1231" w:type="dxa"/>
            <w:vMerge w:val="restart"/>
            <w:shd w:val="clear" w:color="auto" w:fill="BDD6EE"/>
            <w:vAlign w:val="center"/>
            <w:hideMark/>
          </w:tcPr>
          <w:p w14:paraId="1B4EF47B" w14:textId="77777777" w:rsidR="00E040FD" w:rsidRDefault="00740D64">
            <w:pPr>
              <w:pStyle w:val="P68B1DB1-Normal6"/>
              <w:keepNext/>
              <w:spacing w:before="40" w:after="0" w:line="240" w:lineRule="auto"/>
              <w:jc w:val="center"/>
              <w:rPr>
                <w:rFonts w:eastAsia="Times New Roman" w:cs="Times New Roman"/>
                <w:noProof/>
              </w:rPr>
            </w:pPr>
            <w:r>
              <w:rPr>
                <w:noProof/>
              </w:rPr>
              <w:t>Kvalitativa indikatorer (för delmål)</w:t>
            </w:r>
          </w:p>
        </w:tc>
        <w:tc>
          <w:tcPr>
            <w:tcW w:w="2613" w:type="dxa"/>
            <w:gridSpan w:val="3"/>
            <w:shd w:val="clear" w:color="auto" w:fill="BDD6EE"/>
            <w:vAlign w:val="center"/>
            <w:hideMark/>
          </w:tcPr>
          <w:p w14:paraId="3F05C782" w14:textId="77777777" w:rsidR="00E040FD" w:rsidRDefault="00740D64">
            <w:pPr>
              <w:pStyle w:val="P68B1DB1-Normal6"/>
              <w:keepNext/>
              <w:spacing w:before="40" w:after="0" w:line="240" w:lineRule="auto"/>
              <w:jc w:val="center"/>
              <w:rPr>
                <w:rFonts w:eastAsia="Times New Roman" w:cs="Times New Roman"/>
                <w:noProof/>
              </w:rPr>
            </w:pPr>
            <w:r>
              <w:rPr>
                <w:noProof/>
              </w:rPr>
              <w:t>Kvantitativa indikatorer (för mål)</w:t>
            </w:r>
          </w:p>
        </w:tc>
        <w:tc>
          <w:tcPr>
            <w:tcW w:w="1238" w:type="dxa"/>
            <w:gridSpan w:val="2"/>
            <w:shd w:val="clear" w:color="auto" w:fill="BDD6EE"/>
            <w:vAlign w:val="center"/>
            <w:hideMark/>
          </w:tcPr>
          <w:p w14:paraId="5BC3A23D" w14:textId="77777777" w:rsidR="00E040FD" w:rsidRDefault="00740D64">
            <w:pPr>
              <w:pStyle w:val="P68B1DB1-Normal6"/>
              <w:keepNext/>
              <w:spacing w:before="40" w:after="0" w:line="240" w:lineRule="auto"/>
              <w:jc w:val="center"/>
              <w:rPr>
                <w:rFonts w:eastAsia="Times New Roman" w:cs="Times New Roman"/>
                <w:noProof/>
              </w:rPr>
            </w:pPr>
            <w:r>
              <w:rPr>
                <w:noProof/>
              </w:rPr>
              <w:t>Preliminär tidsplan för slutförande</w:t>
            </w:r>
          </w:p>
        </w:tc>
        <w:tc>
          <w:tcPr>
            <w:tcW w:w="5223" w:type="dxa"/>
            <w:vMerge w:val="restart"/>
            <w:shd w:val="clear" w:color="auto" w:fill="BDD6EE"/>
            <w:vAlign w:val="center"/>
            <w:hideMark/>
          </w:tcPr>
          <w:p w14:paraId="7B33DA18" w14:textId="77777777" w:rsidR="00E040FD" w:rsidRDefault="00740D64">
            <w:pPr>
              <w:pStyle w:val="P68B1DB1-Normal6"/>
              <w:keepNext/>
              <w:spacing w:before="40" w:after="0" w:line="240" w:lineRule="auto"/>
              <w:jc w:val="center"/>
              <w:rPr>
                <w:rFonts w:eastAsia="Times New Roman" w:cs="Times New Roman"/>
                <w:noProof/>
              </w:rPr>
            </w:pPr>
            <w:r>
              <w:rPr>
                <w:noProof/>
              </w:rPr>
              <w:t>Beskrivning och tydlig definition av varje delmål och mål</w:t>
            </w:r>
          </w:p>
        </w:tc>
      </w:tr>
      <w:tr w:rsidR="00E040FD" w14:paraId="13FCEFA1" w14:textId="77777777">
        <w:trPr>
          <w:trHeight w:val="470"/>
          <w:tblHeader/>
          <w:jc w:val="center"/>
        </w:trPr>
        <w:tc>
          <w:tcPr>
            <w:tcW w:w="1101" w:type="dxa"/>
            <w:vMerge/>
            <w:vAlign w:val="center"/>
            <w:hideMark/>
          </w:tcPr>
          <w:p w14:paraId="0FB4B9F7" w14:textId="77777777" w:rsidR="00E040FD" w:rsidRDefault="00E040FD">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234EF905" w14:textId="77777777" w:rsidR="00E040FD" w:rsidRDefault="00E040FD">
            <w:pPr>
              <w:keepNext/>
              <w:spacing w:before="40" w:after="0" w:line="240" w:lineRule="auto"/>
              <w:jc w:val="both"/>
              <w:rPr>
                <w:rFonts w:ascii="Times New Roman" w:eastAsia="Times New Roman" w:hAnsi="Times New Roman" w:cs="Times New Roman"/>
                <w:b/>
                <w:noProof/>
                <w:sz w:val="18"/>
              </w:rPr>
            </w:pPr>
          </w:p>
        </w:tc>
        <w:tc>
          <w:tcPr>
            <w:tcW w:w="1096" w:type="dxa"/>
            <w:vMerge/>
            <w:vAlign w:val="center"/>
            <w:hideMark/>
          </w:tcPr>
          <w:p w14:paraId="27B408D0" w14:textId="11212B07" w:rsidR="00E040FD" w:rsidRDefault="00E040FD">
            <w:pPr>
              <w:keepNext/>
              <w:spacing w:before="40" w:after="0" w:line="240" w:lineRule="auto"/>
              <w:jc w:val="center"/>
              <w:rPr>
                <w:rFonts w:ascii="Times New Roman" w:eastAsia="Times New Roman" w:hAnsi="Times New Roman" w:cs="Times New Roman"/>
                <w:b/>
                <w:noProof/>
                <w:sz w:val="14"/>
              </w:rPr>
            </w:pPr>
          </w:p>
        </w:tc>
        <w:tc>
          <w:tcPr>
            <w:tcW w:w="1640" w:type="dxa"/>
            <w:vMerge/>
            <w:vAlign w:val="center"/>
            <w:hideMark/>
          </w:tcPr>
          <w:p w14:paraId="40C2DECA" w14:textId="77777777" w:rsidR="00E040FD" w:rsidRDefault="00E040FD">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0EE9D350" w14:textId="77777777" w:rsidR="00E040FD" w:rsidRDefault="00E040FD">
            <w:pPr>
              <w:keepNext/>
              <w:spacing w:before="40" w:after="0" w:line="240" w:lineRule="auto"/>
              <w:jc w:val="both"/>
              <w:rPr>
                <w:rFonts w:ascii="Times New Roman" w:eastAsia="Times New Roman" w:hAnsi="Times New Roman" w:cs="Times New Roman"/>
                <w:b/>
                <w:noProof/>
                <w:sz w:val="18"/>
              </w:rPr>
            </w:pPr>
          </w:p>
        </w:tc>
        <w:tc>
          <w:tcPr>
            <w:tcW w:w="962" w:type="dxa"/>
            <w:shd w:val="clear" w:color="auto" w:fill="BDD6EE"/>
            <w:vAlign w:val="center"/>
            <w:hideMark/>
          </w:tcPr>
          <w:p w14:paraId="3B5C5511" w14:textId="77777777" w:rsidR="00E040FD" w:rsidRDefault="00740D64">
            <w:pPr>
              <w:pStyle w:val="P68B1DB1-Normal6"/>
              <w:keepNext/>
              <w:spacing w:before="40" w:after="0" w:line="240" w:lineRule="auto"/>
              <w:jc w:val="center"/>
              <w:rPr>
                <w:rFonts w:eastAsia="Times New Roman" w:cs="Times New Roman"/>
                <w:noProof/>
              </w:rPr>
            </w:pPr>
            <w:r>
              <w:rPr>
                <w:noProof/>
              </w:rPr>
              <w:t>Enhet för åtgärd</w:t>
            </w:r>
          </w:p>
        </w:tc>
        <w:tc>
          <w:tcPr>
            <w:tcW w:w="961" w:type="dxa"/>
            <w:shd w:val="clear" w:color="auto" w:fill="BDD6EE"/>
            <w:vAlign w:val="center"/>
            <w:hideMark/>
          </w:tcPr>
          <w:p w14:paraId="60383F12" w14:textId="77777777" w:rsidR="00E040FD" w:rsidRDefault="00740D64">
            <w:pPr>
              <w:pStyle w:val="P68B1DB1-Normal6"/>
              <w:keepNext/>
              <w:spacing w:before="40" w:after="0" w:line="240" w:lineRule="auto"/>
              <w:jc w:val="center"/>
              <w:rPr>
                <w:rFonts w:eastAsia="Times New Roman" w:cs="Times New Roman"/>
                <w:noProof/>
              </w:rPr>
            </w:pPr>
            <w:r>
              <w:rPr>
                <w:noProof/>
              </w:rPr>
              <w:t>Baslinjen</w:t>
            </w:r>
          </w:p>
        </w:tc>
        <w:tc>
          <w:tcPr>
            <w:tcW w:w="690" w:type="dxa"/>
            <w:shd w:val="clear" w:color="auto" w:fill="BDD6EE"/>
            <w:vAlign w:val="center"/>
            <w:hideMark/>
          </w:tcPr>
          <w:p w14:paraId="68D883D5" w14:textId="77777777" w:rsidR="00E040FD" w:rsidRDefault="00740D64">
            <w:pPr>
              <w:pStyle w:val="P68B1DB1-Normal6"/>
              <w:keepNext/>
              <w:spacing w:before="40" w:after="0" w:line="240" w:lineRule="auto"/>
              <w:jc w:val="center"/>
              <w:rPr>
                <w:rFonts w:eastAsia="Times New Roman" w:cs="Times New Roman"/>
                <w:noProof/>
              </w:rPr>
            </w:pPr>
            <w:r>
              <w:rPr>
                <w:noProof/>
              </w:rPr>
              <w:t>Mål</w:t>
            </w:r>
          </w:p>
        </w:tc>
        <w:tc>
          <w:tcPr>
            <w:tcW w:w="554" w:type="dxa"/>
            <w:shd w:val="clear" w:color="auto" w:fill="BDD6EE"/>
            <w:vAlign w:val="center"/>
            <w:hideMark/>
          </w:tcPr>
          <w:p w14:paraId="55466A9A" w14:textId="77777777" w:rsidR="00E040FD" w:rsidRDefault="00740D64">
            <w:pPr>
              <w:pStyle w:val="P68B1DB1-Normal6"/>
              <w:keepNext/>
              <w:spacing w:before="40" w:after="0" w:line="240" w:lineRule="auto"/>
              <w:jc w:val="center"/>
              <w:rPr>
                <w:rFonts w:eastAsia="Times New Roman" w:cs="Times New Roman"/>
                <w:noProof/>
              </w:rPr>
            </w:pPr>
            <w:r>
              <w:rPr>
                <w:noProof/>
              </w:rPr>
              <w:t>Q</w:t>
            </w:r>
          </w:p>
        </w:tc>
        <w:tc>
          <w:tcPr>
            <w:tcW w:w="684" w:type="dxa"/>
            <w:shd w:val="clear" w:color="auto" w:fill="BDD6EE"/>
            <w:vAlign w:val="center"/>
            <w:hideMark/>
          </w:tcPr>
          <w:p w14:paraId="09748930" w14:textId="77777777" w:rsidR="00E040FD" w:rsidRDefault="00740D64">
            <w:pPr>
              <w:pStyle w:val="P68B1DB1-Normal6"/>
              <w:keepNext/>
              <w:spacing w:before="40" w:after="0" w:line="240" w:lineRule="auto"/>
              <w:jc w:val="center"/>
              <w:rPr>
                <w:rFonts w:eastAsia="Times New Roman" w:cs="Times New Roman"/>
                <w:noProof/>
              </w:rPr>
            </w:pPr>
            <w:r>
              <w:rPr>
                <w:noProof/>
              </w:rPr>
              <w:t>Året</w:t>
            </w:r>
          </w:p>
        </w:tc>
        <w:tc>
          <w:tcPr>
            <w:tcW w:w="5223" w:type="dxa"/>
            <w:vMerge/>
            <w:vAlign w:val="center"/>
            <w:hideMark/>
          </w:tcPr>
          <w:p w14:paraId="56BFB7D9" w14:textId="77777777" w:rsidR="00E040FD" w:rsidRDefault="00E040FD">
            <w:pPr>
              <w:keepNext/>
              <w:spacing w:before="40" w:after="0" w:line="240" w:lineRule="auto"/>
              <w:jc w:val="both"/>
              <w:rPr>
                <w:rFonts w:ascii="Times New Roman" w:eastAsia="Times New Roman" w:hAnsi="Times New Roman" w:cs="Times New Roman"/>
                <w:b/>
                <w:noProof/>
                <w:sz w:val="18"/>
              </w:rPr>
            </w:pPr>
          </w:p>
        </w:tc>
      </w:tr>
      <w:tr w:rsidR="00E040FD" w14:paraId="2FD34264" w14:textId="77777777">
        <w:trPr>
          <w:trHeight w:val="290"/>
          <w:jc w:val="center"/>
        </w:trPr>
        <w:tc>
          <w:tcPr>
            <w:tcW w:w="1101" w:type="dxa"/>
            <w:shd w:val="clear" w:color="auto" w:fill="C4EFCE"/>
            <w:vAlign w:val="center"/>
            <w:hideMark/>
          </w:tcPr>
          <w:p w14:paraId="6981A743" w14:textId="77777777" w:rsidR="00E040FD" w:rsidRDefault="00740D64">
            <w:pPr>
              <w:pStyle w:val="P68B1DB1-Normal7"/>
              <w:keepNext/>
              <w:spacing w:before="40" w:after="0" w:line="240" w:lineRule="auto"/>
              <w:jc w:val="center"/>
              <w:rPr>
                <w:rFonts w:eastAsia="Times New Roman" w:cs="Calibri"/>
                <w:noProof/>
              </w:rPr>
            </w:pPr>
            <w:r>
              <w:rPr>
                <w:noProof/>
              </w:rPr>
              <w:t>10.1</w:t>
            </w:r>
          </w:p>
        </w:tc>
        <w:tc>
          <w:tcPr>
            <w:tcW w:w="1231" w:type="dxa"/>
            <w:shd w:val="clear" w:color="auto" w:fill="C4EFCE"/>
            <w:noWrap/>
            <w:vAlign w:val="center"/>
            <w:hideMark/>
          </w:tcPr>
          <w:p w14:paraId="2DFAA2E3" w14:textId="77777777" w:rsidR="00E040FD" w:rsidRDefault="00740D64">
            <w:pPr>
              <w:pStyle w:val="P68B1DB1-Normal8"/>
              <w:keepNext/>
              <w:spacing w:before="40" w:after="0" w:line="240" w:lineRule="auto"/>
              <w:jc w:val="center"/>
              <w:rPr>
                <w:rFonts w:eastAsia="Times New Roman" w:cs="Calibri"/>
                <w:noProof/>
              </w:rPr>
            </w:pPr>
            <w:r>
              <w:rPr>
                <w:noProof/>
              </w:rPr>
              <w:t>TC-C10-r23</w:t>
            </w:r>
          </w:p>
        </w:tc>
        <w:tc>
          <w:tcPr>
            <w:tcW w:w="1096" w:type="dxa"/>
            <w:shd w:val="clear" w:color="auto" w:fill="C4EFCE"/>
            <w:noWrap/>
            <w:vAlign w:val="center"/>
            <w:hideMark/>
          </w:tcPr>
          <w:p w14:paraId="0347A760" w14:textId="77777777" w:rsidR="00E040FD" w:rsidRDefault="00740D64">
            <w:pPr>
              <w:pStyle w:val="P68B1DB1-Normal8"/>
              <w:keepNext/>
              <w:spacing w:before="40" w:after="0" w:line="240" w:lineRule="auto"/>
              <w:jc w:val="center"/>
              <w:rPr>
                <w:rFonts w:eastAsia="Times New Roman" w:cs="Calibri"/>
                <w:noProof/>
              </w:rPr>
            </w:pPr>
            <w:r>
              <w:rPr>
                <w:noProof/>
              </w:rPr>
              <w:t>M</w:t>
            </w:r>
          </w:p>
        </w:tc>
        <w:tc>
          <w:tcPr>
            <w:tcW w:w="1640" w:type="dxa"/>
            <w:shd w:val="clear" w:color="auto" w:fill="C4EFCE"/>
            <w:noWrap/>
            <w:vAlign w:val="center"/>
            <w:hideMark/>
          </w:tcPr>
          <w:p w14:paraId="6EECB73C" w14:textId="77777777" w:rsidR="00E040FD" w:rsidRDefault="00740D64">
            <w:pPr>
              <w:pStyle w:val="P68B1DB1-Normal8"/>
              <w:keepNext/>
              <w:spacing w:before="40" w:after="0" w:line="240" w:lineRule="auto"/>
              <w:jc w:val="center"/>
              <w:rPr>
                <w:rFonts w:eastAsia="Times New Roman" w:cs="Calibri"/>
                <w:noProof/>
              </w:rPr>
            </w:pPr>
            <w:r>
              <w:rPr>
                <w:noProof/>
              </w:rPr>
              <w:t>Ikraftträdande av översynen av havsministeriets akter om förstärkning av finansieringskapaciteten för havsekonomin och innovation genom den blå fonden</w:t>
            </w:r>
          </w:p>
        </w:tc>
        <w:tc>
          <w:tcPr>
            <w:tcW w:w="1231" w:type="dxa"/>
            <w:shd w:val="clear" w:color="auto" w:fill="C4EFCE"/>
            <w:noWrap/>
            <w:vAlign w:val="center"/>
            <w:hideMark/>
          </w:tcPr>
          <w:p w14:paraId="0A3E5CD5" w14:textId="77777777" w:rsidR="00E040FD" w:rsidRDefault="00740D64">
            <w:pPr>
              <w:pStyle w:val="P68B1DB1-Normal8"/>
              <w:keepNext/>
              <w:spacing w:before="40" w:after="0" w:line="240" w:lineRule="auto"/>
              <w:jc w:val="center"/>
              <w:rPr>
                <w:rFonts w:eastAsia="Times New Roman" w:cs="Calibri"/>
                <w:noProof/>
              </w:rPr>
            </w:pPr>
            <w:r>
              <w:rPr>
                <w:noProof/>
              </w:rPr>
              <w:t>Ikraftträdande av de reviderade rättsakterna från havsministeriet om förstärkning av finansieringskapaciteten för havsekonomi och innovation genom den blå fonden</w:t>
            </w:r>
          </w:p>
        </w:tc>
        <w:tc>
          <w:tcPr>
            <w:tcW w:w="962" w:type="dxa"/>
            <w:shd w:val="clear" w:color="auto" w:fill="C4EFCE"/>
            <w:noWrap/>
            <w:vAlign w:val="center"/>
            <w:hideMark/>
          </w:tcPr>
          <w:p w14:paraId="157C0E4E"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533D7F48"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7948C8CA"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784BF334" w14:textId="77777777" w:rsidR="00E040FD" w:rsidRDefault="00740D64">
            <w:pPr>
              <w:pStyle w:val="P68B1DB1-Normal8"/>
              <w:keepNext/>
              <w:spacing w:before="40" w:after="0" w:line="240" w:lineRule="auto"/>
              <w:jc w:val="center"/>
              <w:rPr>
                <w:rFonts w:eastAsia="Times New Roman" w:cs="Calibri"/>
                <w:noProof/>
              </w:rPr>
            </w:pPr>
            <w:r>
              <w:rPr>
                <w:noProof/>
              </w:rPr>
              <w:t>KVARTAL 4</w:t>
            </w:r>
          </w:p>
        </w:tc>
        <w:tc>
          <w:tcPr>
            <w:tcW w:w="684" w:type="dxa"/>
            <w:shd w:val="clear" w:color="auto" w:fill="C4EFCE"/>
            <w:noWrap/>
            <w:vAlign w:val="center"/>
            <w:hideMark/>
          </w:tcPr>
          <w:p w14:paraId="14BDFB9E" w14:textId="77777777" w:rsidR="00E040FD" w:rsidRDefault="00740D64">
            <w:pPr>
              <w:pStyle w:val="P68B1DB1-Normal8"/>
              <w:keepNext/>
              <w:spacing w:before="40" w:after="0" w:line="240" w:lineRule="auto"/>
              <w:jc w:val="center"/>
              <w:rPr>
                <w:rFonts w:eastAsia="Times New Roman" w:cs="Calibri"/>
                <w:noProof/>
              </w:rPr>
            </w:pPr>
            <w:r>
              <w:rPr>
                <w:noProof/>
              </w:rPr>
              <w:t>2021</w:t>
            </w:r>
          </w:p>
        </w:tc>
        <w:tc>
          <w:tcPr>
            <w:tcW w:w="5223" w:type="dxa"/>
            <w:shd w:val="clear" w:color="auto" w:fill="C4EFCE"/>
            <w:vAlign w:val="center"/>
            <w:hideMark/>
          </w:tcPr>
          <w:p w14:paraId="5690DF78" w14:textId="77777777" w:rsidR="00E040FD" w:rsidRDefault="00740D64">
            <w:pPr>
              <w:pStyle w:val="P68B1DB1-Normal8"/>
              <w:keepNext/>
              <w:spacing w:before="40" w:after="0" w:line="240" w:lineRule="auto"/>
              <w:jc w:val="both"/>
              <w:rPr>
                <w:rFonts w:eastAsia="Times New Roman" w:cs="Calibri"/>
                <w:noProof/>
              </w:rPr>
            </w:pPr>
            <w:r>
              <w:rPr>
                <w:noProof/>
              </w:rPr>
              <w:t xml:space="preserve">Följande akter ska ses över: </w:t>
            </w:r>
          </w:p>
          <w:p w14:paraId="0D6FC64A" w14:textId="77777777" w:rsidR="00E040FD" w:rsidRDefault="00740D64">
            <w:pPr>
              <w:pStyle w:val="P68B1DB1-Normal8"/>
              <w:keepNext/>
              <w:spacing w:before="40" w:after="0" w:line="240" w:lineRule="auto"/>
              <w:jc w:val="both"/>
              <w:rPr>
                <w:rFonts w:eastAsia="Times New Roman" w:cs="Calibri"/>
                <w:noProof/>
              </w:rPr>
            </w:pPr>
            <w:r>
              <w:rPr>
                <w:noProof/>
              </w:rPr>
              <w:t xml:space="preserve">Lagdekret nr 16/2016 av den 9 mars. </w:t>
            </w:r>
          </w:p>
          <w:p w14:paraId="08A7B94D" w14:textId="77777777" w:rsidR="00E040FD" w:rsidRDefault="00740D64">
            <w:pPr>
              <w:pStyle w:val="P68B1DB1-Normal8"/>
              <w:keepNext/>
              <w:spacing w:before="40" w:after="0" w:line="240" w:lineRule="auto"/>
              <w:jc w:val="both"/>
              <w:rPr>
                <w:rFonts w:eastAsia="Times New Roman" w:cs="Calibri"/>
                <w:noProof/>
              </w:rPr>
            </w:pPr>
            <w:r>
              <w:rPr>
                <w:noProof/>
              </w:rPr>
              <w:t xml:space="preserve">Förordning nr 343/2016 av den 30 december, </w:t>
            </w:r>
          </w:p>
          <w:p w14:paraId="3F2377ED" w14:textId="77777777" w:rsidR="00E040FD" w:rsidRDefault="00740D64">
            <w:pPr>
              <w:pStyle w:val="P68B1DB1-Normal8"/>
              <w:keepNext/>
              <w:spacing w:before="40" w:after="0" w:line="240" w:lineRule="auto"/>
              <w:jc w:val="both"/>
              <w:rPr>
                <w:rFonts w:eastAsia="Times New Roman" w:cs="Calibri"/>
                <w:noProof/>
              </w:rPr>
            </w:pPr>
            <w:r>
              <w:rPr>
                <w:noProof/>
              </w:rPr>
              <w:t xml:space="preserve">Ministerrådets resolution nr 175/2017. </w:t>
            </w:r>
          </w:p>
          <w:p w14:paraId="576A9B43" w14:textId="344466AB" w:rsidR="00E040FD" w:rsidRDefault="00740D64">
            <w:pPr>
              <w:pStyle w:val="P68B1DB1-Normal8"/>
              <w:keepNext/>
              <w:spacing w:before="40" w:after="0" w:line="240" w:lineRule="auto"/>
              <w:jc w:val="both"/>
              <w:rPr>
                <w:rFonts w:eastAsia="Times New Roman" w:cs="Calibri"/>
                <w:noProof/>
              </w:rPr>
            </w:pPr>
            <w:r>
              <w:rPr>
                <w:noProof/>
              </w:rPr>
              <w:t xml:space="preserve">Översynen av dessa akter ska bestå av en uppdatering av strategin Port Tech Clusters Network som utvidgar dess tillämpningsområde till utfasning av fossila bränslen i havsekonomin. översyn och anpassning av den blå fondens ekologiska och operativa form för att anpassa den till förvaltningen av investeringarna i komponenten. inrättande av styrmodellen för navet.  </w:t>
            </w:r>
          </w:p>
        </w:tc>
      </w:tr>
      <w:tr w:rsidR="00E040FD" w14:paraId="1C9ED07F" w14:textId="77777777">
        <w:trPr>
          <w:trHeight w:val="630"/>
          <w:jc w:val="center"/>
        </w:trPr>
        <w:tc>
          <w:tcPr>
            <w:tcW w:w="1101" w:type="dxa"/>
            <w:shd w:val="clear" w:color="auto" w:fill="C4EFCE"/>
            <w:vAlign w:val="center"/>
            <w:hideMark/>
          </w:tcPr>
          <w:p w14:paraId="20846F99" w14:textId="77777777" w:rsidR="00E040FD" w:rsidRDefault="00740D64">
            <w:pPr>
              <w:pStyle w:val="P68B1DB1-Normal7"/>
              <w:keepNext/>
              <w:spacing w:before="40" w:after="0" w:line="240" w:lineRule="auto"/>
              <w:jc w:val="center"/>
              <w:rPr>
                <w:rFonts w:eastAsia="Times New Roman" w:cs="Calibri"/>
                <w:noProof/>
              </w:rPr>
            </w:pPr>
            <w:r>
              <w:rPr>
                <w:noProof/>
              </w:rPr>
              <w:t>10.2</w:t>
            </w:r>
          </w:p>
        </w:tc>
        <w:tc>
          <w:tcPr>
            <w:tcW w:w="1231" w:type="dxa"/>
            <w:shd w:val="clear" w:color="auto" w:fill="C4EFCE"/>
            <w:noWrap/>
            <w:vAlign w:val="center"/>
            <w:hideMark/>
          </w:tcPr>
          <w:p w14:paraId="13BA066B" w14:textId="77777777" w:rsidR="00E040FD" w:rsidRDefault="00740D64">
            <w:pPr>
              <w:pStyle w:val="P68B1DB1-Normal8"/>
              <w:keepNext/>
              <w:spacing w:before="40" w:after="0" w:line="240" w:lineRule="auto"/>
              <w:jc w:val="center"/>
              <w:rPr>
                <w:rFonts w:eastAsia="Times New Roman" w:cs="Calibri"/>
                <w:noProof/>
              </w:rPr>
            </w:pPr>
            <w:r>
              <w:rPr>
                <w:noProof/>
              </w:rPr>
              <w:t>TC-C10-I01</w:t>
            </w:r>
          </w:p>
        </w:tc>
        <w:tc>
          <w:tcPr>
            <w:tcW w:w="1096" w:type="dxa"/>
            <w:shd w:val="clear" w:color="auto" w:fill="C4EFCE"/>
            <w:noWrap/>
            <w:vAlign w:val="center"/>
            <w:hideMark/>
          </w:tcPr>
          <w:p w14:paraId="6294F56F" w14:textId="77777777" w:rsidR="00E040FD" w:rsidRDefault="00740D64">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079896DE" w14:textId="77777777" w:rsidR="00E040FD" w:rsidRDefault="00740D64">
            <w:pPr>
              <w:pStyle w:val="P68B1DB1-Normal8"/>
              <w:keepNext/>
              <w:spacing w:before="40" w:after="0" w:line="240" w:lineRule="auto"/>
              <w:jc w:val="center"/>
              <w:rPr>
                <w:rFonts w:eastAsia="Times New Roman" w:cs="Calibri"/>
                <w:noProof/>
              </w:rPr>
            </w:pPr>
            <w:r>
              <w:rPr>
                <w:noProof/>
              </w:rPr>
              <w:t>Slutförande av Blue Hub School modernisering och förstärkning av utbud och utrustning</w:t>
            </w:r>
          </w:p>
        </w:tc>
        <w:tc>
          <w:tcPr>
            <w:tcW w:w="1231" w:type="dxa"/>
            <w:shd w:val="clear" w:color="auto" w:fill="C4EFCE"/>
            <w:noWrap/>
            <w:vAlign w:val="center"/>
            <w:hideMark/>
          </w:tcPr>
          <w:p w14:paraId="03E07993"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55A4B559" w14:textId="77777777" w:rsidR="00E040FD" w:rsidRDefault="00740D64">
            <w:pPr>
              <w:pStyle w:val="P68B1DB1-Normal8"/>
              <w:keepNext/>
              <w:spacing w:before="40" w:after="0" w:line="240" w:lineRule="auto"/>
              <w:jc w:val="center"/>
              <w:rPr>
                <w:rFonts w:eastAsia="Times New Roman" w:cs="Calibri"/>
                <w:noProof/>
              </w:rPr>
            </w:pPr>
            <w:r>
              <w:rPr>
                <w:noProof/>
              </w:rPr>
              <w:t xml:space="preserve">% </w:t>
            </w:r>
          </w:p>
        </w:tc>
        <w:tc>
          <w:tcPr>
            <w:tcW w:w="961" w:type="dxa"/>
            <w:shd w:val="clear" w:color="auto" w:fill="C4EFCE"/>
            <w:noWrap/>
            <w:vAlign w:val="center"/>
            <w:hideMark/>
          </w:tcPr>
          <w:p w14:paraId="2ACDF2F9" w14:textId="77777777" w:rsidR="00E040FD" w:rsidRDefault="00740D64">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39EEF38E" w14:textId="77777777" w:rsidR="00E040FD" w:rsidRDefault="00740D64">
            <w:pPr>
              <w:pStyle w:val="P68B1DB1-Normal8"/>
              <w:keepNext/>
              <w:spacing w:before="40" w:after="0" w:line="240" w:lineRule="auto"/>
              <w:jc w:val="center"/>
              <w:rPr>
                <w:rFonts w:eastAsia="Times New Roman" w:cs="Calibri"/>
                <w:noProof/>
              </w:rPr>
            </w:pPr>
            <w:r>
              <w:rPr>
                <w:noProof/>
              </w:rPr>
              <w:t>100</w:t>
            </w:r>
          </w:p>
        </w:tc>
        <w:tc>
          <w:tcPr>
            <w:tcW w:w="554" w:type="dxa"/>
            <w:shd w:val="clear" w:color="auto" w:fill="C4EFCE"/>
            <w:noWrap/>
            <w:vAlign w:val="center"/>
            <w:hideMark/>
          </w:tcPr>
          <w:p w14:paraId="1F0251CD" w14:textId="77777777" w:rsidR="00E040FD" w:rsidRDefault="00740D64">
            <w:pPr>
              <w:pStyle w:val="P68B1DB1-Normal8"/>
              <w:keepNext/>
              <w:spacing w:before="40" w:after="0" w:line="240" w:lineRule="auto"/>
              <w:jc w:val="center"/>
              <w:rPr>
                <w:rFonts w:eastAsia="Times New Roman" w:cs="Calibri"/>
                <w:noProof/>
              </w:rPr>
            </w:pPr>
            <w:r>
              <w:rPr>
                <w:noProof/>
              </w:rPr>
              <w:t>KVARTAL 4</w:t>
            </w:r>
          </w:p>
        </w:tc>
        <w:tc>
          <w:tcPr>
            <w:tcW w:w="684" w:type="dxa"/>
            <w:shd w:val="clear" w:color="auto" w:fill="C4EFCE"/>
            <w:noWrap/>
            <w:vAlign w:val="center"/>
            <w:hideMark/>
          </w:tcPr>
          <w:p w14:paraId="3708D654" w14:textId="77777777" w:rsidR="00E040FD" w:rsidRDefault="00740D64">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6734A981" w14:textId="77777777" w:rsidR="00E040FD" w:rsidRDefault="00740D64">
            <w:pPr>
              <w:pStyle w:val="P68B1DB1-Normal8"/>
              <w:keepNext/>
              <w:spacing w:before="40" w:after="0" w:line="240" w:lineRule="auto"/>
              <w:jc w:val="both"/>
              <w:rPr>
                <w:rFonts w:eastAsia="Times New Roman" w:cs="Calibri"/>
                <w:noProof/>
              </w:rPr>
            </w:pPr>
            <w:r>
              <w:rPr>
                <w:noProof/>
              </w:rPr>
              <w:t xml:space="preserve">Slutförande av moderniseringsarbetet, förstärkning av utbildningsutbudet och renovering med utrustning vid Blue Hub School. Slutförandet av ovanstående ska ske efter det att det bekräftats att de tekniska specifikationerna och avtalsförpliktelserna är uppfyllda. Den ska innehålla följande: </w:t>
            </w:r>
          </w:p>
          <w:p w14:paraId="3A3F2EF4" w14:textId="2F250900" w:rsidR="00E040FD" w:rsidRDefault="00740D64">
            <w:pPr>
              <w:keepNext/>
              <w:spacing w:before="40"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investeringar i infrastruktur och system vid </w:t>
            </w:r>
            <w:r>
              <w:rPr>
                <w:rFonts w:ascii="Calibri" w:hAnsi="Calibri"/>
                <w:i/>
                <w:noProof/>
                <w:sz w:val="16"/>
              </w:rPr>
              <w:t>Escola Superior Náutica Infante D. Henrique</w:t>
            </w:r>
            <w:r>
              <w:rPr>
                <w:rFonts w:ascii="Calibri" w:hAnsi="Calibri"/>
                <w:noProof/>
                <w:sz w:val="16"/>
              </w:rPr>
              <w:t xml:space="preserve"> (ENIDH), inklusive modernisering av 16 laboratorier och förvärv av simulatorer (för positionsbestämning av fartyg, fartygstrafikservice samt logistik och hamnverksamhet)</w:t>
            </w:r>
          </w:p>
          <w:p w14:paraId="37CC213B" w14:textId="3AD70643" w:rsidR="00E040FD" w:rsidRDefault="00740D64">
            <w:pPr>
              <w:keepNext/>
              <w:spacing w:before="40" w:after="0" w:line="240" w:lineRule="auto"/>
              <w:jc w:val="both"/>
              <w:rPr>
                <w:rFonts w:ascii="Calibri" w:eastAsia="Times New Roman" w:hAnsi="Calibri" w:cs="Calibri"/>
                <w:noProof/>
                <w:sz w:val="16"/>
              </w:rPr>
            </w:pPr>
            <w:r>
              <w:rPr>
                <w:rFonts w:ascii="Calibri" w:hAnsi="Calibri"/>
                <w:noProof/>
                <w:sz w:val="16"/>
              </w:rPr>
              <w:t>Modernisering av For-MAR: uppgradering av 6 utbildningscentrum, stödutrustning för yrkesutbildning, modernisering av it- och kommunikationssystem, digitalisering av utbildningsprocesser och utformning av e-lärande.</w:t>
            </w:r>
          </w:p>
          <w:p w14:paraId="69131879" w14:textId="2D239F23" w:rsidR="00E040FD" w:rsidRDefault="00740D64">
            <w:pPr>
              <w:pStyle w:val="P68B1DB1-Normal8"/>
              <w:keepNext/>
              <w:spacing w:before="40" w:after="0" w:line="240" w:lineRule="auto"/>
              <w:jc w:val="both"/>
              <w:rPr>
                <w:rFonts w:eastAsia="Times New Roman" w:cs="Calibri"/>
                <w:noProof/>
              </w:rPr>
            </w:pPr>
            <w:r>
              <w:rPr>
                <w:noProof/>
              </w:rPr>
              <w:t>Nya byggnader ska ha ett primärenergibehov som är minst 20 % lägre än kraven för nära-nollenergibyggnader. Energieffektivitetsrenoveringar ska i genomsnitt leda till en renovering av minst medelstor omfattning enligt definitionen i kommissionens rekommendation om byggnadsrenovering (EU) 2019/786.</w:t>
            </w:r>
          </w:p>
        </w:tc>
      </w:tr>
      <w:tr w:rsidR="00E040FD" w14:paraId="3B18127E" w14:textId="77777777">
        <w:trPr>
          <w:trHeight w:val="290"/>
          <w:jc w:val="center"/>
        </w:trPr>
        <w:tc>
          <w:tcPr>
            <w:tcW w:w="1101" w:type="dxa"/>
            <w:shd w:val="clear" w:color="auto" w:fill="C4EFCE"/>
            <w:vAlign w:val="center"/>
            <w:hideMark/>
          </w:tcPr>
          <w:p w14:paraId="1A210116" w14:textId="77777777" w:rsidR="00E040FD" w:rsidRDefault="00740D64">
            <w:pPr>
              <w:pStyle w:val="P68B1DB1-Normal7"/>
              <w:keepNext/>
              <w:spacing w:before="40" w:after="0" w:line="240" w:lineRule="auto"/>
              <w:jc w:val="center"/>
              <w:rPr>
                <w:rFonts w:eastAsia="Times New Roman" w:cs="Calibri"/>
                <w:noProof/>
              </w:rPr>
            </w:pPr>
            <w:r>
              <w:rPr>
                <w:noProof/>
              </w:rPr>
              <w:t>10.3</w:t>
            </w:r>
          </w:p>
        </w:tc>
        <w:tc>
          <w:tcPr>
            <w:tcW w:w="1231" w:type="dxa"/>
            <w:shd w:val="clear" w:color="auto" w:fill="C4EFCE"/>
            <w:noWrap/>
            <w:vAlign w:val="center"/>
            <w:hideMark/>
          </w:tcPr>
          <w:p w14:paraId="7F3373D8" w14:textId="77777777" w:rsidR="00E040FD" w:rsidRDefault="00740D64">
            <w:pPr>
              <w:pStyle w:val="P68B1DB1-Normal8"/>
              <w:keepNext/>
              <w:spacing w:before="40" w:after="0" w:line="240" w:lineRule="auto"/>
              <w:jc w:val="center"/>
              <w:rPr>
                <w:rFonts w:eastAsia="Times New Roman" w:cs="Calibri"/>
                <w:noProof/>
              </w:rPr>
            </w:pPr>
            <w:r>
              <w:rPr>
                <w:noProof/>
              </w:rPr>
              <w:t>TC-C10-I01</w:t>
            </w:r>
          </w:p>
        </w:tc>
        <w:tc>
          <w:tcPr>
            <w:tcW w:w="1096" w:type="dxa"/>
            <w:shd w:val="clear" w:color="auto" w:fill="C4EFCE"/>
            <w:noWrap/>
            <w:vAlign w:val="center"/>
            <w:hideMark/>
          </w:tcPr>
          <w:p w14:paraId="73F010EA" w14:textId="77777777" w:rsidR="00E040FD" w:rsidRDefault="00740D64">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5BC5CD21" w14:textId="77777777" w:rsidR="00E040FD" w:rsidRDefault="00740D64">
            <w:pPr>
              <w:pStyle w:val="P68B1DB1-Normal8"/>
              <w:keepNext/>
              <w:spacing w:before="40" w:after="0" w:line="240" w:lineRule="auto"/>
              <w:jc w:val="center"/>
              <w:rPr>
                <w:rFonts w:eastAsia="Times New Roman" w:cs="Calibri"/>
                <w:noProof/>
              </w:rPr>
            </w:pPr>
            <w:r>
              <w:rPr>
                <w:noProof/>
              </w:rPr>
              <w:t>Slutförande av installationen och/eller uppgraderingen av knutpunkterna för Blue Hub</w:t>
            </w:r>
          </w:p>
        </w:tc>
        <w:tc>
          <w:tcPr>
            <w:tcW w:w="1231" w:type="dxa"/>
            <w:shd w:val="clear" w:color="auto" w:fill="C4EFCE"/>
            <w:noWrap/>
            <w:vAlign w:val="center"/>
            <w:hideMark/>
          </w:tcPr>
          <w:p w14:paraId="4E5B4906"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1F0D4373" w14:textId="77777777" w:rsidR="00E040FD" w:rsidRDefault="00740D64">
            <w:pPr>
              <w:pStyle w:val="P68B1DB1-Normal8"/>
              <w:keepNext/>
              <w:spacing w:before="40" w:after="0" w:line="240" w:lineRule="auto"/>
              <w:jc w:val="center"/>
              <w:rPr>
                <w:rFonts w:eastAsia="Times New Roman" w:cs="Calibri"/>
                <w:noProof/>
              </w:rPr>
            </w:pPr>
            <w:r>
              <w:rPr>
                <w:noProof/>
              </w:rPr>
              <w:t xml:space="preserve">Antal </w:t>
            </w:r>
          </w:p>
        </w:tc>
        <w:tc>
          <w:tcPr>
            <w:tcW w:w="961" w:type="dxa"/>
            <w:shd w:val="clear" w:color="auto" w:fill="C4EFCE"/>
            <w:noWrap/>
            <w:vAlign w:val="center"/>
            <w:hideMark/>
          </w:tcPr>
          <w:p w14:paraId="5AE14534" w14:textId="77777777" w:rsidR="00E040FD" w:rsidRDefault="00740D64">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0F28BF19" w14:textId="77777777" w:rsidR="00E040FD" w:rsidRDefault="00740D64">
            <w:pPr>
              <w:pStyle w:val="P68B1DB1-Normal8"/>
              <w:keepNext/>
              <w:spacing w:before="40" w:after="0" w:line="240" w:lineRule="auto"/>
              <w:jc w:val="center"/>
              <w:rPr>
                <w:rFonts w:eastAsia="Times New Roman" w:cs="Calibri"/>
                <w:noProof/>
              </w:rPr>
            </w:pPr>
            <w:r>
              <w:rPr>
                <w:noProof/>
              </w:rPr>
              <w:t>7</w:t>
            </w:r>
          </w:p>
        </w:tc>
        <w:tc>
          <w:tcPr>
            <w:tcW w:w="554" w:type="dxa"/>
            <w:shd w:val="clear" w:color="auto" w:fill="C4EFCE"/>
            <w:noWrap/>
            <w:vAlign w:val="center"/>
            <w:hideMark/>
          </w:tcPr>
          <w:p w14:paraId="2937E871" w14:textId="77777777" w:rsidR="00E040FD" w:rsidRDefault="00740D64">
            <w:pPr>
              <w:pStyle w:val="P68B1DB1-Normal8"/>
              <w:keepNext/>
              <w:spacing w:before="40" w:after="0" w:line="240" w:lineRule="auto"/>
              <w:jc w:val="center"/>
              <w:rPr>
                <w:rFonts w:eastAsia="Times New Roman" w:cs="Calibri"/>
                <w:noProof/>
              </w:rPr>
            </w:pPr>
            <w:r>
              <w:rPr>
                <w:noProof/>
              </w:rPr>
              <w:t>KVARTAL 4</w:t>
            </w:r>
          </w:p>
        </w:tc>
        <w:tc>
          <w:tcPr>
            <w:tcW w:w="684" w:type="dxa"/>
            <w:shd w:val="clear" w:color="auto" w:fill="C4EFCE"/>
            <w:noWrap/>
            <w:vAlign w:val="center"/>
            <w:hideMark/>
          </w:tcPr>
          <w:p w14:paraId="60DD0007" w14:textId="77777777" w:rsidR="00E040FD" w:rsidRDefault="00740D64">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4CB843FB" w14:textId="77777777" w:rsidR="00E040FD" w:rsidRDefault="00740D64">
            <w:pPr>
              <w:pStyle w:val="P68B1DB1-Normal8"/>
              <w:keepNext/>
              <w:spacing w:before="40" w:after="0" w:line="240" w:lineRule="auto"/>
              <w:jc w:val="both"/>
              <w:rPr>
                <w:rFonts w:eastAsia="Times New Roman" w:cs="Calibri"/>
                <w:noProof/>
              </w:rPr>
            </w:pPr>
            <w:r>
              <w:rPr>
                <w:noProof/>
              </w:rPr>
              <w:t xml:space="preserve">Slutförande av arbetena (uppförande, renovering och utrustning) för 7 blå nav. De nya eller uppgraderade blå naven omfattar följande: </w:t>
            </w:r>
          </w:p>
          <w:p w14:paraId="23E9EE6A" w14:textId="45B1D28B" w:rsidR="00E040FD" w:rsidRDefault="00740D64">
            <w:pPr>
              <w:keepNext/>
              <w:spacing w:before="40" w:after="0" w:line="240" w:lineRule="auto"/>
              <w:jc w:val="both"/>
              <w:rPr>
                <w:rFonts w:ascii="Calibri" w:eastAsia="Times New Roman" w:hAnsi="Calibri" w:cs="Calibri"/>
                <w:noProof/>
                <w:sz w:val="16"/>
              </w:rPr>
            </w:pPr>
            <w:r>
              <w:rPr>
                <w:rFonts w:ascii="Calibri" w:hAnsi="Calibri"/>
                <w:noProof/>
                <w:sz w:val="16"/>
              </w:rPr>
              <w:t>1.</w:t>
            </w:r>
            <w:r>
              <w:rPr>
                <w:rFonts w:ascii="Times New Roman" w:hAnsi="Times New Roman"/>
                <w:noProof/>
                <w:sz w:val="14"/>
              </w:rPr>
              <w:t xml:space="preserve"> </w:t>
            </w:r>
            <w:r>
              <w:rPr>
                <w:rFonts w:ascii="Calibri" w:hAnsi="Calibri"/>
                <w:noProof/>
                <w:sz w:val="16"/>
              </w:rPr>
              <w:t xml:space="preserve">Nav för företag och gemensamma havslaboratorier i Lissabon: renovering av en byggnad för havslabb med bland annat laboratorieinfrastruktur, bioraffinaderienheter, utrymme för nationell biobank av marina resurser och kontorsutrymme för tekniska företag. </w:t>
            </w:r>
          </w:p>
          <w:p w14:paraId="43ED232C" w14:textId="51E70B4B" w:rsidR="00E040FD" w:rsidRDefault="00740D64">
            <w:pPr>
              <w:keepNext/>
              <w:spacing w:before="40" w:after="0" w:line="240" w:lineRule="auto"/>
              <w:jc w:val="both"/>
              <w:rPr>
                <w:rFonts w:ascii="Calibri" w:eastAsia="Times New Roman" w:hAnsi="Calibri"/>
                <w:noProof/>
                <w:sz w:val="16"/>
              </w:rPr>
            </w:pPr>
            <w:r>
              <w:rPr>
                <w:rFonts w:ascii="Calibri" w:hAnsi="Calibri"/>
                <w:noProof/>
                <w:sz w:val="16"/>
              </w:rPr>
              <w:t>2.</w:t>
            </w:r>
            <w:r>
              <w:rPr>
                <w:rFonts w:ascii="Times New Roman" w:hAnsi="Times New Roman"/>
                <w:noProof/>
                <w:sz w:val="14"/>
              </w:rPr>
              <w:t xml:space="preserve"> </w:t>
            </w:r>
            <w:r>
              <w:rPr>
                <w:rFonts w:ascii="Calibri" w:hAnsi="Calibri"/>
                <w:noProof/>
                <w:sz w:val="16"/>
              </w:rPr>
              <w:t xml:space="preserve">Navet IPMA/Sea Oeiras för att förbättra kapaciteten för övervakning av havet: inklusive byggande av en hangar för havsteknikenheten, inklusive rullbro, verkstadsområden, arkivbyggnad med roterande hyllor för prover som måste bevaras i flytande medium, utrustning för fiskeriforskning. Det omfattar även radarutrustning för realtidsövervakning. </w:t>
            </w:r>
          </w:p>
          <w:p w14:paraId="1D5FC4FC" w14:textId="27A90C32" w:rsidR="00E040FD" w:rsidRDefault="00740D64">
            <w:pPr>
              <w:keepNext/>
              <w:spacing w:before="40" w:after="0" w:line="240" w:lineRule="auto"/>
              <w:jc w:val="both"/>
              <w:rPr>
                <w:rFonts w:ascii="Calibri" w:eastAsia="Times New Roman" w:hAnsi="Calibri" w:cs="Calibri"/>
                <w:noProof/>
                <w:sz w:val="16"/>
              </w:rPr>
            </w:pPr>
            <w:r>
              <w:rPr>
                <w:rFonts w:ascii="Calibri" w:hAnsi="Calibri"/>
                <w:noProof/>
                <w:sz w:val="16"/>
              </w:rPr>
              <w:t>3.</w:t>
            </w:r>
            <w:r>
              <w:rPr>
                <w:rFonts w:ascii="Times New Roman" w:hAnsi="Times New Roman"/>
                <w:noProof/>
                <w:sz w:val="14"/>
              </w:rPr>
              <w:t xml:space="preserve"> </w:t>
            </w:r>
            <w:r>
              <w:rPr>
                <w:rFonts w:ascii="Calibri" w:hAnsi="Calibri"/>
                <w:noProof/>
                <w:sz w:val="16"/>
              </w:rPr>
              <w:t>Centrumet för smarta havspeniche: inklusive uppbyggnad av infrastruktur, en vetenskaps- och teknikpark i Peniches fiskehamn, uppförande och införande av ett system för insamling och behandling av saltvatten, öppet utrymme för spridning av kunskap om havsfrågor.</w:t>
            </w:r>
          </w:p>
          <w:p w14:paraId="65B36634" w14:textId="1B45ACBD" w:rsidR="00E040FD" w:rsidRDefault="00740D64">
            <w:pPr>
              <w:keepNext/>
              <w:spacing w:before="40" w:after="0" w:line="240" w:lineRule="auto"/>
              <w:jc w:val="both"/>
              <w:rPr>
                <w:rFonts w:ascii="Calibri" w:eastAsia="Times New Roman" w:hAnsi="Calibri" w:cs="Calibri"/>
                <w:noProof/>
                <w:sz w:val="16"/>
              </w:rPr>
            </w:pPr>
            <w:r>
              <w:rPr>
                <w:rFonts w:ascii="Calibri" w:hAnsi="Calibri"/>
                <w:noProof/>
                <w:sz w:val="16"/>
              </w:rPr>
              <w:t>4.</w:t>
            </w:r>
            <w:r>
              <w:rPr>
                <w:rFonts w:ascii="Times New Roman" w:hAnsi="Times New Roman"/>
                <w:noProof/>
                <w:sz w:val="14"/>
              </w:rPr>
              <w:t xml:space="preserve"> </w:t>
            </w:r>
            <w:r>
              <w:rPr>
                <w:rFonts w:ascii="Calibri" w:hAnsi="Calibri"/>
                <w:noProof/>
                <w:sz w:val="16"/>
              </w:rPr>
              <w:t>Aveiro-navet: inklusive förnyelse av det gamla systemet för caption, behandling och distribution av havsvatten, ett nationellt laboratorium för utveckling och testning av fiskeri- och vattenbruksprodukter, produktion 5.0 laboratorium för alger och hyllfisk.</w:t>
            </w:r>
          </w:p>
          <w:p w14:paraId="62DA030E" w14:textId="5B008894" w:rsidR="00E040FD" w:rsidRDefault="00740D64">
            <w:pPr>
              <w:keepNext/>
              <w:spacing w:before="40" w:after="0" w:line="240" w:lineRule="auto"/>
              <w:jc w:val="both"/>
              <w:rPr>
                <w:rFonts w:ascii="Calibri" w:eastAsia="Times New Roman" w:hAnsi="Calibri" w:cs="Calibri"/>
                <w:noProof/>
                <w:sz w:val="16"/>
              </w:rPr>
            </w:pPr>
            <w:r>
              <w:rPr>
                <w:rFonts w:ascii="Calibri" w:hAnsi="Calibri"/>
                <w:noProof/>
                <w:sz w:val="16"/>
              </w:rPr>
              <w:t>5.</w:t>
            </w:r>
            <w:r>
              <w:rPr>
                <w:rFonts w:ascii="Times New Roman" w:hAnsi="Times New Roman"/>
                <w:noProof/>
                <w:sz w:val="14"/>
              </w:rPr>
              <w:t xml:space="preserve"> Navet</w:t>
            </w:r>
            <w:r>
              <w:rPr>
                <w:rFonts w:ascii="Calibri" w:hAnsi="Calibri"/>
                <w:noProof/>
                <w:sz w:val="16"/>
              </w:rPr>
              <w:t>Ocean.Plus i Porto, Leixões I: inbegripet en uppsättning gemensam infrastruktur för forskarsamhället för att stödja forskare i alla skeden av den vetenskapliga och tekniska utvecklingen, från utformning till prototyputveckling, införande av fälttester, teknikvalidering och kunskapsöverföring, inbegripet logistik och havsbaserade plattformar med enkel tillgång för det vetenskapliga och innovativa samfundet.</w:t>
            </w:r>
          </w:p>
          <w:p w14:paraId="191EC3E9" w14:textId="3E847F44" w:rsidR="00E040FD" w:rsidRDefault="00740D64">
            <w:pPr>
              <w:keepNext/>
              <w:spacing w:before="40" w:after="0" w:line="240" w:lineRule="auto"/>
              <w:jc w:val="both"/>
              <w:rPr>
                <w:rFonts w:ascii="Calibri" w:eastAsia="Times New Roman" w:hAnsi="Calibri" w:cs="Calibri"/>
                <w:noProof/>
                <w:sz w:val="16"/>
              </w:rPr>
            </w:pPr>
            <w:r>
              <w:rPr>
                <w:rFonts w:ascii="Calibri" w:hAnsi="Calibri"/>
                <w:noProof/>
                <w:sz w:val="16"/>
              </w:rPr>
              <w:t>6.</w:t>
            </w:r>
            <w:r>
              <w:rPr>
                <w:rFonts w:ascii="Times New Roman" w:hAnsi="Times New Roman"/>
                <w:noProof/>
                <w:sz w:val="14"/>
              </w:rPr>
              <w:t xml:space="preserve"> </w:t>
            </w:r>
            <w:r>
              <w:rPr>
                <w:rFonts w:ascii="Calibri" w:hAnsi="Calibri"/>
                <w:noProof/>
                <w:sz w:val="16"/>
              </w:rPr>
              <w:t>Porto Hub/Leixões II: Centrum för ledning och kontroll av obemannade fordon till sjöss: inklusive obemannade fordon med flera domäner (under markytan, på marken och på lång sikt i luften) som är utrustade med sensorer för mätning av väsentliga havsvariabler (EoV), en styr- och kontrollcentral samt dator- och kommunikationssystem.</w:t>
            </w:r>
          </w:p>
          <w:p w14:paraId="77BDFD13" w14:textId="7C1323F3" w:rsidR="00E040FD" w:rsidRDefault="00740D64">
            <w:pPr>
              <w:keepNext/>
              <w:spacing w:before="40" w:after="0" w:line="240" w:lineRule="auto"/>
              <w:jc w:val="both"/>
              <w:rPr>
                <w:rFonts w:ascii="Calibri" w:eastAsia="Times New Roman" w:hAnsi="Calibri" w:cs="Calibri"/>
                <w:noProof/>
                <w:sz w:val="16"/>
              </w:rPr>
            </w:pPr>
            <w:r>
              <w:rPr>
                <w:rFonts w:ascii="Calibri" w:hAnsi="Calibri"/>
                <w:noProof/>
                <w:sz w:val="16"/>
              </w:rPr>
              <w:t>7.</w:t>
            </w:r>
            <w:r>
              <w:rPr>
                <w:rFonts w:ascii="Times New Roman" w:hAnsi="Times New Roman"/>
                <w:noProof/>
                <w:sz w:val="14"/>
              </w:rPr>
              <w:t xml:space="preserve"> </w:t>
            </w:r>
            <w:r>
              <w:rPr>
                <w:rFonts w:ascii="Calibri" w:hAnsi="Calibri"/>
                <w:noProof/>
                <w:sz w:val="16"/>
              </w:rPr>
              <w:t>Algarve Hub: omfattar inrättande av ny infrastruktur och utrustning, laboratorier och kontor, utrymme för nya företag (kapacitet på omkring 15 företag och 90 arbetstillfällen) med fokus på blå bioteknik, vattenbruk, livsmedelsfoder och marina bioresurser, produktutveckling och kunskapsskapande.</w:t>
            </w:r>
          </w:p>
          <w:p w14:paraId="7AE1994E" w14:textId="77777777" w:rsidR="00E040FD" w:rsidRDefault="00740D64">
            <w:pPr>
              <w:pStyle w:val="P68B1DB1-Normal8"/>
              <w:keepNext/>
              <w:spacing w:before="40" w:after="0" w:line="240" w:lineRule="auto"/>
              <w:jc w:val="both"/>
              <w:rPr>
                <w:rFonts w:eastAsia="Times New Roman" w:cs="Calibri"/>
                <w:noProof/>
              </w:rPr>
            </w:pPr>
            <w:r>
              <w:rPr>
                <w:noProof/>
              </w:rPr>
              <w:t>Affärsmodellen och en professionell tillfällig företagsledningsgrupp för det blå navet ska återskapas och rekryteras (även omfatta Blue Hub School).</w:t>
            </w:r>
          </w:p>
          <w:p w14:paraId="30FFCC06" w14:textId="77777777" w:rsidR="00E040FD" w:rsidRDefault="00740D64">
            <w:pPr>
              <w:pStyle w:val="P68B1DB1-Normal8"/>
              <w:keepNext/>
              <w:spacing w:before="40" w:after="0" w:line="240" w:lineRule="auto"/>
              <w:jc w:val="both"/>
              <w:rPr>
                <w:rFonts w:eastAsia="Times New Roman" w:cs="Calibri"/>
                <w:noProof/>
              </w:rPr>
            </w:pPr>
            <w:r>
              <w:rPr>
                <w:noProof/>
              </w:rPr>
              <w:t xml:space="preserve">Detta initiativ ska ingå i genomförandet av den nationella havsstrategin 2021–30 inom ramen för de strategiska målen 1, 2, 3, 6, 7 och 9. </w:t>
            </w:r>
          </w:p>
          <w:p w14:paraId="1957099A" w14:textId="05570FBA" w:rsidR="00E040FD" w:rsidRDefault="00740D64">
            <w:pPr>
              <w:pStyle w:val="P68B1DB1-Normal8"/>
              <w:keepNext/>
              <w:spacing w:before="40" w:after="0" w:line="240" w:lineRule="auto"/>
              <w:jc w:val="both"/>
              <w:rPr>
                <w:rFonts w:eastAsia="Times New Roman" w:cs="Calibri"/>
                <w:noProof/>
              </w:rPr>
            </w:pPr>
            <w:r>
              <w:rPr>
                <w:noProof/>
              </w:rPr>
              <w:t>Slutförandet av ovanstående ska ske efter det att det bekräftats att de tekniska specifikationerna och avtalsförpliktelserna är uppfyllda. Nya byggnader ska ha ett primärenergibehov som är minst 20 % lägre än kraven för nära-nollenergibyggnader. Energieffektivitetsrenoveringar ska i genomsnitt leda till en renovering av minst medelstor omfattning enligt definitionen i kommissionens rekommendation om byggnadsrenovering (EU) 2019/786.</w:t>
            </w:r>
          </w:p>
        </w:tc>
      </w:tr>
      <w:tr w:rsidR="00E040FD" w14:paraId="476877EB" w14:textId="77777777">
        <w:trPr>
          <w:trHeight w:val="2116"/>
          <w:jc w:val="center"/>
        </w:trPr>
        <w:tc>
          <w:tcPr>
            <w:tcW w:w="1101" w:type="dxa"/>
            <w:shd w:val="clear" w:color="auto" w:fill="C4EFCE"/>
            <w:vAlign w:val="center"/>
            <w:hideMark/>
          </w:tcPr>
          <w:p w14:paraId="789549CF" w14:textId="77777777" w:rsidR="00E040FD" w:rsidRDefault="00740D64">
            <w:pPr>
              <w:pStyle w:val="P68B1DB1-Normal7"/>
              <w:keepNext/>
              <w:spacing w:before="40" w:after="0" w:line="240" w:lineRule="auto"/>
              <w:jc w:val="center"/>
              <w:rPr>
                <w:rFonts w:eastAsia="Times New Roman" w:cs="Calibri"/>
                <w:noProof/>
              </w:rPr>
            </w:pPr>
            <w:r>
              <w:rPr>
                <w:noProof/>
              </w:rPr>
              <w:t>10.4</w:t>
            </w:r>
          </w:p>
        </w:tc>
        <w:tc>
          <w:tcPr>
            <w:tcW w:w="1231" w:type="dxa"/>
            <w:shd w:val="clear" w:color="auto" w:fill="C4EFCE"/>
            <w:noWrap/>
            <w:vAlign w:val="center"/>
            <w:hideMark/>
          </w:tcPr>
          <w:p w14:paraId="123D829D" w14:textId="77777777" w:rsidR="00E040FD" w:rsidRDefault="00740D64">
            <w:pPr>
              <w:pStyle w:val="P68B1DB1-Normal8"/>
              <w:keepNext/>
              <w:spacing w:before="40" w:after="0" w:line="240" w:lineRule="auto"/>
              <w:jc w:val="center"/>
              <w:rPr>
                <w:rFonts w:eastAsia="Times New Roman" w:cs="Calibri"/>
                <w:noProof/>
              </w:rPr>
            </w:pPr>
            <w:r>
              <w:rPr>
                <w:noProof/>
              </w:rPr>
              <w:t>TC-C10-I02</w:t>
            </w:r>
          </w:p>
        </w:tc>
        <w:tc>
          <w:tcPr>
            <w:tcW w:w="1096" w:type="dxa"/>
            <w:shd w:val="clear" w:color="auto" w:fill="C4EFCE"/>
            <w:noWrap/>
            <w:vAlign w:val="center"/>
            <w:hideMark/>
          </w:tcPr>
          <w:p w14:paraId="5CC8709D" w14:textId="77777777" w:rsidR="00E040FD" w:rsidRDefault="00740D64">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10951DFD" w14:textId="77777777" w:rsidR="00E040FD" w:rsidRDefault="00740D64">
            <w:pPr>
              <w:pStyle w:val="P68B1DB1-Normal8"/>
              <w:keepNext/>
              <w:spacing w:before="40" w:after="0" w:line="240" w:lineRule="auto"/>
              <w:jc w:val="center"/>
              <w:rPr>
                <w:rFonts w:eastAsia="Times New Roman" w:cs="Calibri"/>
                <w:noProof/>
              </w:rPr>
            </w:pPr>
            <w:r>
              <w:rPr>
                <w:noProof/>
              </w:rPr>
              <w:t>Godkännande av slutrapporterna för 70 projekt till stöd för innovation, energiomställning och minskning av miljöpåverkan för enheter inom fiskesektorn</w:t>
            </w:r>
          </w:p>
        </w:tc>
        <w:tc>
          <w:tcPr>
            <w:tcW w:w="1231" w:type="dxa"/>
            <w:shd w:val="clear" w:color="auto" w:fill="C4EFCE"/>
            <w:noWrap/>
            <w:vAlign w:val="center"/>
            <w:hideMark/>
          </w:tcPr>
          <w:p w14:paraId="43AC3C6A"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41968F9D" w14:textId="77777777" w:rsidR="00E040FD" w:rsidRDefault="00740D64">
            <w:pPr>
              <w:pStyle w:val="P68B1DB1-Normal8"/>
              <w:keepNext/>
              <w:spacing w:before="40" w:after="0" w:line="240" w:lineRule="auto"/>
              <w:jc w:val="center"/>
              <w:rPr>
                <w:rFonts w:eastAsia="Times New Roman" w:cs="Calibri"/>
                <w:noProof/>
              </w:rPr>
            </w:pPr>
            <w:r>
              <w:rPr>
                <w:noProof/>
              </w:rPr>
              <w:t xml:space="preserve">Antal </w:t>
            </w:r>
          </w:p>
        </w:tc>
        <w:tc>
          <w:tcPr>
            <w:tcW w:w="961" w:type="dxa"/>
            <w:shd w:val="clear" w:color="auto" w:fill="C4EFCE"/>
            <w:noWrap/>
            <w:vAlign w:val="center"/>
            <w:hideMark/>
          </w:tcPr>
          <w:p w14:paraId="48106376" w14:textId="77777777" w:rsidR="00E040FD" w:rsidRDefault="00740D64">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37C46F26" w14:textId="77777777" w:rsidR="00E040FD" w:rsidRDefault="00740D64">
            <w:pPr>
              <w:pStyle w:val="P68B1DB1-Normal8"/>
              <w:keepNext/>
              <w:spacing w:before="40" w:after="0" w:line="240" w:lineRule="auto"/>
              <w:jc w:val="center"/>
              <w:rPr>
                <w:rFonts w:eastAsia="Times New Roman" w:cs="Calibri"/>
                <w:noProof/>
              </w:rPr>
            </w:pPr>
            <w:r>
              <w:rPr>
                <w:noProof/>
              </w:rPr>
              <w:t>70</w:t>
            </w:r>
          </w:p>
        </w:tc>
        <w:tc>
          <w:tcPr>
            <w:tcW w:w="554" w:type="dxa"/>
            <w:shd w:val="clear" w:color="auto" w:fill="C4EFCE"/>
            <w:noWrap/>
            <w:vAlign w:val="center"/>
            <w:hideMark/>
          </w:tcPr>
          <w:p w14:paraId="05E8D103" w14:textId="77777777" w:rsidR="00E040FD" w:rsidRDefault="00740D64">
            <w:pPr>
              <w:pStyle w:val="P68B1DB1-Normal8"/>
              <w:keepNext/>
              <w:spacing w:before="40" w:after="0" w:line="240" w:lineRule="auto"/>
              <w:jc w:val="center"/>
              <w:rPr>
                <w:rFonts w:eastAsia="Times New Roman" w:cs="Calibri"/>
                <w:noProof/>
              </w:rPr>
            </w:pPr>
            <w:r>
              <w:rPr>
                <w:noProof/>
              </w:rPr>
              <w:t>KVARTAL 4</w:t>
            </w:r>
          </w:p>
        </w:tc>
        <w:tc>
          <w:tcPr>
            <w:tcW w:w="684" w:type="dxa"/>
            <w:shd w:val="clear" w:color="auto" w:fill="C4EFCE"/>
            <w:noWrap/>
            <w:vAlign w:val="center"/>
            <w:hideMark/>
          </w:tcPr>
          <w:p w14:paraId="4FA70926" w14:textId="77777777" w:rsidR="00E040FD" w:rsidRDefault="00740D64">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5616E553" w14:textId="7802FC27" w:rsidR="00E040FD" w:rsidRDefault="00740D64">
            <w:pPr>
              <w:pStyle w:val="P68B1DB1-Normal8"/>
              <w:keepNext/>
              <w:spacing w:before="40" w:after="0" w:line="240" w:lineRule="auto"/>
              <w:jc w:val="both"/>
              <w:rPr>
                <w:rFonts w:eastAsia="Times New Roman" w:cs="Calibri"/>
                <w:noProof/>
              </w:rPr>
            </w:pPr>
            <w:r>
              <w:rPr>
                <w:noProof/>
              </w:rPr>
              <w:t>Godkännande av slutrapporter om genomförandet av 70 projekt till stöd för innovation, energiomställning och minskning av miljöpåverkan för enheter inom fiskesektorn av DGRM-IFAP (generaldirektoratet för naturresurser, säkerhet och sjöfartstjänster). DGRM-IFAP ska mäta de kvantitativa framstegen i förhållande till de särskilda mål som man kom överens om när grundfinansieringen tilldelades efter två anbudsinfordringar som anordnades av DGRM-IFAP och som planeras inledas 2021 och 2022</w:t>
            </w:r>
            <w:r>
              <w:rPr>
                <w:noProof/>
                <w:shd w:val="clear" w:color="auto" w:fill="E6E6E6"/>
              </w:rPr>
              <w:t>.</w:t>
            </w:r>
          </w:p>
        </w:tc>
      </w:tr>
      <w:tr w:rsidR="00E040FD" w14:paraId="7741B9D8" w14:textId="77777777">
        <w:trPr>
          <w:trHeight w:val="630"/>
          <w:jc w:val="center"/>
        </w:trPr>
        <w:tc>
          <w:tcPr>
            <w:tcW w:w="1101" w:type="dxa"/>
            <w:shd w:val="clear" w:color="auto" w:fill="C4EFCE"/>
            <w:vAlign w:val="center"/>
            <w:hideMark/>
          </w:tcPr>
          <w:p w14:paraId="39E27BD5" w14:textId="77777777" w:rsidR="00E040FD" w:rsidRDefault="00740D64">
            <w:pPr>
              <w:pStyle w:val="P68B1DB1-Normal7"/>
              <w:keepNext/>
              <w:spacing w:before="40" w:after="0" w:line="240" w:lineRule="auto"/>
              <w:jc w:val="center"/>
              <w:rPr>
                <w:rFonts w:eastAsia="Times New Roman" w:cs="Calibri"/>
                <w:noProof/>
              </w:rPr>
            </w:pPr>
            <w:r>
              <w:rPr>
                <w:noProof/>
              </w:rPr>
              <w:t>10.8</w:t>
            </w:r>
          </w:p>
        </w:tc>
        <w:tc>
          <w:tcPr>
            <w:tcW w:w="1231" w:type="dxa"/>
            <w:shd w:val="clear" w:color="auto" w:fill="C4EFCE"/>
            <w:noWrap/>
            <w:vAlign w:val="center"/>
            <w:hideMark/>
          </w:tcPr>
          <w:p w14:paraId="40B57651" w14:textId="77777777" w:rsidR="00E040FD" w:rsidRDefault="00740D64">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0C88D666" w14:textId="77777777" w:rsidR="00E040FD" w:rsidRDefault="00740D64">
            <w:pPr>
              <w:pStyle w:val="P68B1DB1-Normal8"/>
              <w:keepNext/>
              <w:spacing w:before="40" w:after="0" w:line="240" w:lineRule="auto"/>
              <w:jc w:val="center"/>
              <w:rPr>
                <w:rFonts w:eastAsia="Times New Roman" w:cs="Calibri"/>
                <w:noProof/>
              </w:rPr>
            </w:pPr>
            <w:r>
              <w:rPr>
                <w:noProof/>
              </w:rPr>
              <w:t>M</w:t>
            </w:r>
          </w:p>
        </w:tc>
        <w:tc>
          <w:tcPr>
            <w:tcW w:w="1640" w:type="dxa"/>
            <w:shd w:val="clear" w:color="auto" w:fill="C4EFCE"/>
            <w:noWrap/>
            <w:vAlign w:val="center"/>
            <w:hideMark/>
          </w:tcPr>
          <w:p w14:paraId="7895B9C7" w14:textId="2C5299C6" w:rsidR="00E040FD" w:rsidRDefault="00740D64">
            <w:pPr>
              <w:pStyle w:val="P68B1DB1-Normal8"/>
              <w:keepNext/>
              <w:spacing w:before="40" w:after="0" w:line="240" w:lineRule="auto"/>
              <w:jc w:val="center"/>
              <w:rPr>
                <w:rFonts w:eastAsia="Times New Roman" w:cs="Calibri"/>
                <w:noProof/>
              </w:rPr>
            </w:pPr>
            <w:r>
              <w:rPr>
                <w:noProof/>
              </w:rPr>
              <w:t>Inledande av avtal om offentliga bygg- och anläggningsarbeten för det tekniska centrumet MARTEC</w:t>
            </w:r>
          </w:p>
        </w:tc>
        <w:tc>
          <w:tcPr>
            <w:tcW w:w="1231" w:type="dxa"/>
            <w:shd w:val="clear" w:color="auto" w:fill="C4EFCE"/>
            <w:noWrap/>
            <w:vAlign w:val="center"/>
            <w:hideMark/>
          </w:tcPr>
          <w:p w14:paraId="23050660" w14:textId="1D88FF3D" w:rsidR="00E040FD" w:rsidRDefault="00740D64">
            <w:pPr>
              <w:pStyle w:val="P68B1DB1-Normal8"/>
              <w:keepNext/>
              <w:spacing w:before="40" w:after="0" w:line="240" w:lineRule="auto"/>
              <w:jc w:val="center"/>
              <w:rPr>
                <w:rFonts w:eastAsia="Times New Roman" w:cs="Calibri"/>
                <w:noProof/>
              </w:rPr>
            </w:pPr>
            <w:r>
              <w:rPr>
                <w:noProof/>
              </w:rPr>
              <w:t>Inledande av byggnadsarbeten för det tekniska centrumet MARTEC</w:t>
            </w:r>
          </w:p>
        </w:tc>
        <w:tc>
          <w:tcPr>
            <w:tcW w:w="962" w:type="dxa"/>
            <w:shd w:val="clear" w:color="auto" w:fill="C4EFCE"/>
            <w:noWrap/>
            <w:vAlign w:val="center"/>
            <w:hideMark/>
          </w:tcPr>
          <w:p w14:paraId="12D246C0"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27F0FE3B"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355E60A"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7166E7D8" w14:textId="77777777" w:rsidR="00E040FD" w:rsidRDefault="00740D64">
            <w:pPr>
              <w:pStyle w:val="P68B1DB1-Normal8"/>
              <w:keepNext/>
              <w:spacing w:before="40" w:after="0" w:line="240" w:lineRule="auto"/>
              <w:jc w:val="center"/>
              <w:rPr>
                <w:rFonts w:eastAsia="Times New Roman" w:cs="Calibri"/>
                <w:noProof/>
              </w:rPr>
            </w:pPr>
            <w:r>
              <w:rPr>
                <w:noProof/>
              </w:rPr>
              <w:t>KVARTAL 4</w:t>
            </w:r>
          </w:p>
        </w:tc>
        <w:tc>
          <w:tcPr>
            <w:tcW w:w="684" w:type="dxa"/>
            <w:shd w:val="clear" w:color="auto" w:fill="C4EFCE"/>
            <w:noWrap/>
            <w:vAlign w:val="center"/>
            <w:hideMark/>
          </w:tcPr>
          <w:p w14:paraId="13D93DFC" w14:textId="0E0F7803" w:rsidR="00E040FD" w:rsidRDefault="00740D64">
            <w:pPr>
              <w:pStyle w:val="P68B1DB1-Normal8"/>
              <w:keepNext/>
              <w:spacing w:before="40" w:after="0" w:line="240" w:lineRule="auto"/>
              <w:jc w:val="center"/>
              <w:rPr>
                <w:rFonts w:eastAsia="Times New Roman" w:cs="Calibri"/>
                <w:noProof/>
              </w:rPr>
            </w:pPr>
            <w:r>
              <w:rPr>
                <w:noProof/>
              </w:rPr>
              <w:t>2023</w:t>
            </w:r>
          </w:p>
        </w:tc>
        <w:tc>
          <w:tcPr>
            <w:tcW w:w="5223" w:type="dxa"/>
            <w:shd w:val="clear" w:color="auto" w:fill="C4EFCE"/>
            <w:vAlign w:val="center"/>
            <w:hideMark/>
          </w:tcPr>
          <w:p w14:paraId="7652F711" w14:textId="77777777" w:rsidR="00E040FD" w:rsidRDefault="00740D64">
            <w:pPr>
              <w:pStyle w:val="P68B1DB1-Normal8"/>
              <w:keepNext/>
              <w:spacing w:before="40" w:after="0" w:line="240" w:lineRule="auto"/>
              <w:jc w:val="both"/>
              <w:rPr>
                <w:rFonts w:eastAsia="Times New Roman" w:cs="Calibri"/>
                <w:noProof/>
              </w:rPr>
            </w:pPr>
            <w:r>
              <w:rPr>
                <w:noProof/>
              </w:rPr>
              <w:t xml:space="preserve">Inledande av byggnadsarbeten för infrastrukturen för Technopolo MARTEC (inklusive inköp av mark och rivning av befintlig infrastruktur) på ön Faial, som ska slutföras 2025 som en del av det experiment- och utvecklingscentrum som är knutet till Azorernas hav. </w:t>
            </w:r>
          </w:p>
          <w:p w14:paraId="6E6AE8E6" w14:textId="77777777" w:rsidR="00E040FD" w:rsidRDefault="00740D64">
            <w:pPr>
              <w:pStyle w:val="P68B1DB1-Normal8"/>
              <w:keepNext/>
              <w:spacing w:before="40" w:after="0" w:line="240" w:lineRule="auto"/>
              <w:jc w:val="both"/>
              <w:rPr>
                <w:rFonts w:eastAsia="Times New Roman" w:cs="Calibri"/>
                <w:noProof/>
              </w:rPr>
            </w:pPr>
            <w:r>
              <w:rPr>
                <w:noProof/>
              </w:rPr>
              <w:t>Den ska omfatta en blå inkubator (med minst 6 500 m²), ett vattenbrukscentrum (minst 2 000 m²) och nödvändig utrustning (allmän utrustning, samt installation av ett experimentcentrum och en station för vattenbruksforskning, bland annat).</w:t>
            </w:r>
          </w:p>
          <w:p w14:paraId="102BB169" w14:textId="1675BC9D" w:rsidR="00E040FD" w:rsidRDefault="00740D64">
            <w:pPr>
              <w:pStyle w:val="P68B1DB1-Normal8"/>
              <w:keepNext/>
              <w:spacing w:before="40" w:after="0" w:line="240" w:lineRule="auto"/>
              <w:jc w:val="both"/>
              <w:rPr>
                <w:rFonts w:eastAsia="Times New Roman" w:cs="Calibri"/>
                <w:noProof/>
              </w:rPr>
            </w:pPr>
            <w:r>
              <w:rPr>
                <w:noProof/>
              </w:rPr>
              <w:t>Nya byggnader ska ha ett primärenergibehov som är minst 20 % lägre än kraven för nära-nollenergibyggnader.</w:t>
            </w:r>
          </w:p>
        </w:tc>
      </w:tr>
      <w:tr w:rsidR="00E040FD" w14:paraId="5F9977DC" w14:textId="77777777">
        <w:trPr>
          <w:trHeight w:val="1060"/>
          <w:jc w:val="center"/>
        </w:trPr>
        <w:tc>
          <w:tcPr>
            <w:tcW w:w="1101" w:type="dxa"/>
            <w:shd w:val="clear" w:color="auto" w:fill="C4EFCE"/>
            <w:vAlign w:val="center"/>
            <w:hideMark/>
          </w:tcPr>
          <w:p w14:paraId="5F48BC21" w14:textId="77777777" w:rsidR="00E040FD" w:rsidRDefault="00740D64">
            <w:pPr>
              <w:pStyle w:val="P68B1DB1-Normal7"/>
              <w:keepNext/>
              <w:spacing w:before="40" w:after="0" w:line="240" w:lineRule="auto"/>
              <w:jc w:val="center"/>
              <w:rPr>
                <w:rFonts w:eastAsia="Times New Roman" w:cs="Calibri"/>
                <w:noProof/>
              </w:rPr>
            </w:pPr>
            <w:r>
              <w:rPr>
                <w:noProof/>
              </w:rPr>
              <w:t>10.9</w:t>
            </w:r>
          </w:p>
        </w:tc>
        <w:tc>
          <w:tcPr>
            <w:tcW w:w="1231" w:type="dxa"/>
            <w:shd w:val="clear" w:color="auto" w:fill="C4EFCE"/>
            <w:noWrap/>
            <w:vAlign w:val="center"/>
            <w:hideMark/>
          </w:tcPr>
          <w:p w14:paraId="04663115" w14:textId="77777777" w:rsidR="00E040FD" w:rsidRDefault="00740D64">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5F75A61A" w14:textId="77777777" w:rsidR="00E040FD" w:rsidRDefault="00740D64">
            <w:pPr>
              <w:pStyle w:val="P68B1DB1-Normal8"/>
              <w:keepNext/>
              <w:spacing w:before="40" w:after="0" w:line="240" w:lineRule="auto"/>
              <w:jc w:val="center"/>
              <w:rPr>
                <w:rFonts w:eastAsia="Times New Roman" w:cs="Calibri"/>
                <w:noProof/>
              </w:rPr>
            </w:pPr>
            <w:r>
              <w:rPr>
                <w:noProof/>
              </w:rPr>
              <w:t xml:space="preserve">M </w:t>
            </w:r>
          </w:p>
        </w:tc>
        <w:tc>
          <w:tcPr>
            <w:tcW w:w="1640" w:type="dxa"/>
            <w:shd w:val="clear" w:color="auto" w:fill="C4EFCE"/>
            <w:noWrap/>
            <w:vAlign w:val="center"/>
            <w:hideMark/>
          </w:tcPr>
          <w:p w14:paraId="3F722B7B" w14:textId="77777777" w:rsidR="00E040FD" w:rsidRDefault="00740D64">
            <w:pPr>
              <w:pStyle w:val="P68B1DB1-Normal8"/>
              <w:keepNext/>
              <w:spacing w:before="40" w:after="0" w:line="240" w:lineRule="auto"/>
              <w:jc w:val="center"/>
              <w:rPr>
                <w:rFonts w:eastAsia="Times New Roman" w:cs="Calibri"/>
                <w:noProof/>
              </w:rPr>
            </w:pPr>
            <w:r>
              <w:rPr>
                <w:noProof/>
              </w:rPr>
              <w:t xml:space="preserve">Leverans av ett forskningsfartyg </w:t>
            </w:r>
          </w:p>
        </w:tc>
        <w:tc>
          <w:tcPr>
            <w:tcW w:w="1231" w:type="dxa"/>
            <w:shd w:val="clear" w:color="auto" w:fill="C4EFCE"/>
            <w:noWrap/>
            <w:vAlign w:val="center"/>
            <w:hideMark/>
          </w:tcPr>
          <w:p w14:paraId="19FAE713" w14:textId="77777777" w:rsidR="00E040FD" w:rsidRDefault="00740D64">
            <w:pPr>
              <w:pStyle w:val="P68B1DB1-Normal8"/>
              <w:keepNext/>
              <w:spacing w:before="40" w:after="0" w:line="240" w:lineRule="auto"/>
              <w:jc w:val="center"/>
              <w:rPr>
                <w:rFonts w:eastAsia="Times New Roman" w:cs="Calibri"/>
                <w:noProof/>
              </w:rPr>
            </w:pPr>
            <w:r>
              <w:rPr>
                <w:noProof/>
              </w:rPr>
              <w:t xml:space="preserve"> Leverans av forskningsfartyg</w:t>
            </w:r>
          </w:p>
        </w:tc>
        <w:tc>
          <w:tcPr>
            <w:tcW w:w="962" w:type="dxa"/>
            <w:shd w:val="clear" w:color="auto" w:fill="C4EFCE"/>
            <w:noWrap/>
            <w:vAlign w:val="center"/>
            <w:hideMark/>
          </w:tcPr>
          <w:p w14:paraId="497F9221"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3E15C7BE"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49C9000"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654D30E1" w14:textId="027BD054" w:rsidR="00E040FD" w:rsidRDefault="00740D64">
            <w:pPr>
              <w:pStyle w:val="P68B1DB1-Normal8"/>
              <w:keepNext/>
              <w:spacing w:before="40" w:after="0" w:line="240" w:lineRule="auto"/>
              <w:jc w:val="center"/>
              <w:rPr>
                <w:rFonts w:eastAsia="Times New Roman" w:cs="Calibri"/>
                <w:noProof/>
              </w:rPr>
            </w:pPr>
            <w:r>
              <w:rPr>
                <w:noProof/>
              </w:rPr>
              <w:t>KVARTAL 4</w:t>
            </w:r>
          </w:p>
        </w:tc>
        <w:tc>
          <w:tcPr>
            <w:tcW w:w="684" w:type="dxa"/>
            <w:shd w:val="clear" w:color="auto" w:fill="C4EFCE"/>
            <w:noWrap/>
            <w:vAlign w:val="center"/>
            <w:hideMark/>
          </w:tcPr>
          <w:p w14:paraId="5D59229F" w14:textId="1FE12986" w:rsidR="00E040FD" w:rsidRDefault="00740D64">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3F920368" w14:textId="7AA2937D" w:rsidR="00E040FD" w:rsidRDefault="00740D64">
            <w:pPr>
              <w:pStyle w:val="P68B1DB1-Normal8"/>
              <w:keepNext/>
              <w:spacing w:before="40" w:after="0" w:line="240" w:lineRule="auto"/>
              <w:jc w:val="both"/>
              <w:rPr>
                <w:rFonts w:eastAsia="Times New Roman" w:cs="Calibri"/>
                <w:noProof/>
              </w:rPr>
            </w:pPr>
            <w:r>
              <w:rPr>
                <w:noProof/>
              </w:rPr>
              <w:t>Leverans av ett modernt forskningsfartyg. Den ska kunna fungera på stora djup, omfatta modern utrustning för forskning och datakommunikation, dynamisk positionsbestämning, som kan använda fjärrkontrollfordon, pelagiska nät, skrapredskap, boxcorer, med hög teknisk standard i fråga om kapacitet och utrustning med hög energiprestanda, för att tillgodose de nuvarande behoven inom havsforskning och övervakning eller främjande av en hållbar användning av haven.</w:t>
            </w:r>
          </w:p>
        </w:tc>
      </w:tr>
      <w:tr w:rsidR="00E040FD" w14:paraId="622F6723" w14:textId="77777777">
        <w:trPr>
          <w:trHeight w:val="1060"/>
          <w:jc w:val="center"/>
        </w:trPr>
        <w:tc>
          <w:tcPr>
            <w:tcW w:w="1101" w:type="dxa"/>
            <w:shd w:val="clear" w:color="auto" w:fill="C4EFCE"/>
            <w:vAlign w:val="center"/>
          </w:tcPr>
          <w:p w14:paraId="42689895" w14:textId="717581FE" w:rsidR="00E040FD" w:rsidRDefault="00740D64">
            <w:pPr>
              <w:pStyle w:val="P68B1DB1-Normal11"/>
              <w:keepNext/>
              <w:spacing w:before="40" w:after="0" w:line="240" w:lineRule="auto"/>
              <w:jc w:val="center"/>
              <w:rPr>
                <w:rFonts w:eastAsia="Times New Roman"/>
                <w:noProof/>
              </w:rPr>
            </w:pPr>
            <w:r>
              <w:rPr>
                <w:noProof/>
              </w:rPr>
              <w:t>10.11</w:t>
            </w:r>
          </w:p>
        </w:tc>
        <w:tc>
          <w:tcPr>
            <w:tcW w:w="1231" w:type="dxa"/>
            <w:shd w:val="clear" w:color="auto" w:fill="C4EFCE"/>
            <w:noWrap/>
            <w:vAlign w:val="center"/>
          </w:tcPr>
          <w:p w14:paraId="41B255A2" w14:textId="2496DE23" w:rsidR="00E040FD" w:rsidRDefault="00740D64">
            <w:pPr>
              <w:pStyle w:val="P68B1DB1-Normal12"/>
              <w:keepNext/>
              <w:spacing w:before="40" w:after="0" w:line="240" w:lineRule="auto"/>
              <w:jc w:val="center"/>
              <w:rPr>
                <w:rFonts w:eastAsia="Times New Roman" w:cstheme="minorHAnsi"/>
                <w:noProof/>
              </w:rPr>
            </w:pPr>
            <w:r>
              <w:rPr>
                <w:noProof/>
              </w:rPr>
              <w:t xml:space="preserve"> TC-C10-i04-RAA</w:t>
            </w:r>
          </w:p>
        </w:tc>
        <w:tc>
          <w:tcPr>
            <w:tcW w:w="1096" w:type="dxa"/>
            <w:shd w:val="clear" w:color="auto" w:fill="C4EFCE"/>
            <w:noWrap/>
            <w:vAlign w:val="center"/>
          </w:tcPr>
          <w:p w14:paraId="718C08F5" w14:textId="0ECD9053" w:rsidR="00E040FD" w:rsidRDefault="00740D64">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2440886E" w14:textId="5BA56187" w:rsidR="00E040FD" w:rsidRDefault="00740D64">
            <w:pPr>
              <w:pStyle w:val="P68B1DB1-Normal12"/>
              <w:keepNext/>
              <w:spacing w:before="40" w:after="0" w:line="240" w:lineRule="auto"/>
              <w:jc w:val="center"/>
              <w:rPr>
                <w:rFonts w:eastAsia="Arial" w:cstheme="minorHAnsi"/>
                <w:noProof/>
              </w:rPr>
            </w:pPr>
            <w:r>
              <w:rPr>
                <w:noProof/>
              </w:rPr>
              <w:t xml:space="preserve">Leverans av 2 moduler för det nya forskningsfartyget </w:t>
            </w:r>
          </w:p>
        </w:tc>
        <w:tc>
          <w:tcPr>
            <w:tcW w:w="1231" w:type="dxa"/>
            <w:shd w:val="clear" w:color="auto" w:fill="C4EFCE"/>
            <w:noWrap/>
            <w:vAlign w:val="center"/>
          </w:tcPr>
          <w:p w14:paraId="5ABEAD50" w14:textId="3E3B82CC" w:rsidR="00E040FD" w:rsidRDefault="00740D64">
            <w:pPr>
              <w:pStyle w:val="P68B1DB1-Normal12"/>
              <w:keepNext/>
              <w:spacing w:before="40" w:after="0" w:line="240" w:lineRule="auto"/>
              <w:jc w:val="center"/>
              <w:rPr>
                <w:rFonts w:eastAsia="Times New Roman" w:cstheme="minorHAnsi"/>
                <w:noProof/>
              </w:rPr>
            </w:pPr>
            <w:r>
              <w:rPr>
                <w:noProof/>
              </w:rPr>
              <w:t>Leverans av 2 moduler för det nya forskningsfartyget</w:t>
            </w:r>
          </w:p>
        </w:tc>
        <w:tc>
          <w:tcPr>
            <w:tcW w:w="962" w:type="dxa"/>
            <w:shd w:val="clear" w:color="auto" w:fill="C4EFCE"/>
            <w:noWrap/>
            <w:vAlign w:val="center"/>
          </w:tcPr>
          <w:p w14:paraId="600BCF98" w14:textId="77777777" w:rsidR="00E040FD" w:rsidRDefault="00E040FD">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4027EBE3" w14:textId="1E059CAD" w:rsidR="00E040FD" w:rsidRDefault="00E040FD">
            <w:pPr>
              <w:keepNext/>
              <w:spacing w:before="40" w:after="0" w:line="240" w:lineRule="auto"/>
              <w:jc w:val="center"/>
              <w:rPr>
                <w:rFonts w:cstheme="minorHAnsi"/>
                <w:noProof/>
                <w:sz w:val="16"/>
              </w:rPr>
            </w:pPr>
          </w:p>
        </w:tc>
        <w:tc>
          <w:tcPr>
            <w:tcW w:w="690" w:type="dxa"/>
            <w:shd w:val="clear" w:color="auto" w:fill="C4EFCE"/>
            <w:noWrap/>
            <w:vAlign w:val="center"/>
          </w:tcPr>
          <w:p w14:paraId="56912BFF" w14:textId="585868F2" w:rsidR="00E040FD" w:rsidRDefault="00E040FD">
            <w:pPr>
              <w:keepNext/>
              <w:spacing w:before="40" w:after="0" w:line="240" w:lineRule="auto"/>
              <w:jc w:val="center"/>
              <w:rPr>
                <w:rFonts w:cstheme="minorHAnsi"/>
                <w:noProof/>
                <w:sz w:val="16"/>
              </w:rPr>
            </w:pPr>
          </w:p>
        </w:tc>
        <w:tc>
          <w:tcPr>
            <w:tcW w:w="554" w:type="dxa"/>
            <w:shd w:val="clear" w:color="auto" w:fill="C4EFCE"/>
            <w:noWrap/>
            <w:vAlign w:val="center"/>
          </w:tcPr>
          <w:p w14:paraId="1A51A8E2" w14:textId="5CF011EB" w:rsidR="00E040FD" w:rsidRDefault="00740D64">
            <w:pPr>
              <w:pStyle w:val="P68B1DB1-Normal12"/>
              <w:keepNext/>
              <w:spacing w:before="40" w:after="0" w:line="240" w:lineRule="auto"/>
              <w:jc w:val="center"/>
              <w:rPr>
                <w:rFonts w:eastAsia="Arial" w:cstheme="minorHAnsi"/>
                <w:noProof/>
              </w:rPr>
            </w:pPr>
            <w:r>
              <w:rPr>
                <w:noProof/>
              </w:rPr>
              <w:t>KVARTAL 2</w:t>
            </w:r>
          </w:p>
        </w:tc>
        <w:tc>
          <w:tcPr>
            <w:tcW w:w="684" w:type="dxa"/>
            <w:shd w:val="clear" w:color="auto" w:fill="C4EFCE"/>
            <w:noWrap/>
            <w:vAlign w:val="center"/>
          </w:tcPr>
          <w:p w14:paraId="49C8B85F" w14:textId="00EC4422" w:rsidR="00E040FD" w:rsidRDefault="00740D64">
            <w:pPr>
              <w:pStyle w:val="P68B1DB1-Normal12"/>
              <w:keepNext/>
              <w:spacing w:before="40" w:after="0" w:line="240" w:lineRule="auto"/>
              <w:jc w:val="center"/>
              <w:rPr>
                <w:rFonts w:eastAsia="Arial" w:cstheme="minorHAnsi"/>
                <w:noProof/>
              </w:rPr>
            </w:pPr>
            <w:r>
              <w:rPr>
                <w:noProof/>
              </w:rPr>
              <w:t>2026</w:t>
            </w:r>
          </w:p>
        </w:tc>
        <w:tc>
          <w:tcPr>
            <w:tcW w:w="5223" w:type="dxa"/>
            <w:shd w:val="clear" w:color="auto" w:fill="C4EFCE"/>
            <w:vAlign w:val="center"/>
          </w:tcPr>
          <w:p w14:paraId="3455FF49" w14:textId="02FE8514" w:rsidR="00E040FD" w:rsidRDefault="00740D64">
            <w:pPr>
              <w:pStyle w:val="P68B1DB1-Normal12"/>
              <w:keepNext/>
              <w:spacing w:before="40" w:after="0" w:line="240" w:lineRule="auto"/>
              <w:jc w:val="both"/>
              <w:rPr>
                <w:rFonts w:eastAsia="Calibri" w:cstheme="minorHAnsi"/>
                <w:noProof/>
              </w:rPr>
            </w:pPr>
            <w:r>
              <w:rPr>
                <w:noProof/>
              </w:rPr>
              <w:t>Leverans av 2 moduler för ny fartygsforskning: 1 modul ROV och 1 Modul för trålutrustning</w:t>
            </w:r>
          </w:p>
        </w:tc>
      </w:tr>
      <w:tr w:rsidR="00E040FD" w14:paraId="4ED5D0BF" w14:textId="77777777">
        <w:trPr>
          <w:trHeight w:val="61"/>
          <w:jc w:val="center"/>
        </w:trPr>
        <w:tc>
          <w:tcPr>
            <w:tcW w:w="1101" w:type="dxa"/>
            <w:shd w:val="clear" w:color="auto" w:fill="C4EFCE"/>
            <w:vAlign w:val="center"/>
            <w:hideMark/>
          </w:tcPr>
          <w:p w14:paraId="1D980CEA" w14:textId="4E2C1C4E" w:rsidR="00E040FD" w:rsidRDefault="00740D64">
            <w:pPr>
              <w:pStyle w:val="P68B1DB1-Normal7"/>
              <w:keepNext/>
              <w:spacing w:before="40" w:after="0" w:line="240" w:lineRule="auto"/>
              <w:jc w:val="center"/>
              <w:rPr>
                <w:rFonts w:eastAsia="Times New Roman" w:cs="Calibri"/>
                <w:noProof/>
              </w:rPr>
            </w:pPr>
            <w:r>
              <w:rPr>
                <w:noProof/>
              </w:rPr>
              <w:t>10.10</w:t>
            </w:r>
          </w:p>
        </w:tc>
        <w:tc>
          <w:tcPr>
            <w:tcW w:w="1231" w:type="dxa"/>
            <w:shd w:val="clear" w:color="auto" w:fill="C4EFCE"/>
            <w:noWrap/>
            <w:vAlign w:val="center"/>
            <w:hideMark/>
          </w:tcPr>
          <w:p w14:paraId="6D342640" w14:textId="77777777" w:rsidR="00E040FD" w:rsidRDefault="00740D64">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04AC5CC4" w14:textId="77777777" w:rsidR="00E040FD" w:rsidRDefault="00740D64">
            <w:pPr>
              <w:pStyle w:val="P68B1DB1-Normal8"/>
              <w:keepNext/>
              <w:spacing w:before="40" w:after="0" w:line="240" w:lineRule="auto"/>
              <w:jc w:val="center"/>
              <w:rPr>
                <w:rFonts w:eastAsia="Times New Roman" w:cs="Calibri"/>
                <w:noProof/>
              </w:rPr>
            </w:pPr>
            <w:r>
              <w:rPr>
                <w:noProof/>
              </w:rPr>
              <w:t xml:space="preserve">M </w:t>
            </w:r>
          </w:p>
        </w:tc>
        <w:tc>
          <w:tcPr>
            <w:tcW w:w="1640" w:type="dxa"/>
            <w:shd w:val="clear" w:color="auto" w:fill="C4EFCE"/>
            <w:noWrap/>
            <w:vAlign w:val="center"/>
            <w:hideMark/>
          </w:tcPr>
          <w:p w14:paraId="636F73E3" w14:textId="16AB0CF0" w:rsidR="00E040FD" w:rsidRDefault="00740D64">
            <w:pPr>
              <w:pStyle w:val="P68B1DB1-Normal8"/>
              <w:keepNext/>
              <w:spacing w:before="40" w:after="0" w:line="240" w:lineRule="auto"/>
              <w:jc w:val="center"/>
              <w:rPr>
                <w:rFonts w:eastAsia="Times New Roman" w:cs="Calibri"/>
                <w:noProof/>
              </w:rPr>
            </w:pPr>
            <w:r>
              <w:rPr>
                <w:noProof/>
              </w:rPr>
              <w:t>Operationalisering av det centrum för experimentell forskning och utveckling som är knutet till Azorernas hav (centrum MARTEC)</w:t>
            </w:r>
          </w:p>
        </w:tc>
        <w:tc>
          <w:tcPr>
            <w:tcW w:w="1231" w:type="dxa"/>
            <w:shd w:val="clear" w:color="auto" w:fill="C4EFCE"/>
            <w:noWrap/>
            <w:vAlign w:val="center"/>
            <w:hideMark/>
          </w:tcPr>
          <w:p w14:paraId="45BDBD81" w14:textId="41D58349" w:rsidR="00E040FD" w:rsidRDefault="00740D64">
            <w:pPr>
              <w:pStyle w:val="P68B1DB1-Normal8"/>
              <w:keepNext/>
              <w:spacing w:before="40" w:after="0" w:line="240" w:lineRule="auto"/>
              <w:jc w:val="center"/>
              <w:rPr>
                <w:rFonts w:eastAsia="Times New Roman" w:cs="Calibri"/>
                <w:noProof/>
              </w:rPr>
            </w:pPr>
            <w:r>
              <w:rPr>
                <w:noProof/>
              </w:rPr>
              <w:t>Operationalisering av det centrum för experimentell forskning och utveckling som är knutet till Azorernas hav (centrum MARTEC)</w:t>
            </w:r>
          </w:p>
        </w:tc>
        <w:tc>
          <w:tcPr>
            <w:tcW w:w="962" w:type="dxa"/>
            <w:shd w:val="clear" w:color="auto" w:fill="C4EFCE"/>
            <w:noWrap/>
            <w:vAlign w:val="center"/>
            <w:hideMark/>
          </w:tcPr>
          <w:p w14:paraId="1B1BE93D"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18CF87CE"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C99979D"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5B5A6190" w14:textId="371A61A9" w:rsidR="00E040FD" w:rsidRDefault="00740D64">
            <w:pPr>
              <w:pStyle w:val="P68B1DB1-Normal8"/>
              <w:keepNext/>
              <w:spacing w:before="40" w:after="0" w:line="240" w:lineRule="auto"/>
              <w:jc w:val="center"/>
              <w:rPr>
                <w:rFonts w:eastAsia="Times New Roman" w:cs="Calibri"/>
                <w:noProof/>
              </w:rPr>
            </w:pPr>
            <w:r>
              <w:rPr>
                <w:noProof/>
              </w:rPr>
              <w:t>KVARTAL 2</w:t>
            </w:r>
          </w:p>
        </w:tc>
        <w:tc>
          <w:tcPr>
            <w:tcW w:w="684" w:type="dxa"/>
            <w:shd w:val="clear" w:color="auto" w:fill="C4EFCE"/>
            <w:noWrap/>
            <w:vAlign w:val="center"/>
            <w:hideMark/>
          </w:tcPr>
          <w:p w14:paraId="355DB126" w14:textId="0A215794" w:rsidR="00E040FD" w:rsidRDefault="00740D64">
            <w:pPr>
              <w:pStyle w:val="P68B1DB1-Normal8"/>
              <w:keepNext/>
              <w:spacing w:before="40" w:after="0" w:line="240" w:lineRule="auto"/>
              <w:jc w:val="center"/>
              <w:rPr>
                <w:rFonts w:eastAsia="Times New Roman" w:cs="Calibri"/>
                <w:noProof/>
              </w:rPr>
            </w:pPr>
            <w:r>
              <w:rPr>
                <w:noProof/>
              </w:rPr>
              <w:t>2026</w:t>
            </w:r>
          </w:p>
        </w:tc>
        <w:tc>
          <w:tcPr>
            <w:tcW w:w="5223" w:type="dxa"/>
            <w:shd w:val="clear" w:color="auto" w:fill="C4EFCE"/>
            <w:vAlign w:val="center"/>
            <w:hideMark/>
          </w:tcPr>
          <w:p w14:paraId="3E083202" w14:textId="4E0D2C48" w:rsidR="00E040FD" w:rsidRDefault="00740D64">
            <w:pPr>
              <w:pStyle w:val="P68B1DB1-Normal9"/>
              <w:keepNext/>
              <w:spacing w:before="40" w:after="0" w:line="240" w:lineRule="auto"/>
              <w:jc w:val="both"/>
              <w:rPr>
                <w:rFonts w:eastAsia="Times New Roman" w:cs="Calibri"/>
                <w:noProof/>
                <w:sz w:val="16"/>
              </w:rPr>
            </w:pPr>
            <w:r>
              <w:rPr>
                <w:noProof/>
                <w:sz w:val="4"/>
              </w:rPr>
              <w:t> </w:t>
            </w:r>
            <w:r>
              <w:rPr>
                <w:noProof/>
                <w:sz w:val="16"/>
              </w:rPr>
              <w:t xml:space="preserve">Inrättande och drift av ett centrum för experimentell forskning och utveckling med koppling till havet, som kan delas med institutioner inom det vetenskapliga och tekniska systemet på Azorerna och företagen, som ansvarar för forskning och utveckling i traditionella och framväxande områden, såsom fiske och produkter från dessa, vattenbruk, marin bioteknik, biomaterial eller marin teknik och marin utrustning. Idrifttagande av centrumet (tekniskt centrum MARTEC). Detta centrum ska vara beläget på ön Faial. </w:t>
            </w:r>
          </w:p>
          <w:p w14:paraId="6661BE7E" w14:textId="06F54DE1" w:rsidR="00E040FD" w:rsidRDefault="00740D64">
            <w:pPr>
              <w:pStyle w:val="P68B1DB1-Normal8"/>
              <w:keepNext/>
              <w:spacing w:before="40" w:after="0" w:line="240" w:lineRule="auto"/>
              <w:jc w:val="both"/>
              <w:rPr>
                <w:rFonts w:eastAsia="Times New Roman" w:cs="Calibri"/>
                <w:noProof/>
              </w:rPr>
            </w:pPr>
            <w:r>
              <w:rPr>
                <w:noProof/>
              </w:rPr>
              <w:t>Nya byggnader ska ha ett primärenergibehov som är minst 20 % lägre än kraven för nära-nollenergibyggnader.</w:t>
            </w:r>
          </w:p>
        </w:tc>
      </w:tr>
      <w:tr w:rsidR="00E040FD" w14:paraId="3E3DE191" w14:textId="77777777">
        <w:trPr>
          <w:trHeight w:val="61"/>
          <w:jc w:val="center"/>
        </w:trPr>
        <w:tc>
          <w:tcPr>
            <w:tcW w:w="1101" w:type="dxa"/>
            <w:shd w:val="clear" w:color="auto" w:fill="C4EFCE"/>
            <w:vAlign w:val="center"/>
          </w:tcPr>
          <w:p w14:paraId="26903038" w14:textId="0E90B29C" w:rsidR="00E040FD" w:rsidRDefault="00740D64">
            <w:pPr>
              <w:pStyle w:val="P68B1DB1-Normal11"/>
              <w:keepNext/>
              <w:spacing w:after="0" w:line="240" w:lineRule="auto"/>
              <w:jc w:val="center"/>
              <w:rPr>
                <w:noProof/>
              </w:rPr>
            </w:pPr>
            <w:r>
              <w:rPr>
                <w:noProof/>
              </w:rPr>
              <w:t>10.12</w:t>
            </w:r>
          </w:p>
        </w:tc>
        <w:tc>
          <w:tcPr>
            <w:tcW w:w="1231" w:type="dxa"/>
            <w:shd w:val="clear" w:color="auto" w:fill="C4EFCE"/>
            <w:noWrap/>
            <w:vAlign w:val="center"/>
          </w:tcPr>
          <w:p w14:paraId="0496A8A4" w14:textId="19D8C5CA" w:rsidR="00E040FD" w:rsidRDefault="00740D64">
            <w:pPr>
              <w:pStyle w:val="P68B1DB1-Normal12"/>
              <w:keepNext/>
              <w:spacing w:after="0" w:line="240" w:lineRule="auto"/>
              <w:jc w:val="center"/>
              <w:rPr>
                <w:rFonts w:eastAsia="Times New Roman" w:cstheme="minorHAnsi"/>
                <w:noProof/>
              </w:rPr>
            </w:pPr>
            <w:r>
              <w:rPr>
                <w:noProof/>
              </w:rPr>
              <w:t>TC-C10-i05-RAA</w:t>
            </w:r>
          </w:p>
        </w:tc>
        <w:tc>
          <w:tcPr>
            <w:tcW w:w="1096" w:type="dxa"/>
            <w:shd w:val="clear" w:color="auto" w:fill="C4EFCE"/>
            <w:noWrap/>
            <w:vAlign w:val="center"/>
          </w:tcPr>
          <w:p w14:paraId="22D05C51" w14:textId="779F89BB" w:rsidR="00E040FD" w:rsidRDefault="00740D64">
            <w:pPr>
              <w:pStyle w:val="P68B1DB1-Normal12"/>
              <w:keepNext/>
              <w:spacing w:after="0" w:line="240" w:lineRule="auto"/>
              <w:jc w:val="center"/>
              <w:rPr>
                <w:rFonts w:eastAsia="Times New Roman" w:cstheme="minorHAnsi"/>
                <w:noProof/>
              </w:rPr>
            </w:pPr>
            <w:r>
              <w:rPr>
                <w:noProof/>
              </w:rPr>
              <w:t>T</w:t>
            </w:r>
          </w:p>
        </w:tc>
        <w:tc>
          <w:tcPr>
            <w:tcW w:w="1640" w:type="dxa"/>
            <w:shd w:val="clear" w:color="auto" w:fill="C4EFCE"/>
            <w:noWrap/>
            <w:vAlign w:val="center"/>
          </w:tcPr>
          <w:p w14:paraId="2E7266DE" w14:textId="3E73B555" w:rsidR="00E040FD" w:rsidRDefault="00740D64">
            <w:pPr>
              <w:pStyle w:val="P68B1DB1-Normal12"/>
              <w:keepNext/>
              <w:spacing w:after="0" w:line="240" w:lineRule="auto"/>
              <w:jc w:val="center"/>
              <w:rPr>
                <w:rFonts w:eastAsia="Times New Roman" w:cstheme="minorHAnsi"/>
                <w:noProof/>
              </w:rPr>
            </w:pPr>
            <w:r>
              <w:rPr>
                <w:noProof/>
              </w:rPr>
              <w:t xml:space="preserve">Slutförande av projekt inom fiskeri- och vattenbrukssektorn </w:t>
            </w:r>
          </w:p>
        </w:tc>
        <w:tc>
          <w:tcPr>
            <w:tcW w:w="1231" w:type="dxa"/>
            <w:shd w:val="clear" w:color="auto" w:fill="C4EFCE"/>
            <w:noWrap/>
            <w:vAlign w:val="center"/>
          </w:tcPr>
          <w:p w14:paraId="75E12B83" w14:textId="77777777" w:rsidR="00E040FD" w:rsidRDefault="00E040FD">
            <w:pPr>
              <w:keepNext/>
              <w:spacing w:after="0" w:line="240" w:lineRule="auto"/>
              <w:jc w:val="center"/>
              <w:rPr>
                <w:rFonts w:eastAsia="Times New Roman" w:cstheme="minorHAnsi"/>
                <w:noProof/>
                <w:sz w:val="16"/>
              </w:rPr>
            </w:pPr>
          </w:p>
        </w:tc>
        <w:tc>
          <w:tcPr>
            <w:tcW w:w="962" w:type="dxa"/>
            <w:shd w:val="clear" w:color="auto" w:fill="C4EFCE"/>
            <w:noWrap/>
            <w:vAlign w:val="center"/>
          </w:tcPr>
          <w:p w14:paraId="5A4F2AC3" w14:textId="78005504" w:rsidR="00E040FD" w:rsidRDefault="00740D64">
            <w:pPr>
              <w:pStyle w:val="P68B1DB1-Normal12"/>
              <w:keepNext/>
              <w:spacing w:after="0" w:line="240" w:lineRule="auto"/>
              <w:jc w:val="center"/>
              <w:rPr>
                <w:rFonts w:eastAsia="Times New Roman" w:cstheme="minorHAnsi"/>
                <w:noProof/>
              </w:rPr>
            </w:pPr>
            <w:r>
              <w:rPr>
                <w:noProof/>
              </w:rPr>
              <w:t>Antal</w:t>
            </w:r>
          </w:p>
        </w:tc>
        <w:tc>
          <w:tcPr>
            <w:tcW w:w="961" w:type="dxa"/>
            <w:shd w:val="clear" w:color="auto" w:fill="C4EFCE"/>
            <w:noWrap/>
            <w:vAlign w:val="center"/>
          </w:tcPr>
          <w:p w14:paraId="2A286384" w14:textId="3FCA842C" w:rsidR="00E040FD" w:rsidRDefault="00740D64">
            <w:pPr>
              <w:pStyle w:val="P68B1DB1-Normal12"/>
              <w:keepNext/>
              <w:spacing w:after="0" w:line="240" w:lineRule="auto"/>
              <w:jc w:val="center"/>
              <w:rPr>
                <w:rFonts w:eastAsia="Times New Roman" w:cstheme="minorHAnsi"/>
                <w:noProof/>
              </w:rPr>
            </w:pPr>
            <w:r>
              <w:rPr>
                <w:noProof/>
              </w:rPr>
              <w:t>0</w:t>
            </w:r>
          </w:p>
        </w:tc>
        <w:tc>
          <w:tcPr>
            <w:tcW w:w="690" w:type="dxa"/>
            <w:shd w:val="clear" w:color="auto" w:fill="C4EFCE"/>
            <w:noWrap/>
            <w:vAlign w:val="center"/>
          </w:tcPr>
          <w:p w14:paraId="6A7E8F46" w14:textId="573D606D" w:rsidR="00E040FD" w:rsidRDefault="00740D64">
            <w:pPr>
              <w:pStyle w:val="P68B1DB1-Normal12"/>
              <w:keepNext/>
              <w:spacing w:after="0" w:line="240" w:lineRule="auto"/>
              <w:jc w:val="center"/>
              <w:rPr>
                <w:rFonts w:eastAsia="Times New Roman" w:cstheme="minorHAnsi"/>
                <w:noProof/>
              </w:rPr>
            </w:pPr>
            <w:r>
              <w:rPr>
                <w:noProof/>
              </w:rPr>
              <w:t>15</w:t>
            </w:r>
          </w:p>
        </w:tc>
        <w:tc>
          <w:tcPr>
            <w:tcW w:w="554" w:type="dxa"/>
            <w:shd w:val="clear" w:color="auto" w:fill="C4EFCE"/>
            <w:noWrap/>
            <w:vAlign w:val="center"/>
          </w:tcPr>
          <w:p w14:paraId="144B65D8" w14:textId="68A92AA2" w:rsidR="00E040FD" w:rsidRDefault="00740D64">
            <w:pPr>
              <w:pStyle w:val="P68B1DB1-Normal12"/>
              <w:keepNext/>
              <w:spacing w:after="0" w:line="240" w:lineRule="auto"/>
              <w:jc w:val="center"/>
              <w:rPr>
                <w:rFonts w:eastAsia="Times New Roman" w:cstheme="minorHAnsi"/>
                <w:noProof/>
              </w:rPr>
            </w:pPr>
            <w:r>
              <w:rPr>
                <w:noProof/>
              </w:rPr>
              <w:t>KVARTAL 1</w:t>
            </w:r>
          </w:p>
        </w:tc>
        <w:tc>
          <w:tcPr>
            <w:tcW w:w="684" w:type="dxa"/>
            <w:shd w:val="clear" w:color="auto" w:fill="C4EFCE"/>
            <w:noWrap/>
            <w:vAlign w:val="center"/>
          </w:tcPr>
          <w:p w14:paraId="2B8EDB26" w14:textId="3CD57E6A" w:rsidR="00E040FD" w:rsidRDefault="00740D64">
            <w:pPr>
              <w:pStyle w:val="P68B1DB1-Normal12"/>
              <w:keepNext/>
              <w:spacing w:after="0" w:line="240" w:lineRule="auto"/>
              <w:jc w:val="center"/>
              <w:rPr>
                <w:rFonts w:eastAsia="Times New Roman" w:cstheme="minorHAnsi"/>
                <w:noProof/>
              </w:rPr>
            </w:pPr>
            <w:r>
              <w:rPr>
                <w:noProof/>
              </w:rPr>
              <w:t>2026</w:t>
            </w:r>
          </w:p>
        </w:tc>
        <w:tc>
          <w:tcPr>
            <w:tcW w:w="5223" w:type="dxa"/>
            <w:shd w:val="clear" w:color="auto" w:fill="C4EFCE"/>
            <w:vAlign w:val="center"/>
          </w:tcPr>
          <w:p w14:paraId="2BBD1A35" w14:textId="6A68B2CD" w:rsidR="00E040FD" w:rsidRDefault="00740D64">
            <w:pPr>
              <w:pStyle w:val="P68B1DB1-Normal12"/>
              <w:keepNext/>
              <w:spacing w:after="0" w:line="240" w:lineRule="auto"/>
              <w:jc w:val="both"/>
              <w:rPr>
                <w:noProof/>
              </w:rPr>
            </w:pPr>
            <w:r>
              <w:rPr>
                <w:noProof/>
              </w:rPr>
              <w:t xml:space="preserve">Slutförande av 15 projekt som rör modernisering och förnyelse av fiskeflottan, innovation inom fiske och vattenbruk för att förbättra energiprestandan, modernisering av processer, minskning av avfallsproduktionen till havs och främjande av cirkulär ekonomi inom fiske- och vattenbrukssektorerna samt diversifiering av fiskeverksamheten. </w:t>
            </w:r>
          </w:p>
          <w:p w14:paraId="227A05D1" w14:textId="3F225BEF" w:rsidR="00E040FD" w:rsidRDefault="00740D64">
            <w:pPr>
              <w:pStyle w:val="P68B1DB1-Normal12"/>
              <w:keepNext/>
              <w:spacing w:after="0" w:line="240" w:lineRule="auto"/>
              <w:jc w:val="both"/>
              <w:rPr>
                <w:rFonts w:eastAsia="Times New Roman" w:cstheme="minorHAnsi"/>
                <w:noProof/>
              </w:rPr>
            </w:pPr>
            <w:r>
              <w:rPr>
                <w:noProof/>
              </w:rPr>
              <w:t>Urvalskriterierna ska säkerställa överensstämmelse med den tekniska vägledningen om att inte orsaka betydande skada (2021/C58/01) för transaktioner som får stöd inom ramen för denna åtgärd genom användning av en uteslutningslista (enligt beskrivningen av åtgärden) och kravet på överensstämmelse med relevant EU-lagstiftning och nationell miljölagstiftning.</w:t>
            </w:r>
          </w:p>
        </w:tc>
      </w:tr>
      <w:tr w:rsidR="00E040FD" w14:paraId="7AA31F3F" w14:textId="77777777">
        <w:trPr>
          <w:trHeight w:val="61"/>
          <w:jc w:val="center"/>
        </w:trPr>
        <w:tc>
          <w:tcPr>
            <w:tcW w:w="1101" w:type="dxa"/>
            <w:shd w:val="clear" w:color="auto" w:fill="C4EFCE"/>
            <w:vAlign w:val="center"/>
          </w:tcPr>
          <w:p w14:paraId="2FDBE218" w14:textId="6636866D" w:rsidR="00E040FD" w:rsidRDefault="00740D64">
            <w:pPr>
              <w:pStyle w:val="P68B1DB1-Normal11"/>
              <w:keepNext/>
              <w:spacing w:before="40" w:after="0" w:line="240" w:lineRule="auto"/>
              <w:jc w:val="center"/>
              <w:rPr>
                <w:noProof/>
              </w:rPr>
            </w:pPr>
            <w:r>
              <w:rPr>
                <w:noProof/>
              </w:rPr>
              <w:t>10.13</w:t>
            </w:r>
          </w:p>
        </w:tc>
        <w:tc>
          <w:tcPr>
            <w:tcW w:w="1231" w:type="dxa"/>
            <w:shd w:val="clear" w:color="auto" w:fill="C4EFCE"/>
            <w:noWrap/>
            <w:vAlign w:val="center"/>
          </w:tcPr>
          <w:p w14:paraId="217D89A3" w14:textId="2D6DE9DE" w:rsidR="00E040FD" w:rsidRDefault="00740D64">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681600AA" w14:textId="32CC34AF" w:rsidR="00E040FD" w:rsidRDefault="00740D64">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2F245A6B" w14:textId="015E3869" w:rsidR="00E040FD" w:rsidRDefault="00740D64">
            <w:pPr>
              <w:pStyle w:val="P68B1DB1-Normal12"/>
              <w:keepNext/>
              <w:spacing w:before="40" w:after="0" w:line="240" w:lineRule="auto"/>
              <w:jc w:val="center"/>
              <w:rPr>
                <w:rFonts w:eastAsia="Times New Roman" w:cstheme="minorHAnsi"/>
                <w:noProof/>
              </w:rPr>
            </w:pPr>
            <w:r>
              <w:rPr>
                <w:noProof/>
              </w:rPr>
              <w:t>Undertecknande av kontrakt för forskningsfartyg för flera ändamål</w:t>
            </w:r>
          </w:p>
        </w:tc>
        <w:tc>
          <w:tcPr>
            <w:tcW w:w="1231" w:type="dxa"/>
            <w:shd w:val="clear" w:color="auto" w:fill="C4EFCE"/>
            <w:noWrap/>
          </w:tcPr>
          <w:p w14:paraId="20AD7A7D" w14:textId="4BE3559E" w:rsidR="00E040FD" w:rsidRDefault="00740D64">
            <w:pPr>
              <w:pStyle w:val="P68B1DB1-Normal12"/>
              <w:keepNext/>
              <w:spacing w:before="40" w:after="0" w:line="240" w:lineRule="auto"/>
              <w:jc w:val="center"/>
              <w:rPr>
                <w:rFonts w:eastAsia="Times New Roman" w:cstheme="minorHAnsi"/>
                <w:noProof/>
              </w:rPr>
            </w:pPr>
            <w:r>
              <w:rPr>
                <w:noProof/>
              </w:rPr>
              <w:t>Undertecknande av kontrakt för forskningsfartyg för flera ändamål</w:t>
            </w:r>
          </w:p>
        </w:tc>
        <w:tc>
          <w:tcPr>
            <w:tcW w:w="962" w:type="dxa"/>
            <w:shd w:val="clear" w:color="auto" w:fill="C4EFCE"/>
            <w:noWrap/>
            <w:vAlign w:val="center"/>
          </w:tcPr>
          <w:p w14:paraId="3A40C90E" w14:textId="77777777" w:rsidR="00E040FD" w:rsidRDefault="00E040FD">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626DE80A" w14:textId="77777777" w:rsidR="00E040FD" w:rsidRDefault="00E040FD">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2D6BAC30" w14:textId="77777777" w:rsidR="00E040FD" w:rsidRDefault="00E040FD">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16B97E23" w14:textId="3AF81EB9" w:rsidR="00E040FD" w:rsidRDefault="00740D64">
            <w:pPr>
              <w:pStyle w:val="P68B1DB1-Normal12"/>
              <w:keepNext/>
              <w:spacing w:before="40" w:after="0" w:line="240" w:lineRule="auto"/>
              <w:jc w:val="center"/>
              <w:rPr>
                <w:rFonts w:eastAsia="Times New Roman" w:cstheme="minorHAnsi"/>
                <w:noProof/>
              </w:rPr>
            </w:pPr>
            <w:r>
              <w:rPr>
                <w:noProof/>
              </w:rPr>
              <w:t>KVARTAL 2</w:t>
            </w:r>
          </w:p>
        </w:tc>
        <w:tc>
          <w:tcPr>
            <w:tcW w:w="684" w:type="dxa"/>
            <w:shd w:val="clear" w:color="auto" w:fill="C4EFCE"/>
            <w:noWrap/>
            <w:vAlign w:val="center"/>
          </w:tcPr>
          <w:p w14:paraId="6528D03E" w14:textId="5BBF66E9" w:rsidR="00E040FD" w:rsidRDefault="00740D64">
            <w:pPr>
              <w:pStyle w:val="P68B1DB1-Normal12"/>
              <w:keepNext/>
              <w:spacing w:before="40" w:after="0" w:line="240" w:lineRule="auto"/>
              <w:jc w:val="center"/>
              <w:rPr>
                <w:rFonts w:eastAsia="Times New Roman" w:cstheme="minorHAnsi"/>
                <w:noProof/>
              </w:rPr>
            </w:pPr>
            <w:r>
              <w:rPr>
                <w:noProof/>
              </w:rPr>
              <w:t>2024</w:t>
            </w:r>
          </w:p>
        </w:tc>
        <w:tc>
          <w:tcPr>
            <w:tcW w:w="5223" w:type="dxa"/>
            <w:shd w:val="clear" w:color="auto" w:fill="C4EFCE"/>
            <w:vAlign w:val="center"/>
          </w:tcPr>
          <w:p w14:paraId="58DBF254" w14:textId="4B711299" w:rsidR="00E040FD" w:rsidRDefault="00740D64">
            <w:pPr>
              <w:pStyle w:val="P68B1DB1-Bodytext1013"/>
              <w:spacing w:after="0" w:line="240" w:lineRule="auto"/>
              <w:jc w:val="both"/>
              <w:rPr>
                <w:rFonts w:cstheme="minorHAnsi"/>
                <w:noProof/>
              </w:rPr>
            </w:pPr>
            <w:r>
              <w:rPr>
                <w:noProof/>
              </w:rPr>
              <w:t>Undertecknande av kontraktet för byggande av ett forskningsfartyg för flera ändamål.</w:t>
            </w:r>
          </w:p>
          <w:p w14:paraId="69C9B7F5" w14:textId="2745F682" w:rsidR="00E040FD" w:rsidRDefault="00740D64">
            <w:pPr>
              <w:pStyle w:val="P68B1DB1-Bodytext1013"/>
              <w:spacing w:after="0" w:line="240" w:lineRule="auto"/>
              <w:jc w:val="both"/>
              <w:rPr>
                <w:rFonts w:cstheme="minorHAnsi"/>
                <w:noProof/>
              </w:rPr>
            </w:pPr>
            <w:r>
              <w:rPr>
                <w:noProof/>
              </w:rPr>
              <w:t>Mandatet ska kräva tillämpning av det villkor om att inte orsaka betydande skada som anges i åtgärdsbeskrivningen.</w:t>
            </w:r>
          </w:p>
        </w:tc>
      </w:tr>
      <w:tr w:rsidR="00E040FD" w14:paraId="2A3E48E3" w14:textId="77777777">
        <w:trPr>
          <w:trHeight w:val="61"/>
          <w:jc w:val="center"/>
        </w:trPr>
        <w:tc>
          <w:tcPr>
            <w:tcW w:w="1101" w:type="dxa"/>
            <w:shd w:val="clear" w:color="auto" w:fill="C4EFCE"/>
            <w:vAlign w:val="center"/>
          </w:tcPr>
          <w:p w14:paraId="5F10CBE7" w14:textId="4A79894B" w:rsidR="00E040FD" w:rsidRDefault="00740D64">
            <w:pPr>
              <w:pStyle w:val="P68B1DB1-Normal11"/>
              <w:keepNext/>
              <w:spacing w:before="40" w:after="0" w:line="240" w:lineRule="auto"/>
              <w:jc w:val="center"/>
              <w:rPr>
                <w:noProof/>
              </w:rPr>
            </w:pPr>
            <w:r>
              <w:rPr>
                <w:noProof/>
              </w:rPr>
              <w:t>10.14</w:t>
            </w:r>
          </w:p>
        </w:tc>
        <w:tc>
          <w:tcPr>
            <w:tcW w:w="1231" w:type="dxa"/>
            <w:shd w:val="clear" w:color="auto" w:fill="C4EFCE"/>
            <w:noWrap/>
            <w:vAlign w:val="center"/>
          </w:tcPr>
          <w:p w14:paraId="226B4B24" w14:textId="77A8C67B" w:rsidR="00E040FD" w:rsidRDefault="00740D64">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092E5EFA" w14:textId="343F1A1A" w:rsidR="00E040FD" w:rsidRDefault="00740D64">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52FE4774" w14:textId="73D91BDA" w:rsidR="00E040FD" w:rsidRDefault="00740D64">
            <w:pPr>
              <w:pStyle w:val="P68B1DB1-Normal12"/>
              <w:keepNext/>
              <w:spacing w:before="40" w:after="0" w:line="240" w:lineRule="auto"/>
              <w:jc w:val="center"/>
              <w:rPr>
                <w:rFonts w:eastAsia="Times New Roman" w:cstheme="minorHAnsi"/>
                <w:noProof/>
              </w:rPr>
            </w:pPr>
            <w:r>
              <w:rPr>
                <w:noProof/>
              </w:rPr>
              <w:t>Leverans av det energieffektiva forskningsfartyget för flera ändamål</w:t>
            </w:r>
          </w:p>
        </w:tc>
        <w:tc>
          <w:tcPr>
            <w:tcW w:w="1231" w:type="dxa"/>
            <w:shd w:val="clear" w:color="auto" w:fill="C4EFCE"/>
            <w:noWrap/>
            <w:vAlign w:val="center"/>
          </w:tcPr>
          <w:p w14:paraId="0008148C" w14:textId="6B0E742D" w:rsidR="00E040FD" w:rsidRDefault="00740D64">
            <w:pPr>
              <w:pStyle w:val="P68B1DB1-Normal12"/>
              <w:keepNext/>
              <w:spacing w:before="40" w:after="0" w:line="240" w:lineRule="auto"/>
              <w:jc w:val="center"/>
              <w:rPr>
                <w:rFonts w:eastAsia="Times New Roman" w:cstheme="minorHAnsi"/>
                <w:noProof/>
              </w:rPr>
            </w:pPr>
            <w:r>
              <w:rPr>
                <w:noProof/>
              </w:rPr>
              <w:t>Leverans av forskningsfartyget för flera ändamål</w:t>
            </w:r>
          </w:p>
        </w:tc>
        <w:tc>
          <w:tcPr>
            <w:tcW w:w="962" w:type="dxa"/>
            <w:shd w:val="clear" w:color="auto" w:fill="C4EFCE"/>
            <w:noWrap/>
            <w:vAlign w:val="center"/>
          </w:tcPr>
          <w:p w14:paraId="5108E572" w14:textId="77777777" w:rsidR="00E040FD" w:rsidRDefault="00E040FD">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5D573528" w14:textId="77777777" w:rsidR="00E040FD" w:rsidRDefault="00E040FD">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759F38D6" w14:textId="77777777" w:rsidR="00E040FD" w:rsidRDefault="00E040FD">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78546CDD" w14:textId="248BD776" w:rsidR="00E040FD" w:rsidRDefault="00740D64">
            <w:pPr>
              <w:pStyle w:val="P68B1DB1-Normal12"/>
              <w:keepNext/>
              <w:spacing w:before="40" w:after="0" w:line="240" w:lineRule="auto"/>
              <w:jc w:val="center"/>
              <w:rPr>
                <w:rFonts w:eastAsia="Times New Roman" w:cstheme="minorHAnsi"/>
                <w:noProof/>
              </w:rPr>
            </w:pPr>
            <w:r>
              <w:rPr>
                <w:noProof/>
              </w:rPr>
              <w:t>KVARTAL 2</w:t>
            </w:r>
          </w:p>
        </w:tc>
        <w:tc>
          <w:tcPr>
            <w:tcW w:w="684" w:type="dxa"/>
            <w:shd w:val="clear" w:color="auto" w:fill="C4EFCE"/>
            <w:noWrap/>
            <w:vAlign w:val="center"/>
          </w:tcPr>
          <w:p w14:paraId="59E155B1" w14:textId="23D5A01D" w:rsidR="00E040FD" w:rsidRDefault="00740D64">
            <w:pPr>
              <w:pStyle w:val="P68B1DB1-Normal12"/>
              <w:keepNext/>
              <w:spacing w:before="40" w:after="0" w:line="240" w:lineRule="auto"/>
              <w:jc w:val="center"/>
              <w:rPr>
                <w:rFonts w:eastAsia="Times New Roman" w:cstheme="minorHAnsi"/>
                <w:noProof/>
              </w:rPr>
            </w:pPr>
            <w:r>
              <w:rPr>
                <w:noProof/>
              </w:rPr>
              <w:t>2026</w:t>
            </w:r>
          </w:p>
        </w:tc>
        <w:tc>
          <w:tcPr>
            <w:tcW w:w="5223" w:type="dxa"/>
            <w:shd w:val="clear" w:color="auto" w:fill="C4EFCE"/>
            <w:vAlign w:val="center"/>
          </w:tcPr>
          <w:p w14:paraId="34A1476F" w14:textId="225C975F" w:rsidR="00E040FD" w:rsidRDefault="00740D64">
            <w:pPr>
              <w:pStyle w:val="P68B1DB1-Normal12"/>
              <w:keepNext/>
              <w:spacing w:before="40" w:after="0" w:line="240" w:lineRule="auto"/>
              <w:jc w:val="both"/>
              <w:rPr>
                <w:rFonts w:eastAsia="Times New Roman" w:cstheme="minorHAnsi"/>
                <w:noProof/>
              </w:rPr>
            </w:pPr>
            <w:r>
              <w:rPr>
                <w:noProof/>
              </w:rPr>
              <w:t xml:space="preserve">Leverans av det energieffektiva forskningsfartyget för flera ändamål. Den ska kunna bedriva verksamhet i de grunda vattnen i den autonoma regionen Madeira runt öarna i ögruppen samt på öppet hav. </w:t>
            </w:r>
          </w:p>
        </w:tc>
      </w:tr>
      <w:tr w:rsidR="00E040FD" w14:paraId="091A1A6A" w14:textId="77777777">
        <w:trPr>
          <w:trHeight w:val="61"/>
          <w:jc w:val="center"/>
        </w:trPr>
        <w:tc>
          <w:tcPr>
            <w:tcW w:w="1101" w:type="dxa"/>
            <w:shd w:val="clear" w:color="auto" w:fill="C4EFCE"/>
            <w:vAlign w:val="center"/>
          </w:tcPr>
          <w:p w14:paraId="411A72EE" w14:textId="6F64B9D4" w:rsidR="00E040FD" w:rsidRDefault="00740D64">
            <w:pPr>
              <w:pStyle w:val="P68B1DB1-Normal11"/>
              <w:keepNext/>
              <w:spacing w:before="40" w:after="0" w:line="240" w:lineRule="auto"/>
              <w:jc w:val="center"/>
              <w:rPr>
                <w:noProof/>
              </w:rPr>
            </w:pPr>
            <w:r>
              <w:rPr>
                <w:noProof/>
              </w:rPr>
              <w:t>10.15</w:t>
            </w:r>
          </w:p>
        </w:tc>
        <w:tc>
          <w:tcPr>
            <w:tcW w:w="1231" w:type="dxa"/>
            <w:shd w:val="clear" w:color="auto" w:fill="C4EFCE"/>
            <w:noWrap/>
            <w:vAlign w:val="center"/>
          </w:tcPr>
          <w:p w14:paraId="2EB7E203" w14:textId="651B5F2E" w:rsidR="00E040FD" w:rsidRDefault="00740D64">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5F6666DA" w14:textId="7D095AF5" w:rsidR="00E040FD" w:rsidRDefault="00740D64">
            <w:pPr>
              <w:pStyle w:val="P68B1DB1-Normal12"/>
              <w:keepNext/>
              <w:spacing w:before="40" w:after="0" w:line="240" w:lineRule="auto"/>
              <w:jc w:val="center"/>
              <w:rPr>
                <w:rFonts w:eastAsia="Times New Roman" w:cstheme="minorHAnsi"/>
                <w:noProof/>
              </w:rPr>
            </w:pPr>
            <w:r>
              <w:rPr>
                <w:noProof/>
              </w:rPr>
              <w:t>T</w:t>
            </w:r>
          </w:p>
        </w:tc>
        <w:tc>
          <w:tcPr>
            <w:tcW w:w="1640" w:type="dxa"/>
            <w:shd w:val="clear" w:color="auto" w:fill="C4EFCE"/>
            <w:noWrap/>
            <w:vAlign w:val="center"/>
          </w:tcPr>
          <w:p w14:paraId="7684AA42" w14:textId="6AF3654F" w:rsidR="00E040FD" w:rsidRDefault="00740D64">
            <w:pPr>
              <w:pStyle w:val="P68B1DB1-Normal12"/>
              <w:keepNext/>
              <w:spacing w:before="40" w:after="0" w:line="240" w:lineRule="auto"/>
              <w:jc w:val="center"/>
              <w:rPr>
                <w:rFonts w:eastAsia="Times New Roman" w:cstheme="minorHAnsi"/>
                <w:noProof/>
              </w:rPr>
            </w:pPr>
            <w:r>
              <w:rPr>
                <w:noProof/>
              </w:rPr>
              <w:t>Leverans av två autonoma obemannade fordon</w:t>
            </w:r>
          </w:p>
        </w:tc>
        <w:tc>
          <w:tcPr>
            <w:tcW w:w="1231" w:type="dxa"/>
            <w:shd w:val="clear" w:color="auto" w:fill="C4EFCE"/>
            <w:noWrap/>
            <w:vAlign w:val="center"/>
          </w:tcPr>
          <w:p w14:paraId="5A84A9D9" w14:textId="16826EBA" w:rsidR="00E040FD" w:rsidRDefault="00740D64">
            <w:pPr>
              <w:pStyle w:val="P68B1DB1-Normal12"/>
              <w:keepNext/>
              <w:spacing w:before="40" w:after="0" w:line="240" w:lineRule="auto"/>
              <w:jc w:val="center"/>
              <w:rPr>
                <w:rFonts w:eastAsia="Times New Roman" w:cstheme="minorHAnsi"/>
                <w:noProof/>
              </w:rPr>
            </w:pPr>
            <w:r>
              <w:rPr>
                <w:noProof/>
              </w:rPr>
              <w:t xml:space="preserve">Leverans av två självkörande fordon </w:t>
            </w:r>
          </w:p>
        </w:tc>
        <w:tc>
          <w:tcPr>
            <w:tcW w:w="962" w:type="dxa"/>
            <w:shd w:val="clear" w:color="auto" w:fill="C4EFCE"/>
            <w:noWrap/>
            <w:vAlign w:val="center"/>
          </w:tcPr>
          <w:p w14:paraId="2E74DE0C" w14:textId="24DEA61F" w:rsidR="00E040FD" w:rsidRDefault="00740D64">
            <w:pPr>
              <w:pStyle w:val="P68B1DB1-Normal12"/>
              <w:keepNext/>
              <w:spacing w:before="40" w:after="0" w:line="240" w:lineRule="auto"/>
              <w:jc w:val="center"/>
              <w:rPr>
                <w:rFonts w:eastAsia="Times New Roman" w:cstheme="minorHAnsi"/>
                <w:noProof/>
              </w:rPr>
            </w:pPr>
            <w:r>
              <w:rPr>
                <w:noProof/>
              </w:rPr>
              <w:t>Antal</w:t>
            </w:r>
          </w:p>
        </w:tc>
        <w:tc>
          <w:tcPr>
            <w:tcW w:w="961" w:type="dxa"/>
            <w:shd w:val="clear" w:color="auto" w:fill="C4EFCE"/>
            <w:noWrap/>
            <w:vAlign w:val="center"/>
          </w:tcPr>
          <w:p w14:paraId="547741A2" w14:textId="0C97B0DB" w:rsidR="00E040FD" w:rsidRDefault="00740D64">
            <w:pPr>
              <w:pStyle w:val="P68B1DB1-Normal12"/>
              <w:keepNext/>
              <w:spacing w:before="40" w:after="0" w:line="240" w:lineRule="auto"/>
              <w:jc w:val="center"/>
              <w:rPr>
                <w:rFonts w:eastAsia="Times New Roman" w:cstheme="minorHAnsi"/>
                <w:noProof/>
              </w:rPr>
            </w:pPr>
            <w:r>
              <w:rPr>
                <w:noProof/>
              </w:rPr>
              <w:t>0</w:t>
            </w:r>
          </w:p>
        </w:tc>
        <w:tc>
          <w:tcPr>
            <w:tcW w:w="690" w:type="dxa"/>
            <w:shd w:val="clear" w:color="auto" w:fill="C4EFCE"/>
            <w:noWrap/>
            <w:vAlign w:val="center"/>
          </w:tcPr>
          <w:p w14:paraId="7E1DC46E" w14:textId="326880E0" w:rsidR="00E040FD" w:rsidRDefault="00740D64">
            <w:pPr>
              <w:pStyle w:val="P68B1DB1-Normal12"/>
              <w:keepNext/>
              <w:spacing w:before="40" w:after="0" w:line="240" w:lineRule="auto"/>
              <w:jc w:val="center"/>
              <w:rPr>
                <w:rFonts w:eastAsia="Times New Roman" w:cstheme="minorHAnsi"/>
                <w:noProof/>
              </w:rPr>
            </w:pPr>
            <w:r>
              <w:rPr>
                <w:noProof/>
              </w:rPr>
              <w:t>2</w:t>
            </w:r>
          </w:p>
        </w:tc>
        <w:tc>
          <w:tcPr>
            <w:tcW w:w="554" w:type="dxa"/>
            <w:shd w:val="clear" w:color="auto" w:fill="C4EFCE"/>
            <w:noWrap/>
            <w:vAlign w:val="center"/>
          </w:tcPr>
          <w:p w14:paraId="5705B555" w14:textId="6E24D781" w:rsidR="00E040FD" w:rsidRDefault="00740D64">
            <w:pPr>
              <w:pStyle w:val="P68B1DB1-Normal12"/>
              <w:keepNext/>
              <w:spacing w:before="40" w:after="0" w:line="240" w:lineRule="auto"/>
              <w:jc w:val="center"/>
              <w:rPr>
                <w:rFonts w:eastAsia="Times New Roman" w:cstheme="minorHAnsi"/>
                <w:noProof/>
              </w:rPr>
            </w:pPr>
            <w:r>
              <w:rPr>
                <w:noProof/>
              </w:rPr>
              <w:t>KVARTAL 3</w:t>
            </w:r>
          </w:p>
        </w:tc>
        <w:tc>
          <w:tcPr>
            <w:tcW w:w="684" w:type="dxa"/>
            <w:shd w:val="clear" w:color="auto" w:fill="C4EFCE"/>
            <w:noWrap/>
            <w:vAlign w:val="center"/>
          </w:tcPr>
          <w:p w14:paraId="110A6402" w14:textId="166C70AB" w:rsidR="00E040FD" w:rsidRDefault="00740D64">
            <w:pPr>
              <w:pStyle w:val="P68B1DB1-Normal12"/>
              <w:keepNext/>
              <w:spacing w:before="40" w:after="0" w:line="240" w:lineRule="auto"/>
              <w:jc w:val="center"/>
              <w:rPr>
                <w:rFonts w:eastAsia="Times New Roman" w:cstheme="minorHAnsi"/>
                <w:noProof/>
              </w:rPr>
            </w:pPr>
            <w:r>
              <w:rPr>
                <w:noProof/>
              </w:rPr>
              <w:t>2024</w:t>
            </w:r>
          </w:p>
        </w:tc>
        <w:tc>
          <w:tcPr>
            <w:tcW w:w="5223" w:type="dxa"/>
            <w:shd w:val="clear" w:color="auto" w:fill="C4EFCE"/>
            <w:vAlign w:val="center"/>
          </w:tcPr>
          <w:p w14:paraId="592B0CE3" w14:textId="77777777" w:rsidR="00E040FD" w:rsidRDefault="00740D64">
            <w:pPr>
              <w:pStyle w:val="P68B1DB1-Bodytext1013"/>
              <w:spacing w:after="0" w:line="240" w:lineRule="auto"/>
              <w:jc w:val="both"/>
              <w:rPr>
                <w:rFonts w:cstheme="minorHAnsi"/>
                <w:noProof/>
              </w:rPr>
            </w:pPr>
            <w:r>
              <w:rPr>
                <w:noProof/>
              </w:rPr>
              <w:t xml:space="preserve">Leverans av två autonoma obemannade fordon: </w:t>
            </w:r>
          </w:p>
          <w:p w14:paraId="639A4637" w14:textId="77777777" w:rsidR="00E040FD" w:rsidRDefault="00740D64">
            <w:pPr>
              <w:pStyle w:val="P68B1DB1-Bodytext1013"/>
              <w:widowControl/>
              <w:numPr>
                <w:ilvl w:val="0"/>
                <w:numId w:val="79"/>
              </w:numPr>
              <w:spacing w:after="0" w:line="240" w:lineRule="auto"/>
              <w:jc w:val="both"/>
              <w:rPr>
                <w:rFonts w:cstheme="minorHAnsi"/>
                <w:noProof/>
              </w:rPr>
            </w:pPr>
            <w:r>
              <w:rPr>
                <w:noProof/>
              </w:rPr>
              <w:t xml:space="preserve">Självkörande fordon (USV) </w:t>
            </w:r>
          </w:p>
          <w:p w14:paraId="56AB6A4E" w14:textId="2C32EDBC" w:rsidR="00E040FD" w:rsidRDefault="00740D64">
            <w:pPr>
              <w:pStyle w:val="P68B1DB1-Bodytext1013"/>
              <w:widowControl/>
              <w:numPr>
                <w:ilvl w:val="0"/>
                <w:numId w:val="79"/>
              </w:numPr>
              <w:spacing w:after="0" w:line="240" w:lineRule="auto"/>
              <w:jc w:val="both"/>
              <w:rPr>
                <w:rFonts w:cstheme="minorHAnsi"/>
                <w:noProof/>
              </w:rPr>
            </w:pPr>
            <w:r>
              <w:rPr>
                <w:noProof/>
              </w:rPr>
              <w:t>Autonom undervattensfarkost (AUV) 1000M</w:t>
            </w:r>
          </w:p>
        </w:tc>
      </w:tr>
      <w:tr w:rsidR="00E040FD" w14:paraId="12E1396B" w14:textId="77777777">
        <w:trPr>
          <w:trHeight w:val="61"/>
          <w:jc w:val="center"/>
        </w:trPr>
        <w:tc>
          <w:tcPr>
            <w:tcW w:w="1101" w:type="dxa"/>
            <w:shd w:val="clear" w:color="auto" w:fill="C4EFCE"/>
            <w:vAlign w:val="center"/>
          </w:tcPr>
          <w:p w14:paraId="56FD233F" w14:textId="75E58EAE" w:rsidR="00E040FD" w:rsidRDefault="00740D64">
            <w:pPr>
              <w:pStyle w:val="P68B1DB1-Normal11"/>
              <w:keepNext/>
              <w:spacing w:before="40" w:after="0" w:line="240" w:lineRule="auto"/>
              <w:jc w:val="center"/>
              <w:rPr>
                <w:noProof/>
              </w:rPr>
            </w:pPr>
            <w:r>
              <w:rPr>
                <w:noProof/>
              </w:rPr>
              <w:t>10.16</w:t>
            </w:r>
          </w:p>
        </w:tc>
        <w:tc>
          <w:tcPr>
            <w:tcW w:w="1231" w:type="dxa"/>
            <w:shd w:val="clear" w:color="auto" w:fill="C4EFCE"/>
            <w:noWrap/>
            <w:vAlign w:val="center"/>
          </w:tcPr>
          <w:p w14:paraId="483DF909" w14:textId="5978A081" w:rsidR="00E040FD" w:rsidRDefault="00740D64">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0C879D3F" w14:textId="0AE81711" w:rsidR="00E040FD" w:rsidRDefault="00740D64">
            <w:pPr>
              <w:pStyle w:val="P68B1DB1-Normal12"/>
              <w:keepNext/>
              <w:spacing w:before="40" w:after="0" w:line="240" w:lineRule="auto"/>
              <w:jc w:val="center"/>
              <w:rPr>
                <w:rFonts w:eastAsia="Times New Roman"/>
                <w:noProof/>
              </w:rPr>
            </w:pPr>
            <w:r>
              <w:rPr>
                <w:noProof/>
              </w:rPr>
              <w:t>M</w:t>
            </w:r>
          </w:p>
        </w:tc>
        <w:tc>
          <w:tcPr>
            <w:tcW w:w="1640" w:type="dxa"/>
            <w:shd w:val="clear" w:color="auto" w:fill="C4EFCE"/>
            <w:noWrap/>
            <w:vAlign w:val="center"/>
          </w:tcPr>
          <w:p w14:paraId="49A83E98" w14:textId="3C7FA536" w:rsidR="00E040FD" w:rsidRDefault="00740D64">
            <w:pPr>
              <w:pStyle w:val="P68B1DB1-Normal12"/>
              <w:keepNext/>
              <w:spacing w:before="40" w:after="0" w:line="240" w:lineRule="auto"/>
              <w:jc w:val="center"/>
              <w:rPr>
                <w:rFonts w:eastAsia="Times New Roman" w:cstheme="minorHAnsi"/>
                <w:noProof/>
              </w:rPr>
            </w:pPr>
            <w:r>
              <w:rPr>
                <w:noProof/>
              </w:rPr>
              <w:t>Leverans av autonoma obemannade fordon</w:t>
            </w:r>
          </w:p>
        </w:tc>
        <w:tc>
          <w:tcPr>
            <w:tcW w:w="1231" w:type="dxa"/>
            <w:shd w:val="clear" w:color="auto" w:fill="C4EFCE"/>
            <w:noWrap/>
            <w:vAlign w:val="center"/>
          </w:tcPr>
          <w:p w14:paraId="56763CB6" w14:textId="04C99C4E" w:rsidR="00E040FD" w:rsidRDefault="00740D64">
            <w:pPr>
              <w:pStyle w:val="P68B1DB1-Normal12"/>
              <w:keepNext/>
              <w:spacing w:before="40" w:after="0" w:line="240" w:lineRule="auto"/>
              <w:jc w:val="center"/>
              <w:rPr>
                <w:rFonts w:eastAsia="Times New Roman" w:cstheme="minorHAnsi"/>
                <w:noProof/>
              </w:rPr>
            </w:pPr>
            <w:r>
              <w:rPr>
                <w:noProof/>
              </w:rPr>
              <w:t>Leverans av autonoma obemannade fordon</w:t>
            </w:r>
          </w:p>
        </w:tc>
        <w:tc>
          <w:tcPr>
            <w:tcW w:w="962" w:type="dxa"/>
            <w:shd w:val="clear" w:color="auto" w:fill="C4EFCE"/>
            <w:noWrap/>
            <w:vAlign w:val="center"/>
          </w:tcPr>
          <w:p w14:paraId="1103F6C0" w14:textId="457E077F" w:rsidR="00E040FD" w:rsidRDefault="00E040FD">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601DD50D" w14:textId="0EF25E98" w:rsidR="00E040FD" w:rsidRDefault="00E040FD">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7383417D" w14:textId="03239D54" w:rsidR="00E040FD" w:rsidRDefault="00E040FD">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0D745C96" w14:textId="508646F6" w:rsidR="00E040FD" w:rsidRDefault="00740D64">
            <w:pPr>
              <w:pStyle w:val="P68B1DB1-Normal12"/>
              <w:keepNext/>
              <w:spacing w:before="40" w:after="0" w:line="240" w:lineRule="auto"/>
              <w:jc w:val="center"/>
              <w:rPr>
                <w:rFonts w:eastAsia="Times New Roman" w:cstheme="minorHAnsi"/>
                <w:noProof/>
              </w:rPr>
            </w:pPr>
            <w:r>
              <w:rPr>
                <w:noProof/>
              </w:rPr>
              <w:t>KVARTAL 4</w:t>
            </w:r>
          </w:p>
        </w:tc>
        <w:tc>
          <w:tcPr>
            <w:tcW w:w="684" w:type="dxa"/>
            <w:shd w:val="clear" w:color="auto" w:fill="C4EFCE"/>
            <w:noWrap/>
            <w:vAlign w:val="center"/>
          </w:tcPr>
          <w:p w14:paraId="4410A9DA" w14:textId="4A5D18FE" w:rsidR="00E040FD" w:rsidRDefault="00740D64">
            <w:pPr>
              <w:pStyle w:val="P68B1DB1-Normal12"/>
              <w:keepNext/>
              <w:spacing w:before="40" w:after="0" w:line="240" w:lineRule="auto"/>
              <w:jc w:val="center"/>
              <w:rPr>
                <w:rFonts w:eastAsia="Times New Roman" w:cstheme="minorHAnsi"/>
                <w:noProof/>
              </w:rPr>
            </w:pPr>
            <w:r>
              <w:rPr>
                <w:noProof/>
              </w:rPr>
              <w:t>2025</w:t>
            </w:r>
          </w:p>
        </w:tc>
        <w:tc>
          <w:tcPr>
            <w:tcW w:w="5223" w:type="dxa"/>
            <w:shd w:val="clear" w:color="auto" w:fill="C4EFCE"/>
            <w:vAlign w:val="center"/>
          </w:tcPr>
          <w:p w14:paraId="4E50F559" w14:textId="7094A901" w:rsidR="00E040FD" w:rsidRDefault="00740D64">
            <w:pPr>
              <w:pStyle w:val="P68B1DB1-Normal12"/>
              <w:keepNext/>
              <w:spacing w:before="40" w:after="0" w:line="240" w:lineRule="auto"/>
              <w:jc w:val="both"/>
              <w:rPr>
                <w:rFonts w:eastAsia="Times New Roman" w:cstheme="minorHAnsi"/>
                <w:noProof/>
              </w:rPr>
            </w:pPr>
            <w:r>
              <w:rPr>
                <w:noProof/>
              </w:rPr>
              <w:t xml:space="preserve">Leverans av autonoma undervattensfarkoster 6000M. </w:t>
            </w:r>
          </w:p>
        </w:tc>
      </w:tr>
    </w:tbl>
    <w:p w14:paraId="2BA4F9E6" w14:textId="4FDF11B3" w:rsidR="00E040FD" w:rsidRDefault="00E040FD">
      <w:pPr>
        <w:rPr>
          <w:noProof/>
        </w:rPr>
      </w:pPr>
    </w:p>
    <w:p w14:paraId="57C9C0BA"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4CBC1AE8" w14:textId="378A82D4"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E040FD" w:rsidSect="00E00EDD">
          <w:headerReference w:type="even" r:id="rId216"/>
          <w:headerReference w:type="default" r:id="rId217"/>
          <w:footerReference w:type="even" r:id="rId218"/>
          <w:footerReference w:type="default" r:id="rId219"/>
          <w:headerReference w:type="first" r:id="rId220"/>
          <w:footerReference w:type="first" r:id="rId221"/>
          <w:pgSz w:w="16839" w:h="11907" w:orient="landscape"/>
          <w:pgMar w:top="1134" w:right="1134" w:bottom="1134" w:left="1134" w:header="567" w:footer="567" w:gutter="0"/>
          <w:cols w:space="720"/>
          <w:docGrid w:linePitch="360"/>
        </w:sectPr>
      </w:pPr>
    </w:p>
    <w:p w14:paraId="29ABB686" w14:textId="06439B4A" w:rsidR="00E040FD" w:rsidRDefault="00740D64">
      <w:pPr>
        <w:pStyle w:val="P68B1DB1-Normal3"/>
        <w:spacing w:before="40" w:after="0" w:line="259" w:lineRule="auto"/>
        <w:ind w:left="130" w:firstLine="720"/>
        <w:jc w:val="both"/>
        <w:outlineLvl w:val="2"/>
        <w:rPr>
          <w:rFonts w:eastAsiaTheme="minorEastAsia" w:cs="Times New Roman"/>
          <w:noProof/>
        </w:rPr>
      </w:pPr>
      <w:r>
        <w:rPr>
          <w:noProof/>
        </w:rPr>
        <w:t>J.3. Beskrivning av reformerna och investeringarna för lånet</w:t>
      </w:r>
    </w:p>
    <w:p w14:paraId="6F09459D" w14:textId="77777777"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Investeringar TC-C10-I03: Centrum för Atlantförsvarsoperationer och marinplattform</w:t>
      </w:r>
    </w:p>
    <w:p w14:paraId="51C079D1" w14:textId="77777777" w:rsidR="00E040FD" w:rsidRDefault="00740D64">
      <w:pPr>
        <w:pStyle w:val="P68B1DB1-Normal4"/>
        <w:keepNext/>
        <w:spacing w:before="40" w:after="0" w:line="259" w:lineRule="auto"/>
        <w:jc w:val="both"/>
        <w:rPr>
          <w:rFonts w:eastAsia="Times New Roman"/>
          <w:noProof/>
        </w:rPr>
      </w:pPr>
      <w:r>
        <w:rPr>
          <w:noProof/>
        </w:rPr>
        <w:t xml:space="preserve">Syftet med denna investering är att bidra till att ta itu med ett antal utmaningar, bland annat övervakning av havets och atmosfärens biogeokemiska dimension. kartlägga och bedöma mineralresurser och alla andra icke-förnybara resurser i marin jord och underliggande jordlager under portugisisk jurisdiktion. kontinuerligt kartlägga levande resurser (förnybara resurser) och övervaka deras utveckling, bekämpa oriktigheter och olagligheter över havet i portugisisk jurisdiktion när det gäller havsindustrins värdekedjor, insatser vid naturkatastrofer och katastrofer orsakade av människor. bidra till att begränsa skadliga mänskliga handlingar i havet (ta itu med effekterna av föroreningar såsom makroplast). öka kapaciteten att registrera all information som tas fram till havs, producera ny kunskap och generera kunskap genom att slå samman information och utveckla prognosmodeller med olika tidsmässiga och rumsliga skalor. </w:t>
      </w:r>
    </w:p>
    <w:p w14:paraId="600E2269" w14:textId="72E35649" w:rsidR="00E040FD" w:rsidRDefault="00740D64">
      <w:pPr>
        <w:pStyle w:val="P68B1DB1-Normal4"/>
        <w:keepNext/>
        <w:spacing w:before="40" w:after="0" w:line="259" w:lineRule="auto"/>
        <w:jc w:val="both"/>
        <w:rPr>
          <w:rFonts w:eastAsia="Times New Roman"/>
          <w:noProof/>
        </w:rPr>
      </w:pPr>
      <w:r>
        <w:rPr>
          <w:noProof/>
        </w:rPr>
        <w:t xml:space="preserve">Investeringen ska bestå i att utveckla ett system som bygger på tre huvudpelare: Pelare I – Flerfunktionell marin plattform med flera styrkor och med följande syften: havsövervakning, oceanografisk forskning, övervakning av havsekologin, integrering av ny teknik för havsövervakning och insatser till havs – inbegripet robottekniksystem för luft- och undervattensrobotar). Pelare II – Driftscentrum, förankrat i ett medvetandehöjande system som bygger på en nationell havsdatabas och en digital tvilling och ett nätverk av centrum för forskning, utveckling, experiment och innovation, i syfte att stärka möjligheterna att observera haven, bidra till målet att skapa ett digitalt hav, främja kunskap och tillhandahålla lösningar för havsinsatser, såsom insamling av data från luften, sjöfarten och undervattnen, kunskap om havsfenomen och kartläggning av havet för vetenskapliga ändamål. och tredje pelaren – Alfeite Arsenal Academy (Academy 4.0). Pelare I ska bestå i att bygga en multifunktionell plattform, integrera spjutspetsteknik och utvidga funktionerna hos ett havsövervakningsfartyg och oceanografiska forskningsfartyg till andra scenarier, såsom nödsituationer såsom oljeutsläpp eller blomningar av plast, alger eller geléer) eller övervakning av marina ekosystem, och integrera nya tekniska metoder för havsobservation, övervakning och intervention, såsom robotbaserade luftburna system eller undervattenssystem. Plattformen ska vidta flera åtgärder, såsom katastrofinsatser, övervakning, vetenskaplig och teknisk forskning samt miljö- och meteorologisk övervakning. Inom den andra pelaren syftar operationscentrumet till att stärka metoderna för observation av havet genom att bidra till målet att skapa ett ”digitalt hav” för att möjliggöra kunskapsskapande och dessutom tillhandahålla lösningar som stärker den nationella och internationella kapaciteten att ingripa i haven. Den tredje pelaren syftar till att vara ett innovativt projekt för utbildning av mänskliga resurser inom sjöfartssektorn – både genom kvalifikationer och erfarenhetsutbyte för dem som redan finns i företag och genom att locka till sig yrkesverksamma inom marinteknik. Arsenalakademin har som mål att fokusera på utbildning på banbrytande områden som robotteknik, telekommunikation, bioteknik, nanoteknik, konnektivitet, artificiell intelligens, stordata och maskininlärning. </w:t>
      </w:r>
    </w:p>
    <w:p w14:paraId="194B0E08" w14:textId="4DA04AD9"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vara genomförd senast den 30 juni 2026. </w:t>
      </w:r>
    </w:p>
    <w:p w14:paraId="6C40F50C" w14:textId="4BE4D193" w:rsidR="00E040FD" w:rsidRDefault="00740D64">
      <w:pPr>
        <w:pStyle w:val="P68B1DB1-Normal5"/>
        <w:keepNext/>
        <w:spacing w:before="240" w:after="0" w:line="259" w:lineRule="auto"/>
        <w:ind w:left="851"/>
        <w:jc w:val="both"/>
        <w:outlineLvl w:val="3"/>
        <w:rPr>
          <w:rFonts w:eastAsiaTheme="minorEastAsia" w:cs="Times New Roman"/>
          <w:noProof/>
        </w:rPr>
      </w:pPr>
      <w:r>
        <w:rPr>
          <w:noProof/>
        </w:rPr>
        <w:t xml:space="preserve">Investeringar TC-C10-I07: Grön sjöfart </w:t>
      </w:r>
    </w:p>
    <w:p w14:paraId="1305AFF8" w14:textId="77777777" w:rsidR="00E040FD" w:rsidRDefault="00740D64">
      <w:pPr>
        <w:pStyle w:val="P68B1DB1-Normal4"/>
        <w:spacing w:before="40" w:after="0" w:line="259" w:lineRule="auto"/>
        <w:jc w:val="both"/>
        <w:rPr>
          <w:rFonts w:cs="Times New Roman"/>
          <w:noProof/>
        </w:rPr>
      </w:pPr>
      <w:r>
        <w:rPr>
          <w:noProof/>
        </w:rPr>
        <w:t xml:space="preserve">Syftet med åtgärden är att påskynda energiomställningen för godstransporter och passagerartransporter till sjöss. </w:t>
      </w:r>
    </w:p>
    <w:p w14:paraId="5C3C7211" w14:textId="196441A6" w:rsidR="00E040FD" w:rsidRDefault="00740D64">
      <w:pPr>
        <w:pStyle w:val="P68B1DB1-Normal4"/>
        <w:spacing w:before="40" w:after="0" w:line="259" w:lineRule="auto"/>
        <w:jc w:val="both"/>
        <w:rPr>
          <w:rFonts w:eastAsia="Yu Mincho Light" w:cs="Times New Roman"/>
          <w:noProof/>
        </w:rPr>
      </w:pPr>
      <w:r>
        <w:rPr>
          <w:noProof/>
        </w:rPr>
        <w:t xml:space="preserve">Investeringen ska bestå av ett stödprogram för energieffektivitetsåtgärder för tio gods- och passagerarfartyg, varav minst 70 % av fartygen överstiger 5000 bruttodräktighet (GT). Interventionerna ska omfattas av minst en av följande typer: i) åtgärder för att ersätta fossila bränslen, ii) energibesparande åtgärder och iii) kompletterande åtgärder för utsläppsminskning. </w:t>
      </w:r>
    </w:p>
    <w:p w14:paraId="15F0E021" w14:textId="6C3C3C59" w:rsidR="00E040FD" w:rsidRDefault="00740D64">
      <w:pPr>
        <w:pStyle w:val="P68B1DB1-Normal4"/>
        <w:spacing w:before="40" w:after="0" w:line="259" w:lineRule="auto"/>
        <w:jc w:val="both"/>
        <w:rPr>
          <w:rFonts w:cs="Times New Roman"/>
          <w:noProof/>
        </w:rPr>
      </w:pPr>
      <w:r>
        <w:rPr>
          <w:noProof/>
        </w:rPr>
        <w:t xml:space="preserve">Ansökningarna ska poängsättas på grundval av bedömningen av nivån på minskningen av utsläppen av koldioxid (CO2), beräknad på grundval av indikatorn för koldioxidintensitet (CII), och indikering per transportarbetsenhet, uttryckt i procent, och på bedömningen av utsläppsnivåerna för svaveloxider (SOx), kväveoxider (NOx) och partiklar i procent. Index för befintliga energieffektiva fartyg (EEXI) ska också användas som indikator för bedömningen.  </w:t>
      </w:r>
    </w:p>
    <w:p w14:paraId="54D2FF52" w14:textId="77777777" w:rsidR="00E040FD" w:rsidRDefault="00740D64">
      <w:pPr>
        <w:pStyle w:val="P68B1DB1-Normal4"/>
        <w:spacing w:before="40" w:after="0" w:line="259" w:lineRule="auto"/>
        <w:jc w:val="both"/>
        <w:rPr>
          <w:rFonts w:eastAsia="@MS Mincho" w:cs="Times New Roman"/>
          <w:noProof/>
        </w:rPr>
      </w:pPr>
      <w:r>
        <w:rPr>
          <w:noProof/>
        </w:rPr>
        <w:t xml:space="preserve">För att säkerställa att åtgärden är förenlig med den tekniska vägledningen om att inte orsaka betydande skada (2021/C58/01) ska investeringen bidra till en minskning på minst 10 % av fartygets bränsleförbrukning uttryckt i gram bränsle per dödviktston per sjömil. Beräkningen av förbrukningen ska demonstreras genom beräkningsvätskeflödesdynamik (CFD:er), tankprov eller liknande tekniska beräkningar). Dessutom får fartygen inte användas för transport av fossila bränslen. </w:t>
      </w:r>
    </w:p>
    <w:p w14:paraId="4981A449" w14:textId="09E215CA" w:rsidR="00E040FD" w:rsidRDefault="00740D64">
      <w:pPr>
        <w:pStyle w:val="P68B1DB1-Normal4"/>
        <w:spacing w:before="40" w:after="0" w:line="259" w:lineRule="auto"/>
        <w:jc w:val="both"/>
        <w:rPr>
          <w:rFonts w:cs="Times New Roman"/>
          <w:noProof/>
        </w:rPr>
      </w:pPr>
      <w:r>
        <w:rPr>
          <w:noProof/>
        </w:rPr>
        <w:t>Investeringen ska vara genomförd senast den 30 juni 2026.</w:t>
      </w:r>
    </w:p>
    <w:p w14:paraId="1FA687FB" w14:textId="77777777" w:rsidR="00E040FD" w:rsidRDefault="00E040FD">
      <w:pPr>
        <w:keepNext/>
        <w:spacing w:before="40" w:after="0" w:line="259" w:lineRule="auto"/>
        <w:jc w:val="both"/>
        <w:rPr>
          <w:rFonts w:ascii="Times New Roman" w:eastAsiaTheme="minorEastAsia" w:hAnsi="Times New Roman" w:cs="Times New Roman"/>
          <w:noProof/>
          <w:sz w:val="24"/>
        </w:rPr>
        <w:sectPr w:rsidR="00E040FD" w:rsidSect="00E00EDD">
          <w:headerReference w:type="even" r:id="rId222"/>
          <w:headerReference w:type="default" r:id="rId223"/>
          <w:footerReference w:type="even" r:id="rId224"/>
          <w:footerReference w:type="default" r:id="rId225"/>
          <w:headerReference w:type="first" r:id="rId226"/>
          <w:footerReference w:type="first" r:id="rId227"/>
          <w:pgSz w:w="11907" w:h="16839"/>
          <w:pgMar w:top="1134" w:right="1134" w:bottom="1134" w:left="1134" w:header="567" w:footer="567" w:gutter="0"/>
          <w:cols w:space="720"/>
          <w:docGrid w:linePitch="360"/>
        </w:sectPr>
      </w:pPr>
    </w:p>
    <w:p w14:paraId="21CBC0E4" w14:textId="0F96D272"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J.4. Delmål, mål, indikatorer och tidsplan för övervakning och genomförande av lånet</w:t>
      </w:r>
    </w:p>
    <w:p w14:paraId="2814265F" w14:textId="77777777" w:rsidR="00E040FD" w:rsidRDefault="00E040FD">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31"/>
        <w:gridCol w:w="1096"/>
        <w:gridCol w:w="1640"/>
        <w:gridCol w:w="1231"/>
        <w:gridCol w:w="962"/>
        <w:gridCol w:w="961"/>
        <w:gridCol w:w="690"/>
        <w:gridCol w:w="554"/>
        <w:gridCol w:w="684"/>
        <w:gridCol w:w="5223"/>
      </w:tblGrid>
      <w:tr w:rsidR="00E040FD" w14:paraId="7C352B17" w14:textId="77777777">
        <w:trPr>
          <w:trHeight w:val="910"/>
          <w:tblHeader/>
        </w:trPr>
        <w:tc>
          <w:tcPr>
            <w:tcW w:w="1101" w:type="dxa"/>
            <w:vMerge w:val="restart"/>
            <w:shd w:val="clear" w:color="auto" w:fill="BDD6EE"/>
            <w:vAlign w:val="center"/>
            <w:hideMark/>
          </w:tcPr>
          <w:p w14:paraId="293CE21B" w14:textId="77777777" w:rsidR="00E040FD" w:rsidRDefault="00740D64">
            <w:pPr>
              <w:pStyle w:val="P68B1DB1-Normal6"/>
              <w:keepNext/>
              <w:spacing w:before="40" w:after="0" w:line="240" w:lineRule="auto"/>
              <w:jc w:val="center"/>
              <w:rPr>
                <w:rFonts w:eastAsia="Times New Roman" w:cs="Times New Roman"/>
                <w:noProof/>
              </w:rPr>
            </w:pPr>
            <w:r>
              <w:rPr>
                <w:noProof/>
              </w:rPr>
              <w:t>Löpnummer</w:t>
            </w:r>
          </w:p>
        </w:tc>
        <w:tc>
          <w:tcPr>
            <w:tcW w:w="1231" w:type="dxa"/>
            <w:vMerge w:val="restart"/>
            <w:shd w:val="clear" w:color="auto" w:fill="BDD6EE"/>
            <w:vAlign w:val="center"/>
            <w:hideMark/>
          </w:tcPr>
          <w:p w14:paraId="1FBAE739" w14:textId="77777777" w:rsidR="00E040FD" w:rsidRDefault="00740D64">
            <w:pPr>
              <w:pStyle w:val="P68B1DB1-Normal6"/>
              <w:keepNext/>
              <w:spacing w:before="40" w:after="0" w:line="240" w:lineRule="auto"/>
              <w:jc w:val="center"/>
              <w:rPr>
                <w:rFonts w:eastAsia="Times New Roman" w:cs="Times New Roman"/>
                <w:noProof/>
              </w:rPr>
            </w:pPr>
            <w:r>
              <w:rPr>
                <w:noProof/>
              </w:rPr>
              <w:t>Åtgärd (reform eller investering)</w:t>
            </w:r>
          </w:p>
        </w:tc>
        <w:tc>
          <w:tcPr>
            <w:tcW w:w="1096" w:type="dxa"/>
            <w:vMerge w:val="restart"/>
            <w:shd w:val="clear" w:color="auto" w:fill="BDD6EE"/>
            <w:vAlign w:val="center"/>
            <w:hideMark/>
          </w:tcPr>
          <w:p w14:paraId="60453F23" w14:textId="77777777" w:rsidR="00E040FD" w:rsidRDefault="00740D64">
            <w:pPr>
              <w:pStyle w:val="P68B1DB1-Normal6"/>
              <w:keepNext/>
              <w:spacing w:before="40" w:after="0" w:line="240" w:lineRule="auto"/>
              <w:jc w:val="center"/>
              <w:rPr>
                <w:rFonts w:eastAsia="Times New Roman" w:cs="Times New Roman"/>
                <w:noProof/>
                <w:sz w:val="14"/>
              </w:rPr>
            </w:pPr>
            <w:r>
              <w:rPr>
                <w:noProof/>
              </w:rPr>
              <w:t>Delmål/mål</w:t>
            </w:r>
          </w:p>
        </w:tc>
        <w:tc>
          <w:tcPr>
            <w:tcW w:w="1640" w:type="dxa"/>
            <w:vMerge w:val="restart"/>
            <w:shd w:val="clear" w:color="auto" w:fill="BDD6EE"/>
            <w:vAlign w:val="center"/>
            <w:hideMark/>
          </w:tcPr>
          <w:p w14:paraId="5B93FBDA" w14:textId="77777777" w:rsidR="00E040FD" w:rsidRDefault="00740D64">
            <w:pPr>
              <w:pStyle w:val="P68B1DB1-Normal6"/>
              <w:keepNext/>
              <w:spacing w:before="40" w:after="0" w:line="240" w:lineRule="auto"/>
              <w:jc w:val="center"/>
              <w:rPr>
                <w:rFonts w:eastAsia="Times New Roman" w:cs="Times New Roman"/>
                <w:noProof/>
              </w:rPr>
            </w:pPr>
            <w:r>
              <w:rPr>
                <w:noProof/>
              </w:rPr>
              <w:t>Namn</w:t>
            </w:r>
          </w:p>
        </w:tc>
        <w:tc>
          <w:tcPr>
            <w:tcW w:w="1231" w:type="dxa"/>
            <w:vMerge w:val="restart"/>
            <w:shd w:val="clear" w:color="auto" w:fill="BDD6EE"/>
            <w:vAlign w:val="center"/>
            <w:hideMark/>
          </w:tcPr>
          <w:p w14:paraId="5731C7BD" w14:textId="77777777" w:rsidR="00E040FD" w:rsidRDefault="00740D64">
            <w:pPr>
              <w:pStyle w:val="P68B1DB1-Normal6"/>
              <w:keepNext/>
              <w:spacing w:before="40" w:after="0" w:line="240" w:lineRule="auto"/>
              <w:jc w:val="center"/>
              <w:rPr>
                <w:rFonts w:eastAsia="Times New Roman" w:cs="Times New Roman"/>
                <w:noProof/>
              </w:rPr>
            </w:pPr>
            <w:r>
              <w:rPr>
                <w:noProof/>
              </w:rPr>
              <w:t>Kvalitativa indikatorer (för delmål)</w:t>
            </w:r>
          </w:p>
        </w:tc>
        <w:tc>
          <w:tcPr>
            <w:tcW w:w="2613" w:type="dxa"/>
            <w:gridSpan w:val="3"/>
            <w:shd w:val="clear" w:color="auto" w:fill="BDD6EE"/>
            <w:vAlign w:val="center"/>
            <w:hideMark/>
          </w:tcPr>
          <w:p w14:paraId="2BC88CEE" w14:textId="77777777" w:rsidR="00E040FD" w:rsidRDefault="00740D64">
            <w:pPr>
              <w:pStyle w:val="P68B1DB1-Normal6"/>
              <w:keepNext/>
              <w:spacing w:before="40" w:after="0" w:line="240" w:lineRule="auto"/>
              <w:jc w:val="center"/>
              <w:rPr>
                <w:rFonts w:eastAsia="Times New Roman" w:cs="Times New Roman"/>
                <w:noProof/>
              </w:rPr>
            </w:pPr>
            <w:r>
              <w:rPr>
                <w:noProof/>
              </w:rPr>
              <w:t>Kvantitativa indikatorer (för mål)</w:t>
            </w:r>
          </w:p>
        </w:tc>
        <w:tc>
          <w:tcPr>
            <w:tcW w:w="1238" w:type="dxa"/>
            <w:gridSpan w:val="2"/>
            <w:shd w:val="clear" w:color="auto" w:fill="BDD6EE"/>
            <w:vAlign w:val="center"/>
            <w:hideMark/>
          </w:tcPr>
          <w:p w14:paraId="47D3562F" w14:textId="77777777" w:rsidR="00E040FD" w:rsidRDefault="00740D64">
            <w:pPr>
              <w:pStyle w:val="P68B1DB1-Normal6"/>
              <w:keepNext/>
              <w:spacing w:before="40" w:after="0" w:line="240" w:lineRule="auto"/>
              <w:jc w:val="center"/>
              <w:rPr>
                <w:rFonts w:eastAsia="Times New Roman" w:cs="Times New Roman"/>
                <w:noProof/>
              </w:rPr>
            </w:pPr>
            <w:r>
              <w:rPr>
                <w:noProof/>
              </w:rPr>
              <w:t>Preliminär tidsplan för slutförande</w:t>
            </w:r>
          </w:p>
        </w:tc>
        <w:tc>
          <w:tcPr>
            <w:tcW w:w="5223" w:type="dxa"/>
            <w:vMerge w:val="restart"/>
            <w:shd w:val="clear" w:color="auto" w:fill="BDD6EE"/>
            <w:vAlign w:val="center"/>
            <w:hideMark/>
          </w:tcPr>
          <w:p w14:paraId="119E2D1B" w14:textId="77777777" w:rsidR="00E040FD" w:rsidRDefault="00740D64">
            <w:pPr>
              <w:pStyle w:val="P68B1DB1-Normal6"/>
              <w:keepNext/>
              <w:spacing w:before="40" w:after="0" w:line="240" w:lineRule="auto"/>
              <w:jc w:val="center"/>
              <w:rPr>
                <w:rFonts w:eastAsia="Times New Roman" w:cs="Times New Roman"/>
                <w:noProof/>
              </w:rPr>
            </w:pPr>
            <w:r>
              <w:rPr>
                <w:noProof/>
              </w:rPr>
              <w:t>Beskrivning och tydlig definition av varje delmål och mål</w:t>
            </w:r>
          </w:p>
        </w:tc>
      </w:tr>
      <w:tr w:rsidR="00E040FD" w14:paraId="12D4B3EB" w14:textId="77777777">
        <w:trPr>
          <w:trHeight w:val="470"/>
          <w:tblHeader/>
        </w:trPr>
        <w:tc>
          <w:tcPr>
            <w:tcW w:w="1101" w:type="dxa"/>
            <w:vMerge/>
            <w:vAlign w:val="center"/>
            <w:hideMark/>
          </w:tcPr>
          <w:p w14:paraId="1EC2F9BC" w14:textId="77777777" w:rsidR="00E040FD" w:rsidRDefault="00E040FD">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38F355D3" w14:textId="77777777" w:rsidR="00E040FD" w:rsidRDefault="00E040FD">
            <w:pPr>
              <w:keepNext/>
              <w:spacing w:before="40" w:after="0" w:line="240" w:lineRule="auto"/>
              <w:jc w:val="both"/>
              <w:rPr>
                <w:rFonts w:ascii="Times New Roman" w:eastAsia="Times New Roman" w:hAnsi="Times New Roman" w:cs="Times New Roman"/>
                <w:b/>
                <w:noProof/>
                <w:sz w:val="18"/>
              </w:rPr>
            </w:pPr>
          </w:p>
        </w:tc>
        <w:tc>
          <w:tcPr>
            <w:tcW w:w="1096" w:type="dxa"/>
            <w:vMerge/>
            <w:vAlign w:val="center"/>
            <w:hideMark/>
          </w:tcPr>
          <w:p w14:paraId="6A303FCA" w14:textId="77777777" w:rsidR="00E040FD" w:rsidRDefault="00E040FD">
            <w:pPr>
              <w:keepNext/>
              <w:spacing w:before="40" w:after="0" w:line="240" w:lineRule="auto"/>
              <w:jc w:val="center"/>
              <w:rPr>
                <w:rFonts w:ascii="Times New Roman" w:eastAsia="Times New Roman" w:hAnsi="Times New Roman" w:cs="Times New Roman"/>
                <w:b/>
                <w:noProof/>
                <w:sz w:val="14"/>
              </w:rPr>
            </w:pPr>
          </w:p>
        </w:tc>
        <w:tc>
          <w:tcPr>
            <w:tcW w:w="1640" w:type="dxa"/>
            <w:vMerge/>
            <w:vAlign w:val="center"/>
            <w:hideMark/>
          </w:tcPr>
          <w:p w14:paraId="580C14CE" w14:textId="77777777" w:rsidR="00E040FD" w:rsidRDefault="00E040FD">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6286F64E" w14:textId="77777777" w:rsidR="00E040FD" w:rsidRDefault="00E040FD">
            <w:pPr>
              <w:keepNext/>
              <w:spacing w:before="40" w:after="0" w:line="240" w:lineRule="auto"/>
              <w:jc w:val="both"/>
              <w:rPr>
                <w:rFonts w:ascii="Times New Roman" w:eastAsia="Times New Roman" w:hAnsi="Times New Roman" w:cs="Times New Roman"/>
                <w:b/>
                <w:noProof/>
                <w:sz w:val="18"/>
              </w:rPr>
            </w:pPr>
          </w:p>
        </w:tc>
        <w:tc>
          <w:tcPr>
            <w:tcW w:w="962" w:type="dxa"/>
            <w:shd w:val="clear" w:color="auto" w:fill="BDD6EE"/>
            <w:vAlign w:val="center"/>
            <w:hideMark/>
          </w:tcPr>
          <w:p w14:paraId="6EA3F582" w14:textId="77777777" w:rsidR="00E040FD" w:rsidRDefault="00740D64">
            <w:pPr>
              <w:pStyle w:val="P68B1DB1-Normal6"/>
              <w:keepNext/>
              <w:spacing w:before="40" w:after="0" w:line="240" w:lineRule="auto"/>
              <w:jc w:val="center"/>
              <w:rPr>
                <w:rFonts w:eastAsia="Times New Roman" w:cs="Times New Roman"/>
                <w:noProof/>
              </w:rPr>
            </w:pPr>
            <w:r>
              <w:rPr>
                <w:noProof/>
              </w:rPr>
              <w:t>Enhet för åtgärd</w:t>
            </w:r>
          </w:p>
        </w:tc>
        <w:tc>
          <w:tcPr>
            <w:tcW w:w="961" w:type="dxa"/>
            <w:shd w:val="clear" w:color="auto" w:fill="BDD6EE"/>
            <w:vAlign w:val="center"/>
            <w:hideMark/>
          </w:tcPr>
          <w:p w14:paraId="230E8100" w14:textId="77777777" w:rsidR="00E040FD" w:rsidRDefault="00740D64">
            <w:pPr>
              <w:pStyle w:val="P68B1DB1-Normal6"/>
              <w:keepNext/>
              <w:spacing w:before="40" w:after="0" w:line="240" w:lineRule="auto"/>
              <w:jc w:val="center"/>
              <w:rPr>
                <w:rFonts w:eastAsia="Times New Roman" w:cs="Times New Roman"/>
                <w:noProof/>
              </w:rPr>
            </w:pPr>
            <w:r>
              <w:rPr>
                <w:noProof/>
              </w:rPr>
              <w:t>Baslinjen</w:t>
            </w:r>
          </w:p>
        </w:tc>
        <w:tc>
          <w:tcPr>
            <w:tcW w:w="690" w:type="dxa"/>
            <w:shd w:val="clear" w:color="auto" w:fill="BDD6EE"/>
            <w:vAlign w:val="center"/>
            <w:hideMark/>
          </w:tcPr>
          <w:p w14:paraId="7E77B1BE" w14:textId="77777777" w:rsidR="00E040FD" w:rsidRDefault="00740D64">
            <w:pPr>
              <w:pStyle w:val="P68B1DB1-Normal6"/>
              <w:keepNext/>
              <w:spacing w:before="40" w:after="0" w:line="240" w:lineRule="auto"/>
              <w:jc w:val="center"/>
              <w:rPr>
                <w:rFonts w:eastAsia="Times New Roman" w:cs="Times New Roman"/>
                <w:noProof/>
              </w:rPr>
            </w:pPr>
            <w:r>
              <w:rPr>
                <w:noProof/>
              </w:rPr>
              <w:t>Mål</w:t>
            </w:r>
          </w:p>
        </w:tc>
        <w:tc>
          <w:tcPr>
            <w:tcW w:w="554" w:type="dxa"/>
            <w:shd w:val="clear" w:color="auto" w:fill="BDD6EE"/>
            <w:vAlign w:val="center"/>
            <w:hideMark/>
          </w:tcPr>
          <w:p w14:paraId="50EAB092" w14:textId="77777777" w:rsidR="00E040FD" w:rsidRDefault="00740D64">
            <w:pPr>
              <w:pStyle w:val="P68B1DB1-Normal6"/>
              <w:keepNext/>
              <w:spacing w:before="40" w:after="0" w:line="240" w:lineRule="auto"/>
              <w:jc w:val="center"/>
              <w:rPr>
                <w:rFonts w:eastAsia="Times New Roman" w:cs="Times New Roman"/>
                <w:noProof/>
              </w:rPr>
            </w:pPr>
            <w:r>
              <w:rPr>
                <w:noProof/>
              </w:rPr>
              <w:t>Q</w:t>
            </w:r>
          </w:p>
        </w:tc>
        <w:tc>
          <w:tcPr>
            <w:tcW w:w="684" w:type="dxa"/>
            <w:shd w:val="clear" w:color="auto" w:fill="BDD6EE"/>
            <w:vAlign w:val="center"/>
            <w:hideMark/>
          </w:tcPr>
          <w:p w14:paraId="5684B644" w14:textId="77777777" w:rsidR="00E040FD" w:rsidRDefault="00740D64">
            <w:pPr>
              <w:pStyle w:val="P68B1DB1-Normal6"/>
              <w:keepNext/>
              <w:spacing w:before="40" w:after="0" w:line="240" w:lineRule="auto"/>
              <w:jc w:val="center"/>
              <w:rPr>
                <w:rFonts w:eastAsia="Times New Roman" w:cs="Times New Roman"/>
                <w:noProof/>
              </w:rPr>
            </w:pPr>
            <w:r>
              <w:rPr>
                <w:noProof/>
              </w:rPr>
              <w:t>Året</w:t>
            </w:r>
          </w:p>
        </w:tc>
        <w:tc>
          <w:tcPr>
            <w:tcW w:w="5223" w:type="dxa"/>
            <w:vMerge/>
            <w:vAlign w:val="center"/>
            <w:hideMark/>
          </w:tcPr>
          <w:p w14:paraId="3C5137C1" w14:textId="77777777" w:rsidR="00E040FD" w:rsidRDefault="00E040FD">
            <w:pPr>
              <w:keepNext/>
              <w:spacing w:before="40" w:after="0" w:line="240" w:lineRule="auto"/>
              <w:jc w:val="both"/>
              <w:rPr>
                <w:rFonts w:ascii="Times New Roman" w:eastAsia="Times New Roman" w:hAnsi="Times New Roman" w:cs="Times New Roman"/>
                <w:b/>
                <w:noProof/>
                <w:sz w:val="18"/>
              </w:rPr>
            </w:pPr>
          </w:p>
        </w:tc>
      </w:tr>
      <w:tr w:rsidR="00E040FD" w14:paraId="52BD253E" w14:textId="77777777">
        <w:trPr>
          <w:trHeight w:val="61"/>
        </w:trPr>
        <w:tc>
          <w:tcPr>
            <w:tcW w:w="1101" w:type="dxa"/>
            <w:shd w:val="clear" w:color="auto" w:fill="C4EFCE"/>
            <w:vAlign w:val="center"/>
          </w:tcPr>
          <w:p w14:paraId="1F146FCF" w14:textId="4E6EEEBB" w:rsidR="00E040FD" w:rsidRDefault="00740D64">
            <w:pPr>
              <w:pStyle w:val="P68B1DB1-Normal7"/>
              <w:keepNext/>
              <w:spacing w:before="40" w:after="0" w:line="240" w:lineRule="auto"/>
              <w:jc w:val="center"/>
              <w:rPr>
                <w:noProof/>
                <w:highlight w:val="magenta"/>
              </w:rPr>
            </w:pPr>
            <w:r>
              <w:rPr>
                <w:noProof/>
              </w:rPr>
              <w:t>10.5</w:t>
            </w:r>
          </w:p>
        </w:tc>
        <w:tc>
          <w:tcPr>
            <w:tcW w:w="1231" w:type="dxa"/>
            <w:shd w:val="clear" w:color="auto" w:fill="C4EFCE"/>
            <w:noWrap/>
            <w:vAlign w:val="center"/>
          </w:tcPr>
          <w:p w14:paraId="6E122812" w14:textId="10C964C3" w:rsidR="00E040FD" w:rsidRDefault="00740D64">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49982C81" w14:textId="192B44BD" w:rsidR="00E040FD" w:rsidRDefault="00740D64">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6DF03557" w14:textId="2BF8CD78" w:rsidR="00E040FD" w:rsidRDefault="00740D64">
            <w:pPr>
              <w:pStyle w:val="P68B1DB1-Normal8"/>
              <w:keepNext/>
              <w:spacing w:before="40" w:after="0" w:line="240" w:lineRule="auto"/>
              <w:jc w:val="center"/>
              <w:rPr>
                <w:rFonts w:cstheme="minorHAnsi"/>
                <w:noProof/>
              </w:rPr>
            </w:pPr>
            <w:r>
              <w:rPr>
                <w:noProof/>
              </w:rPr>
              <w:t>Undertecknande av kontraktet för den multifunktionella marina plattformen och operationscentrumet</w:t>
            </w:r>
          </w:p>
        </w:tc>
        <w:tc>
          <w:tcPr>
            <w:tcW w:w="1231" w:type="dxa"/>
            <w:shd w:val="clear" w:color="auto" w:fill="C4EFCE"/>
            <w:noWrap/>
            <w:vAlign w:val="center"/>
          </w:tcPr>
          <w:p w14:paraId="333B3AB3" w14:textId="02EF4106" w:rsidR="00E040FD" w:rsidRDefault="00740D64">
            <w:pPr>
              <w:pStyle w:val="P68B1DB1-Normal8"/>
              <w:keepNext/>
              <w:spacing w:before="40" w:after="0" w:line="240" w:lineRule="auto"/>
              <w:jc w:val="center"/>
              <w:rPr>
                <w:rFonts w:cstheme="minorHAnsi"/>
                <w:noProof/>
              </w:rPr>
            </w:pPr>
            <w:r>
              <w:rPr>
                <w:noProof/>
              </w:rPr>
              <w:t>Undertecknande av kontrakt för ”den multifunktionella marina plattformen” och ”operationscentrumet”</w:t>
            </w:r>
          </w:p>
        </w:tc>
        <w:tc>
          <w:tcPr>
            <w:tcW w:w="962" w:type="dxa"/>
            <w:shd w:val="clear" w:color="auto" w:fill="C4EFCE"/>
            <w:noWrap/>
            <w:vAlign w:val="center"/>
          </w:tcPr>
          <w:p w14:paraId="0247B4AE" w14:textId="2F9E4126" w:rsidR="00E040FD" w:rsidRDefault="00740D64">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13EB2DE9" w14:textId="65360A99" w:rsidR="00E040FD" w:rsidRDefault="00740D64">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404D0E0D" w14:textId="65417E79" w:rsidR="00E040FD" w:rsidRDefault="00740D64">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6720E15C" w14:textId="1C9DE191" w:rsidR="00E040FD" w:rsidRDefault="00740D64">
            <w:pPr>
              <w:pStyle w:val="P68B1DB1-Normal8"/>
              <w:keepNext/>
              <w:spacing w:before="40" w:after="0" w:line="240" w:lineRule="auto"/>
              <w:jc w:val="center"/>
              <w:rPr>
                <w:rFonts w:cstheme="minorHAnsi"/>
                <w:noProof/>
              </w:rPr>
            </w:pPr>
            <w:r>
              <w:rPr>
                <w:noProof/>
              </w:rPr>
              <w:t>KVARTAL 3</w:t>
            </w:r>
          </w:p>
        </w:tc>
        <w:tc>
          <w:tcPr>
            <w:tcW w:w="684" w:type="dxa"/>
            <w:shd w:val="clear" w:color="auto" w:fill="C4EFCE"/>
            <w:noWrap/>
            <w:vAlign w:val="center"/>
          </w:tcPr>
          <w:p w14:paraId="7372820D" w14:textId="3637367A" w:rsidR="00E040FD" w:rsidRDefault="00740D64">
            <w:pPr>
              <w:pStyle w:val="P68B1DB1-Normal8"/>
              <w:keepNext/>
              <w:spacing w:before="40" w:after="0" w:line="240" w:lineRule="auto"/>
              <w:jc w:val="center"/>
              <w:rPr>
                <w:rFonts w:cstheme="minorHAnsi"/>
                <w:noProof/>
              </w:rPr>
            </w:pPr>
            <w:r>
              <w:rPr>
                <w:noProof/>
              </w:rPr>
              <w:t>2023</w:t>
            </w:r>
          </w:p>
        </w:tc>
        <w:tc>
          <w:tcPr>
            <w:tcW w:w="5223" w:type="dxa"/>
            <w:shd w:val="clear" w:color="auto" w:fill="C4EFCE"/>
            <w:vAlign w:val="center"/>
          </w:tcPr>
          <w:p w14:paraId="30002EA5" w14:textId="77777777" w:rsidR="00E040FD" w:rsidRDefault="00740D64">
            <w:pPr>
              <w:pStyle w:val="P68B1DB1-Normal8"/>
              <w:keepNext/>
              <w:spacing w:before="40" w:after="0" w:line="240" w:lineRule="auto"/>
              <w:jc w:val="both"/>
              <w:rPr>
                <w:rFonts w:eastAsia="Times New Roman" w:cs="Calibri"/>
                <w:noProof/>
              </w:rPr>
            </w:pPr>
            <w:r>
              <w:rPr>
                <w:noProof/>
              </w:rPr>
              <w:t xml:space="preserve">Undertecknande av bygg- och anläggningskontraktet efter inledandet av offentlig upphandling – pelarna I och II: </w:t>
            </w:r>
          </w:p>
          <w:p w14:paraId="120A48F6" w14:textId="77777777" w:rsidR="00E040FD" w:rsidRDefault="00740D64">
            <w:pPr>
              <w:pStyle w:val="P68B1DB1-Normal8"/>
              <w:keepNext/>
              <w:spacing w:before="40" w:after="0" w:line="240" w:lineRule="auto"/>
              <w:jc w:val="both"/>
              <w:rPr>
                <w:rFonts w:eastAsia="Times New Roman" w:cs="Calibri"/>
                <w:noProof/>
              </w:rPr>
            </w:pPr>
            <w:r>
              <w:rPr>
                <w:noProof/>
              </w:rPr>
              <w:t xml:space="preserve">Pelare I – Flerfunktionell marin plattform. </w:t>
            </w:r>
          </w:p>
          <w:p w14:paraId="2F9DB0C1" w14:textId="77777777" w:rsidR="00E040FD" w:rsidRDefault="00740D64">
            <w:pPr>
              <w:pStyle w:val="P68B1DB1-Normal8"/>
              <w:keepNext/>
              <w:spacing w:before="40" w:after="0" w:line="240" w:lineRule="auto"/>
              <w:jc w:val="both"/>
              <w:rPr>
                <w:rFonts w:eastAsia="Times New Roman" w:cs="Calibri"/>
                <w:noProof/>
              </w:rPr>
            </w:pPr>
            <w:r>
              <w:rPr>
                <w:noProof/>
              </w:rPr>
              <w:t>Det omfattar konstruktion av en multifunktionell marinplattform på cirka 100 meter med dynamisk automatisk positionsbestämning, integrerat plattformshanteringssystem, kommandobro och operationscentral, akustiskt positionsbestämningssystem under vatten, vik för uppskjutning av ubåtar och/eller landsättning av autonoma system, kranar, helikopterdäck osv.).</w:t>
            </w:r>
          </w:p>
          <w:p w14:paraId="4F92961B" w14:textId="0FCD137D" w:rsidR="00E040FD" w:rsidRDefault="00740D64">
            <w:pPr>
              <w:pStyle w:val="P68B1DB1-Normal8"/>
              <w:keepNext/>
              <w:spacing w:before="40" w:after="0" w:line="240" w:lineRule="auto"/>
              <w:jc w:val="both"/>
              <w:rPr>
                <w:rFonts w:eastAsia="Times New Roman" w:cs="Calibri"/>
                <w:noProof/>
              </w:rPr>
            </w:pPr>
            <w:r>
              <w:rPr>
                <w:noProof/>
              </w:rPr>
              <w:t>Omfattar även möjligheten att driva fordon med ett djup på upp till 6 000 meter, parkering av självkörande ytfordon och ytterligare marina resurser (inklusive autonoma havsbaserade fordon, autonoma undervattensfordon, självkörande luftfarkoster, drönare).</w:t>
            </w:r>
          </w:p>
          <w:p w14:paraId="45957A47" w14:textId="77777777" w:rsidR="00E040FD" w:rsidRDefault="00740D64">
            <w:pPr>
              <w:pStyle w:val="P68B1DB1-Normal8"/>
              <w:keepNext/>
              <w:spacing w:before="40" w:after="0" w:line="240" w:lineRule="auto"/>
              <w:jc w:val="both"/>
              <w:rPr>
                <w:rFonts w:eastAsia="Times New Roman" w:cs="Calibri"/>
                <w:noProof/>
              </w:rPr>
            </w:pPr>
            <w:r>
              <w:rPr>
                <w:noProof/>
              </w:rPr>
              <w:t>Pelare II – Driftscentrum</w:t>
            </w:r>
          </w:p>
          <w:p w14:paraId="0AF421B0" w14:textId="49716D7D" w:rsidR="00E040FD" w:rsidRDefault="00740D64">
            <w:pPr>
              <w:pStyle w:val="P68B1DB1-Bodytext1018"/>
              <w:spacing w:before="40" w:after="0" w:line="240" w:lineRule="auto"/>
              <w:jc w:val="both"/>
              <w:rPr>
                <w:rFonts w:asciiTheme="minorHAnsi" w:hAnsiTheme="minorHAnsi" w:cstheme="minorHAnsi"/>
                <w:noProof/>
              </w:rPr>
            </w:pPr>
            <w:r>
              <w:rPr>
                <w:noProof/>
              </w:rPr>
              <w:t>Det omfattar renovering av befintliga byggnader och strukturer, anläggningar för dator- och kommunikationssystem för operationscentrumet och laboratorienätet, högpresterande datorsystem och system för informationslagring, kommunikationssystem (inklusive mycket små Aperture Terminal (VSAT) televison Receive Only System (TVRO) och interoperabilitetssystem med andra marina system, programvaruutveckling och immersiva system.</w:t>
            </w:r>
          </w:p>
        </w:tc>
      </w:tr>
      <w:tr w:rsidR="00E040FD" w14:paraId="2CE6D5E1" w14:textId="77777777">
        <w:trPr>
          <w:trHeight w:val="61"/>
        </w:trPr>
        <w:tc>
          <w:tcPr>
            <w:tcW w:w="1101" w:type="dxa"/>
            <w:shd w:val="clear" w:color="auto" w:fill="C4EFCE"/>
            <w:vAlign w:val="center"/>
          </w:tcPr>
          <w:p w14:paraId="49ADFB31" w14:textId="33E084CF" w:rsidR="00E040FD" w:rsidRDefault="00740D64">
            <w:pPr>
              <w:pStyle w:val="P68B1DB1-Normal7"/>
              <w:keepNext/>
              <w:spacing w:before="40" w:after="0" w:line="240" w:lineRule="auto"/>
              <w:jc w:val="center"/>
              <w:rPr>
                <w:noProof/>
                <w:highlight w:val="magenta"/>
              </w:rPr>
            </w:pPr>
            <w:r>
              <w:rPr>
                <w:noProof/>
              </w:rPr>
              <w:t>10.6</w:t>
            </w:r>
          </w:p>
        </w:tc>
        <w:tc>
          <w:tcPr>
            <w:tcW w:w="1231" w:type="dxa"/>
            <w:shd w:val="clear" w:color="auto" w:fill="C4EFCE"/>
            <w:noWrap/>
            <w:vAlign w:val="center"/>
          </w:tcPr>
          <w:p w14:paraId="328A6835" w14:textId="4753CB2C" w:rsidR="00E040FD" w:rsidRDefault="00740D64">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02CC9831" w14:textId="74A625E2" w:rsidR="00E040FD" w:rsidRDefault="00740D64">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7DF74898" w14:textId="25083335" w:rsidR="00E040FD" w:rsidRDefault="00740D64">
            <w:pPr>
              <w:pStyle w:val="P68B1DB1-Normal8"/>
              <w:keepNext/>
              <w:spacing w:before="40" w:after="0" w:line="240" w:lineRule="auto"/>
              <w:jc w:val="center"/>
              <w:rPr>
                <w:rFonts w:cstheme="minorHAnsi"/>
                <w:noProof/>
              </w:rPr>
            </w:pPr>
            <w:r>
              <w:rPr>
                <w:noProof/>
              </w:rPr>
              <w:t>Färdigställande av Alfeite Arsenal Academy</w:t>
            </w:r>
          </w:p>
        </w:tc>
        <w:tc>
          <w:tcPr>
            <w:tcW w:w="1231" w:type="dxa"/>
            <w:shd w:val="clear" w:color="auto" w:fill="C4EFCE"/>
            <w:noWrap/>
            <w:vAlign w:val="center"/>
          </w:tcPr>
          <w:p w14:paraId="12A8E34A" w14:textId="46A14581" w:rsidR="00E040FD" w:rsidRDefault="00740D64">
            <w:pPr>
              <w:pStyle w:val="P68B1DB1-Normal8"/>
              <w:keepNext/>
              <w:spacing w:before="40" w:after="0" w:line="240" w:lineRule="auto"/>
              <w:jc w:val="center"/>
              <w:rPr>
                <w:rFonts w:cstheme="minorHAnsi"/>
                <w:noProof/>
              </w:rPr>
            </w:pPr>
            <w:r>
              <w:rPr>
                <w:noProof/>
              </w:rPr>
              <w:t>Färdigställande av Alfeite Arsenal Academy </w:t>
            </w:r>
          </w:p>
        </w:tc>
        <w:tc>
          <w:tcPr>
            <w:tcW w:w="962" w:type="dxa"/>
            <w:shd w:val="clear" w:color="auto" w:fill="C4EFCE"/>
            <w:noWrap/>
            <w:vAlign w:val="center"/>
          </w:tcPr>
          <w:p w14:paraId="74243FDB" w14:textId="33F44A1E" w:rsidR="00E040FD" w:rsidRDefault="00740D64">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2DB2BAAF" w14:textId="3DCC3C16" w:rsidR="00E040FD" w:rsidRDefault="00740D64">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3CB08472" w14:textId="5F29F401" w:rsidR="00E040FD" w:rsidRDefault="00740D64">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5AD5DE15" w14:textId="6782A64C" w:rsidR="00E040FD" w:rsidRDefault="00740D64">
            <w:pPr>
              <w:pStyle w:val="P68B1DB1-Normal8"/>
              <w:keepNext/>
              <w:spacing w:before="40" w:after="0" w:line="240" w:lineRule="auto"/>
              <w:jc w:val="center"/>
              <w:rPr>
                <w:rFonts w:cstheme="minorHAnsi"/>
                <w:noProof/>
              </w:rPr>
            </w:pPr>
            <w:r>
              <w:rPr>
                <w:noProof/>
              </w:rPr>
              <w:t>KVARTAL 4</w:t>
            </w:r>
          </w:p>
        </w:tc>
        <w:tc>
          <w:tcPr>
            <w:tcW w:w="684" w:type="dxa"/>
            <w:shd w:val="clear" w:color="auto" w:fill="C4EFCE"/>
            <w:noWrap/>
            <w:vAlign w:val="center"/>
          </w:tcPr>
          <w:p w14:paraId="59B5AF35" w14:textId="1A32ACF2" w:rsidR="00E040FD" w:rsidRDefault="00740D64">
            <w:pPr>
              <w:pStyle w:val="P68B1DB1-Normal8"/>
              <w:keepNext/>
              <w:spacing w:before="40" w:after="0" w:line="240" w:lineRule="auto"/>
              <w:jc w:val="center"/>
              <w:rPr>
                <w:rFonts w:cstheme="minorHAnsi"/>
                <w:noProof/>
              </w:rPr>
            </w:pPr>
            <w:r>
              <w:rPr>
                <w:noProof/>
              </w:rPr>
              <w:t>2023</w:t>
            </w:r>
          </w:p>
        </w:tc>
        <w:tc>
          <w:tcPr>
            <w:tcW w:w="5223" w:type="dxa"/>
            <w:shd w:val="clear" w:color="auto" w:fill="C4EFCE"/>
            <w:vAlign w:val="center"/>
          </w:tcPr>
          <w:p w14:paraId="252172A4" w14:textId="77777777" w:rsidR="00E040FD" w:rsidRDefault="00740D64">
            <w:pPr>
              <w:pStyle w:val="P68B1DB1-Normal8"/>
              <w:keepNext/>
              <w:spacing w:before="40" w:after="0" w:line="240" w:lineRule="auto"/>
              <w:jc w:val="both"/>
              <w:rPr>
                <w:rFonts w:eastAsia="Times New Roman" w:cs="Calibri"/>
                <w:noProof/>
              </w:rPr>
            </w:pPr>
            <w:r>
              <w:rPr>
                <w:noProof/>
              </w:rPr>
              <w:t xml:space="preserve">Slutförande av Alfeite Arsenal Academy School </w:t>
            </w:r>
          </w:p>
          <w:p w14:paraId="2A0F6D74" w14:textId="0F37D64C" w:rsidR="00E040FD" w:rsidRDefault="00740D64">
            <w:pPr>
              <w:pStyle w:val="P68B1DB1-Bodytext1018"/>
              <w:spacing w:before="40" w:after="0" w:line="240" w:lineRule="auto"/>
              <w:jc w:val="both"/>
              <w:rPr>
                <w:rFonts w:asciiTheme="minorHAnsi" w:hAnsiTheme="minorHAnsi" w:cstheme="minorHAnsi"/>
                <w:noProof/>
              </w:rPr>
            </w:pPr>
            <w:r>
              <w:rPr>
                <w:noProof/>
              </w:rPr>
              <w:t>(inklusive uppgradering av infrastruktur och inköp av utrustning (datorer, laboratorieutrustning, teknisk infrastruktur, utrustning för industri 4.0 och digital omställning), diagnos av utbildningsbehov, utveckling av utbildningskurser, tillhandahållande av första utbildningskurser redan innan skolan slutförs).</w:t>
            </w:r>
          </w:p>
        </w:tc>
      </w:tr>
      <w:tr w:rsidR="00E040FD" w14:paraId="48A6F7E1" w14:textId="77777777">
        <w:trPr>
          <w:trHeight w:val="61"/>
        </w:trPr>
        <w:tc>
          <w:tcPr>
            <w:tcW w:w="1101" w:type="dxa"/>
            <w:shd w:val="clear" w:color="auto" w:fill="C4EFCE"/>
            <w:vAlign w:val="center"/>
          </w:tcPr>
          <w:p w14:paraId="6A6158B3" w14:textId="6C24D77B" w:rsidR="00E040FD" w:rsidRDefault="00740D64">
            <w:pPr>
              <w:pStyle w:val="P68B1DB1-Normal7"/>
              <w:keepNext/>
              <w:spacing w:before="40" w:after="0" w:line="240" w:lineRule="auto"/>
              <w:jc w:val="center"/>
              <w:rPr>
                <w:noProof/>
                <w:highlight w:val="magenta"/>
              </w:rPr>
            </w:pPr>
            <w:r>
              <w:rPr>
                <w:noProof/>
              </w:rPr>
              <w:t>10.7</w:t>
            </w:r>
          </w:p>
        </w:tc>
        <w:tc>
          <w:tcPr>
            <w:tcW w:w="1231" w:type="dxa"/>
            <w:shd w:val="clear" w:color="auto" w:fill="C4EFCE"/>
            <w:noWrap/>
            <w:vAlign w:val="center"/>
          </w:tcPr>
          <w:p w14:paraId="3394B414" w14:textId="5C6B7A86" w:rsidR="00E040FD" w:rsidRDefault="00740D64">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6ACD3011" w14:textId="224855CD" w:rsidR="00E040FD" w:rsidRDefault="00740D64">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5CB9DCFB" w14:textId="4C105B42" w:rsidR="00E040FD" w:rsidRDefault="00740D64">
            <w:pPr>
              <w:pStyle w:val="P68B1DB1-Normal8"/>
              <w:keepNext/>
              <w:spacing w:before="40" w:after="0" w:line="240" w:lineRule="auto"/>
              <w:jc w:val="center"/>
              <w:rPr>
                <w:rFonts w:cstheme="minorHAnsi"/>
                <w:noProof/>
              </w:rPr>
            </w:pPr>
            <w:r>
              <w:rPr>
                <w:noProof/>
              </w:rPr>
              <w:t>Mottagande och godkännande av den multifunktionella marina plattformen och operationscentrumet</w:t>
            </w:r>
          </w:p>
        </w:tc>
        <w:tc>
          <w:tcPr>
            <w:tcW w:w="1231" w:type="dxa"/>
            <w:shd w:val="clear" w:color="auto" w:fill="C4EFCE"/>
            <w:noWrap/>
            <w:vAlign w:val="center"/>
          </w:tcPr>
          <w:p w14:paraId="615F7D19" w14:textId="2A89DF40" w:rsidR="00E040FD" w:rsidRDefault="00740D64">
            <w:pPr>
              <w:pStyle w:val="P68B1DB1-Normal8"/>
              <w:keepNext/>
              <w:spacing w:before="40" w:after="0" w:line="240" w:lineRule="auto"/>
              <w:jc w:val="center"/>
              <w:rPr>
                <w:rFonts w:cstheme="minorHAnsi"/>
                <w:noProof/>
              </w:rPr>
            </w:pPr>
            <w:r>
              <w:rPr>
                <w:noProof/>
              </w:rPr>
              <w:t>Mottagande och godkännande av den multifunktionella marina plattformen och operationscentrumet</w:t>
            </w:r>
          </w:p>
        </w:tc>
        <w:tc>
          <w:tcPr>
            <w:tcW w:w="962" w:type="dxa"/>
            <w:shd w:val="clear" w:color="auto" w:fill="C4EFCE"/>
            <w:noWrap/>
            <w:vAlign w:val="center"/>
          </w:tcPr>
          <w:p w14:paraId="274F01D9" w14:textId="06465FCA" w:rsidR="00E040FD" w:rsidRDefault="00740D64">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1D06AC8A" w14:textId="54D56B13" w:rsidR="00E040FD" w:rsidRDefault="00740D64">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2415E148" w14:textId="1A799591" w:rsidR="00E040FD" w:rsidRDefault="00740D64">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76705501" w14:textId="1F822E67" w:rsidR="00E040FD" w:rsidRDefault="00740D64">
            <w:pPr>
              <w:pStyle w:val="P68B1DB1-Normal8"/>
              <w:keepNext/>
              <w:spacing w:before="40" w:after="0" w:line="240" w:lineRule="auto"/>
              <w:jc w:val="center"/>
              <w:rPr>
                <w:rFonts w:cstheme="minorHAnsi"/>
                <w:noProof/>
              </w:rPr>
            </w:pPr>
            <w:r>
              <w:rPr>
                <w:noProof/>
              </w:rPr>
              <w:t>KVARTAL 2</w:t>
            </w:r>
          </w:p>
        </w:tc>
        <w:tc>
          <w:tcPr>
            <w:tcW w:w="684" w:type="dxa"/>
            <w:shd w:val="clear" w:color="auto" w:fill="C4EFCE"/>
            <w:noWrap/>
            <w:vAlign w:val="center"/>
          </w:tcPr>
          <w:p w14:paraId="4E79FD00" w14:textId="603ADEA9" w:rsidR="00E040FD" w:rsidRDefault="00740D64">
            <w:pPr>
              <w:pStyle w:val="P68B1DB1-Normal8"/>
              <w:keepNext/>
              <w:spacing w:before="40" w:after="0" w:line="240" w:lineRule="auto"/>
              <w:jc w:val="center"/>
              <w:rPr>
                <w:rFonts w:cstheme="minorHAnsi"/>
                <w:noProof/>
              </w:rPr>
            </w:pPr>
            <w:r>
              <w:rPr>
                <w:noProof/>
              </w:rPr>
              <w:t>2026</w:t>
            </w:r>
          </w:p>
        </w:tc>
        <w:tc>
          <w:tcPr>
            <w:tcW w:w="5223" w:type="dxa"/>
            <w:shd w:val="clear" w:color="auto" w:fill="C4EFCE"/>
            <w:vAlign w:val="center"/>
          </w:tcPr>
          <w:p w14:paraId="38EBC9BC" w14:textId="6072BE21" w:rsidR="00E040FD" w:rsidRDefault="00740D64">
            <w:pPr>
              <w:pStyle w:val="P68B1DB1-Bodytext1018"/>
              <w:spacing w:before="40" w:after="0" w:line="240" w:lineRule="auto"/>
              <w:jc w:val="both"/>
              <w:rPr>
                <w:rFonts w:asciiTheme="minorHAnsi" w:hAnsiTheme="minorHAnsi" w:cstheme="minorHAnsi"/>
                <w:noProof/>
              </w:rPr>
            </w:pPr>
            <w:r>
              <w:rPr>
                <w:noProof/>
              </w:rPr>
              <w:t>Mottagande och godkännande av den multifunktionella marina plattformen och operationscentrumet</w:t>
            </w:r>
          </w:p>
        </w:tc>
      </w:tr>
      <w:tr w:rsidR="00E040FD" w14:paraId="027F039F" w14:textId="77777777">
        <w:trPr>
          <w:trHeight w:val="61"/>
        </w:trPr>
        <w:tc>
          <w:tcPr>
            <w:tcW w:w="1101" w:type="dxa"/>
            <w:shd w:val="clear" w:color="auto" w:fill="C4EFCE"/>
            <w:vAlign w:val="center"/>
          </w:tcPr>
          <w:p w14:paraId="34B47902" w14:textId="00559ADD" w:rsidR="00E040FD" w:rsidRDefault="00740D64">
            <w:pPr>
              <w:pStyle w:val="P68B1DB1-Normal11"/>
              <w:keepNext/>
              <w:spacing w:before="40" w:after="0" w:line="240" w:lineRule="auto"/>
              <w:jc w:val="center"/>
              <w:rPr>
                <w:noProof/>
              </w:rPr>
            </w:pPr>
            <w:r>
              <w:rPr>
                <w:noProof/>
              </w:rPr>
              <w:t>10.17</w:t>
            </w:r>
          </w:p>
        </w:tc>
        <w:tc>
          <w:tcPr>
            <w:tcW w:w="1231" w:type="dxa"/>
            <w:shd w:val="clear" w:color="auto" w:fill="C4EFCE"/>
            <w:noWrap/>
            <w:vAlign w:val="center"/>
          </w:tcPr>
          <w:p w14:paraId="0A93137A" w14:textId="55F0B8D2" w:rsidR="00E040FD" w:rsidRDefault="00740D64">
            <w:pPr>
              <w:pStyle w:val="P68B1DB1-Normal12"/>
              <w:keepNext/>
              <w:spacing w:before="40" w:after="0" w:line="240" w:lineRule="auto"/>
              <w:jc w:val="center"/>
              <w:rPr>
                <w:rFonts w:eastAsia="Times New Roman" w:cstheme="minorHAnsi"/>
                <w:noProof/>
              </w:rPr>
            </w:pPr>
            <w:r>
              <w:rPr>
                <w:noProof/>
              </w:rPr>
              <w:t>TC-C10-I07</w:t>
            </w:r>
          </w:p>
        </w:tc>
        <w:tc>
          <w:tcPr>
            <w:tcW w:w="1096" w:type="dxa"/>
            <w:shd w:val="clear" w:color="auto" w:fill="C4EFCE"/>
            <w:noWrap/>
            <w:vAlign w:val="center"/>
          </w:tcPr>
          <w:p w14:paraId="475EE951" w14:textId="77777777" w:rsidR="00E040FD" w:rsidRDefault="00740D64">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1F299288" w14:textId="77777777" w:rsidR="00E040FD" w:rsidRDefault="00740D64">
            <w:pPr>
              <w:pStyle w:val="P68B1DB1-Normal12"/>
              <w:keepNext/>
              <w:spacing w:before="40" w:after="0" w:line="240" w:lineRule="auto"/>
              <w:jc w:val="center"/>
              <w:rPr>
                <w:rFonts w:eastAsia="Times New Roman" w:cstheme="minorHAnsi"/>
                <w:noProof/>
              </w:rPr>
            </w:pPr>
            <w:r>
              <w:rPr>
                <w:noProof/>
              </w:rPr>
              <w:t>Inledande av anbudsinfordringar för utfasning av fossila bränslen från fartyg</w:t>
            </w:r>
          </w:p>
        </w:tc>
        <w:tc>
          <w:tcPr>
            <w:tcW w:w="1231" w:type="dxa"/>
            <w:shd w:val="clear" w:color="auto" w:fill="C4EFCE"/>
            <w:noWrap/>
            <w:vAlign w:val="center"/>
          </w:tcPr>
          <w:p w14:paraId="18E73789" w14:textId="77777777" w:rsidR="00E040FD" w:rsidRDefault="00740D64">
            <w:pPr>
              <w:pStyle w:val="P68B1DB1-Normal12"/>
              <w:keepNext/>
              <w:spacing w:before="40" w:after="0" w:line="240" w:lineRule="auto"/>
              <w:jc w:val="center"/>
              <w:rPr>
                <w:rFonts w:eastAsia="Times New Roman" w:cstheme="minorHAnsi"/>
                <w:noProof/>
              </w:rPr>
            </w:pPr>
            <w:r>
              <w:rPr>
                <w:noProof/>
              </w:rPr>
              <w:t>Inledande av anbudsinfordran för utfasning av fossila bränslen från fartyg</w:t>
            </w:r>
          </w:p>
        </w:tc>
        <w:tc>
          <w:tcPr>
            <w:tcW w:w="962" w:type="dxa"/>
            <w:shd w:val="clear" w:color="auto" w:fill="C4EFCE"/>
            <w:noWrap/>
            <w:vAlign w:val="center"/>
          </w:tcPr>
          <w:p w14:paraId="794A4B39" w14:textId="77777777" w:rsidR="00E040FD" w:rsidRDefault="00740D64">
            <w:pPr>
              <w:pStyle w:val="P68B1DB1-Normal12"/>
              <w:keepNext/>
              <w:spacing w:before="40" w:after="0" w:line="240" w:lineRule="auto"/>
              <w:jc w:val="center"/>
              <w:rPr>
                <w:rFonts w:eastAsia="Times New Roman" w:cstheme="minorHAnsi"/>
                <w:noProof/>
              </w:rPr>
            </w:pPr>
            <w:r>
              <w:rPr>
                <w:noProof/>
              </w:rPr>
              <w:t xml:space="preserve"> </w:t>
            </w:r>
          </w:p>
        </w:tc>
        <w:tc>
          <w:tcPr>
            <w:tcW w:w="961" w:type="dxa"/>
            <w:shd w:val="clear" w:color="auto" w:fill="C4EFCE"/>
            <w:noWrap/>
            <w:vAlign w:val="center"/>
          </w:tcPr>
          <w:p w14:paraId="3234BC59" w14:textId="77777777" w:rsidR="00E040FD" w:rsidRDefault="00740D64">
            <w:pPr>
              <w:pStyle w:val="P68B1DB1-Normal12"/>
              <w:keepNext/>
              <w:spacing w:before="40" w:after="0" w:line="240" w:lineRule="auto"/>
              <w:jc w:val="center"/>
              <w:rPr>
                <w:rFonts w:eastAsia="Times New Roman" w:cstheme="minorHAnsi"/>
                <w:noProof/>
              </w:rPr>
            </w:pPr>
            <w:r>
              <w:rPr>
                <w:noProof/>
              </w:rPr>
              <w:t xml:space="preserve"> </w:t>
            </w:r>
          </w:p>
        </w:tc>
        <w:tc>
          <w:tcPr>
            <w:tcW w:w="690" w:type="dxa"/>
            <w:shd w:val="clear" w:color="auto" w:fill="C4EFCE"/>
            <w:noWrap/>
            <w:vAlign w:val="center"/>
          </w:tcPr>
          <w:p w14:paraId="2C2A78E0" w14:textId="77777777" w:rsidR="00E040FD" w:rsidRDefault="00740D64">
            <w:pPr>
              <w:pStyle w:val="P68B1DB1-Normal12"/>
              <w:keepNext/>
              <w:spacing w:before="40" w:after="0" w:line="240" w:lineRule="auto"/>
              <w:jc w:val="center"/>
              <w:rPr>
                <w:rFonts w:eastAsia="Times New Roman" w:cstheme="minorHAnsi"/>
                <w:noProof/>
              </w:rPr>
            </w:pPr>
            <w:r>
              <w:rPr>
                <w:noProof/>
              </w:rPr>
              <w:t xml:space="preserve"> </w:t>
            </w:r>
          </w:p>
        </w:tc>
        <w:tc>
          <w:tcPr>
            <w:tcW w:w="554" w:type="dxa"/>
            <w:shd w:val="clear" w:color="auto" w:fill="C4EFCE"/>
            <w:noWrap/>
            <w:vAlign w:val="center"/>
          </w:tcPr>
          <w:p w14:paraId="746BFB58" w14:textId="77777777" w:rsidR="00E040FD" w:rsidRDefault="00740D64">
            <w:pPr>
              <w:pStyle w:val="P68B1DB1-Normal12"/>
              <w:keepNext/>
              <w:spacing w:before="40" w:after="0" w:line="240" w:lineRule="auto"/>
              <w:jc w:val="center"/>
              <w:rPr>
                <w:rFonts w:eastAsia="Times New Roman" w:cstheme="minorHAnsi"/>
                <w:noProof/>
              </w:rPr>
            </w:pPr>
            <w:r>
              <w:rPr>
                <w:noProof/>
              </w:rPr>
              <w:t>KVARTAL 3</w:t>
            </w:r>
          </w:p>
        </w:tc>
        <w:tc>
          <w:tcPr>
            <w:tcW w:w="684" w:type="dxa"/>
            <w:shd w:val="clear" w:color="auto" w:fill="C4EFCE"/>
            <w:noWrap/>
            <w:vAlign w:val="center"/>
          </w:tcPr>
          <w:p w14:paraId="6D96543B" w14:textId="77777777" w:rsidR="00E040FD" w:rsidRDefault="00740D64">
            <w:pPr>
              <w:pStyle w:val="P68B1DB1-Normal12"/>
              <w:keepNext/>
              <w:spacing w:before="40" w:after="0" w:line="240" w:lineRule="auto"/>
              <w:jc w:val="center"/>
              <w:rPr>
                <w:rFonts w:eastAsia="Times New Roman" w:cstheme="minorHAnsi"/>
                <w:noProof/>
              </w:rPr>
            </w:pPr>
            <w:r>
              <w:rPr>
                <w:noProof/>
              </w:rPr>
              <w:t>2023</w:t>
            </w:r>
          </w:p>
        </w:tc>
        <w:tc>
          <w:tcPr>
            <w:tcW w:w="5223" w:type="dxa"/>
            <w:shd w:val="clear" w:color="auto" w:fill="C4EFCE"/>
          </w:tcPr>
          <w:p w14:paraId="3B2A3F9D" w14:textId="4D7CF0E8" w:rsidR="00E040FD" w:rsidRDefault="00740D64">
            <w:pPr>
              <w:pStyle w:val="P68B1DB1-Bodytext1013"/>
              <w:spacing w:before="40" w:after="0" w:line="240" w:lineRule="auto"/>
              <w:jc w:val="both"/>
              <w:rPr>
                <w:rFonts w:cstheme="minorHAnsi"/>
                <w:noProof/>
              </w:rPr>
            </w:pPr>
            <w:r>
              <w:rPr>
                <w:noProof/>
              </w:rPr>
              <w:t>Inledande av anbudsinfordringar för utfasning av fossila bränslen från tio fartyg för gods- och passagerartransport till sjöss där minst 70 % av fartygen överstiger 5 000 bruttodräktighet (GT).</w:t>
            </w:r>
          </w:p>
          <w:p w14:paraId="5ED73E54" w14:textId="18EEA591" w:rsidR="00E040FD" w:rsidRDefault="00740D64">
            <w:pPr>
              <w:pStyle w:val="P68B1DB1-Bodytext1013"/>
              <w:spacing w:before="40" w:after="0" w:line="240" w:lineRule="auto"/>
              <w:jc w:val="both"/>
              <w:rPr>
                <w:rFonts w:eastAsia="@MS Mincho" w:cstheme="minorHAnsi"/>
                <w:noProof/>
              </w:rPr>
            </w:pPr>
            <w:r>
              <w:rPr>
                <w:noProof/>
              </w:rPr>
              <w:t>Kravspecifikationerna ska innehålla kriterier för stödberättigande som säkerställer att de utvalda projekten uppfyller den tekniska vägledningen om att inte orsaka betydande skada (2021/C58/01) och bidrar till att minska fartygets bränsleförbrukning med minst 10 % uttryckt i gram bränsle per dödviktston per sjömil i enlighet med de krav som anges i åtgärdsbeskrivningen. Den ska också innehålla krav på efterlevnad av EU:s miljölagstiftning och nationell miljölagstiftning.</w:t>
            </w:r>
          </w:p>
        </w:tc>
      </w:tr>
      <w:tr w:rsidR="00E040FD" w14:paraId="37D8A87F" w14:textId="77777777">
        <w:trPr>
          <w:trHeight w:val="61"/>
        </w:trPr>
        <w:tc>
          <w:tcPr>
            <w:tcW w:w="1101" w:type="dxa"/>
            <w:shd w:val="clear" w:color="auto" w:fill="C4EFCE"/>
            <w:vAlign w:val="center"/>
          </w:tcPr>
          <w:p w14:paraId="5DBA9BD7" w14:textId="1EF5F715" w:rsidR="00E040FD" w:rsidRDefault="00740D64">
            <w:pPr>
              <w:pStyle w:val="P68B1DB1-Normal11"/>
              <w:keepNext/>
              <w:spacing w:after="0" w:line="240" w:lineRule="auto"/>
              <w:jc w:val="center"/>
              <w:rPr>
                <w:noProof/>
              </w:rPr>
            </w:pPr>
            <w:r>
              <w:rPr>
                <w:noProof/>
              </w:rPr>
              <w:t>10.18</w:t>
            </w:r>
          </w:p>
        </w:tc>
        <w:tc>
          <w:tcPr>
            <w:tcW w:w="1231" w:type="dxa"/>
            <w:shd w:val="clear" w:color="auto" w:fill="C4EFCE"/>
            <w:noWrap/>
            <w:vAlign w:val="center"/>
          </w:tcPr>
          <w:p w14:paraId="5AF95FF9" w14:textId="58BB736B" w:rsidR="00E040FD" w:rsidRDefault="00740D64">
            <w:pPr>
              <w:pStyle w:val="P68B1DB1-Bodytext1013"/>
              <w:spacing w:after="0"/>
              <w:jc w:val="center"/>
              <w:rPr>
                <w:rFonts w:cstheme="minorHAnsi"/>
                <w:noProof/>
              </w:rPr>
            </w:pPr>
            <w:r>
              <w:rPr>
                <w:noProof/>
              </w:rPr>
              <w:t>TC-C10-I07</w:t>
            </w:r>
          </w:p>
        </w:tc>
        <w:tc>
          <w:tcPr>
            <w:tcW w:w="1096" w:type="dxa"/>
            <w:shd w:val="clear" w:color="auto" w:fill="C4EFCE"/>
            <w:noWrap/>
            <w:vAlign w:val="center"/>
          </w:tcPr>
          <w:p w14:paraId="2BE3AE46" w14:textId="77777777" w:rsidR="00E040FD" w:rsidRDefault="00740D64">
            <w:pPr>
              <w:pStyle w:val="P68B1DB1-Normal12"/>
              <w:keepNext/>
              <w:spacing w:after="0" w:line="240" w:lineRule="auto"/>
              <w:jc w:val="center"/>
              <w:rPr>
                <w:rFonts w:eastAsia="Times New Roman" w:cstheme="minorHAnsi"/>
                <w:noProof/>
              </w:rPr>
            </w:pPr>
            <w:r>
              <w:rPr>
                <w:noProof/>
              </w:rPr>
              <w:t>T</w:t>
            </w:r>
          </w:p>
        </w:tc>
        <w:tc>
          <w:tcPr>
            <w:tcW w:w="1640" w:type="dxa"/>
            <w:shd w:val="clear" w:color="auto" w:fill="C4EFCE"/>
            <w:noWrap/>
            <w:vAlign w:val="center"/>
          </w:tcPr>
          <w:p w14:paraId="58A16C99" w14:textId="77777777" w:rsidR="00E040FD" w:rsidRDefault="00740D64">
            <w:pPr>
              <w:pStyle w:val="P68B1DB1-Normal12"/>
              <w:keepNext/>
              <w:spacing w:after="0" w:line="240" w:lineRule="auto"/>
              <w:jc w:val="center"/>
              <w:rPr>
                <w:rFonts w:eastAsia="Times New Roman" w:cstheme="minorHAnsi"/>
                <w:noProof/>
              </w:rPr>
            </w:pPr>
            <w:r>
              <w:rPr>
                <w:noProof/>
              </w:rPr>
              <w:t>Slutförande av insatser för energieffektivitet för fartyg</w:t>
            </w:r>
          </w:p>
        </w:tc>
        <w:tc>
          <w:tcPr>
            <w:tcW w:w="1231" w:type="dxa"/>
            <w:shd w:val="clear" w:color="auto" w:fill="C4EFCE"/>
            <w:noWrap/>
            <w:vAlign w:val="center"/>
          </w:tcPr>
          <w:p w14:paraId="43D01A20" w14:textId="77777777" w:rsidR="00E040FD" w:rsidRDefault="00740D64">
            <w:pPr>
              <w:pStyle w:val="P68B1DB1-Normal12"/>
              <w:keepNext/>
              <w:spacing w:after="0" w:line="240" w:lineRule="auto"/>
              <w:jc w:val="center"/>
              <w:rPr>
                <w:rFonts w:eastAsia="Times New Roman"/>
                <w:noProof/>
              </w:rPr>
            </w:pPr>
            <w:r>
              <w:rPr>
                <w:noProof/>
              </w:rPr>
              <w:t xml:space="preserve">Bevis på slutförande av energieffektivitetsinterventionerna för fartyg </w:t>
            </w:r>
          </w:p>
        </w:tc>
        <w:tc>
          <w:tcPr>
            <w:tcW w:w="962" w:type="dxa"/>
            <w:shd w:val="clear" w:color="auto" w:fill="C4EFCE"/>
            <w:noWrap/>
            <w:vAlign w:val="center"/>
          </w:tcPr>
          <w:p w14:paraId="218710B9" w14:textId="77777777" w:rsidR="00E040FD" w:rsidRDefault="00740D64">
            <w:pPr>
              <w:pStyle w:val="P68B1DB1-Normal12"/>
              <w:keepNext/>
              <w:spacing w:after="0" w:line="240" w:lineRule="auto"/>
              <w:jc w:val="center"/>
              <w:rPr>
                <w:rFonts w:eastAsia="Times New Roman" w:cstheme="minorHAnsi"/>
                <w:noProof/>
              </w:rPr>
            </w:pPr>
            <w:r>
              <w:rPr>
                <w:noProof/>
              </w:rPr>
              <w:t>Antal</w:t>
            </w:r>
          </w:p>
        </w:tc>
        <w:tc>
          <w:tcPr>
            <w:tcW w:w="961" w:type="dxa"/>
            <w:shd w:val="clear" w:color="auto" w:fill="C4EFCE"/>
            <w:noWrap/>
            <w:vAlign w:val="center"/>
          </w:tcPr>
          <w:p w14:paraId="55994D8A" w14:textId="77777777" w:rsidR="00E040FD" w:rsidRDefault="00740D64">
            <w:pPr>
              <w:pStyle w:val="P68B1DB1-Normal12"/>
              <w:keepNext/>
              <w:spacing w:after="0" w:line="240" w:lineRule="auto"/>
              <w:jc w:val="center"/>
              <w:rPr>
                <w:rFonts w:eastAsia="Times New Roman" w:cstheme="minorHAnsi"/>
                <w:noProof/>
              </w:rPr>
            </w:pPr>
            <w:r>
              <w:rPr>
                <w:noProof/>
              </w:rPr>
              <w:t>0</w:t>
            </w:r>
          </w:p>
        </w:tc>
        <w:tc>
          <w:tcPr>
            <w:tcW w:w="690" w:type="dxa"/>
            <w:shd w:val="clear" w:color="auto" w:fill="C4EFCE"/>
            <w:noWrap/>
            <w:vAlign w:val="center"/>
          </w:tcPr>
          <w:p w14:paraId="75409A25" w14:textId="77777777" w:rsidR="00E040FD" w:rsidRDefault="00740D64">
            <w:pPr>
              <w:pStyle w:val="P68B1DB1-Normal12"/>
              <w:keepNext/>
              <w:spacing w:after="0" w:line="240" w:lineRule="auto"/>
              <w:jc w:val="center"/>
              <w:rPr>
                <w:rFonts w:eastAsia="Times New Roman" w:cstheme="minorHAnsi"/>
                <w:noProof/>
              </w:rPr>
            </w:pPr>
            <w:r>
              <w:rPr>
                <w:noProof/>
              </w:rPr>
              <w:t>10</w:t>
            </w:r>
          </w:p>
        </w:tc>
        <w:tc>
          <w:tcPr>
            <w:tcW w:w="554" w:type="dxa"/>
            <w:shd w:val="clear" w:color="auto" w:fill="C4EFCE"/>
            <w:noWrap/>
            <w:vAlign w:val="center"/>
          </w:tcPr>
          <w:p w14:paraId="4A6676AD" w14:textId="77777777" w:rsidR="00E040FD" w:rsidRDefault="00740D64">
            <w:pPr>
              <w:pStyle w:val="P68B1DB1-Normal12"/>
              <w:keepNext/>
              <w:spacing w:after="0" w:line="240" w:lineRule="auto"/>
              <w:jc w:val="center"/>
              <w:rPr>
                <w:rFonts w:eastAsia="Times New Roman" w:cstheme="minorHAnsi"/>
                <w:noProof/>
              </w:rPr>
            </w:pPr>
            <w:r>
              <w:rPr>
                <w:noProof/>
              </w:rPr>
              <w:t>KVARTAL 2</w:t>
            </w:r>
          </w:p>
        </w:tc>
        <w:tc>
          <w:tcPr>
            <w:tcW w:w="684" w:type="dxa"/>
            <w:shd w:val="clear" w:color="auto" w:fill="C4EFCE"/>
            <w:noWrap/>
            <w:vAlign w:val="center"/>
          </w:tcPr>
          <w:p w14:paraId="57E3A0CA" w14:textId="77777777" w:rsidR="00E040FD" w:rsidRDefault="00740D64">
            <w:pPr>
              <w:pStyle w:val="P68B1DB1-Normal12"/>
              <w:keepNext/>
              <w:spacing w:after="0" w:line="240" w:lineRule="auto"/>
              <w:jc w:val="center"/>
              <w:rPr>
                <w:rFonts w:eastAsia="Times New Roman" w:cstheme="minorHAnsi"/>
                <w:noProof/>
              </w:rPr>
            </w:pPr>
            <w:r>
              <w:rPr>
                <w:noProof/>
              </w:rPr>
              <w:t>2026</w:t>
            </w:r>
          </w:p>
        </w:tc>
        <w:tc>
          <w:tcPr>
            <w:tcW w:w="5223" w:type="dxa"/>
            <w:shd w:val="clear" w:color="auto" w:fill="C4EFCE"/>
            <w:vAlign w:val="center"/>
          </w:tcPr>
          <w:p w14:paraId="512948BF" w14:textId="2C383CAF" w:rsidR="00E040FD" w:rsidRDefault="00740D64">
            <w:pPr>
              <w:pStyle w:val="P68B1DB1-Bodytext1013"/>
              <w:spacing w:before="40" w:after="0" w:line="240" w:lineRule="auto"/>
              <w:jc w:val="both"/>
              <w:rPr>
                <w:rFonts w:cstheme="minorBidi"/>
                <w:noProof/>
              </w:rPr>
            </w:pPr>
            <w:r>
              <w:rPr>
                <w:noProof/>
              </w:rPr>
              <w:t>Slutförande av energieffektivitetsåtgärder för tio gods- och passagerarfartyg där minst 70 % av fartygen överstiger 5 000 bruttodräktighet (GT).</w:t>
            </w:r>
          </w:p>
        </w:tc>
      </w:tr>
    </w:tbl>
    <w:p w14:paraId="51500205" w14:textId="77777777" w:rsidR="00E040FD" w:rsidRDefault="00E040FD">
      <w:pPr>
        <w:rPr>
          <w:noProof/>
        </w:rPr>
      </w:pPr>
    </w:p>
    <w:p w14:paraId="52BB7A4E" w14:textId="77777777" w:rsidR="00E040FD" w:rsidRDefault="00E040FD">
      <w:pPr>
        <w:keepNext/>
        <w:spacing w:before="40" w:after="0" w:line="259" w:lineRule="auto"/>
        <w:jc w:val="both"/>
        <w:rPr>
          <w:rFonts w:ascii="Times New Roman" w:eastAsiaTheme="minorEastAsia" w:hAnsi="Times New Roman" w:cs="Times New Roman"/>
          <w:noProof/>
          <w:sz w:val="24"/>
        </w:rPr>
        <w:sectPr w:rsidR="00E040FD" w:rsidSect="00ED5518">
          <w:headerReference w:type="even" r:id="rId228"/>
          <w:headerReference w:type="default" r:id="rId229"/>
          <w:footerReference w:type="even" r:id="rId230"/>
          <w:footerReference w:type="default" r:id="rId231"/>
          <w:headerReference w:type="first" r:id="rId232"/>
          <w:footerReference w:type="first" r:id="rId233"/>
          <w:pgSz w:w="16839" w:h="11907" w:orient="landscape"/>
          <w:pgMar w:top="1134" w:right="1134" w:bottom="1134" w:left="1134" w:header="567" w:footer="567" w:gutter="0"/>
          <w:cols w:space="720"/>
          <w:docGrid w:linePitch="360"/>
        </w:sectPr>
      </w:pPr>
    </w:p>
    <w:p w14:paraId="6761070D" w14:textId="3282687D"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K. KOMPONENT 11: Utfasning av fossila bränslen inom industrin</w:t>
      </w:r>
    </w:p>
    <w:p w14:paraId="10587696"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Komponenten i Portugals återhämtnings- och resiliensplan tar itu med utmaningen att industrin och industriprocesserna bidrar till att uppnå målen om koldioxidneutralitet, i enlighet med färdplanen för koldioxidneutralitet 2050 och den nationella energi- och klimatplanen för 2030. Detta kräver en strukturomvandling som bygger på en omstrukturering av den industriella verksamheten, förändringar i produktionsprocesserna och det sätt på vilket resurserna används. </w:t>
      </w:r>
    </w:p>
    <w:p w14:paraId="2CCA0B72" w14:textId="77777777" w:rsidR="00E040FD" w:rsidRDefault="00740D64">
      <w:pPr>
        <w:pStyle w:val="P68B1DB1-Normal4"/>
        <w:keepNext/>
        <w:spacing w:before="40" w:after="0" w:line="259" w:lineRule="auto"/>
        <w:jc w:val="both"/>
        <w:rPr>
          <w:rFonts w:eastAsiaTheme="minorEastAsia" w:cs="Times New Roman"/>
          <w:noProof/>
        </w:rPr>
      </w:pPr>
      <w:r>
        <w:rPr>
          <w:noProof/>
        </w:rPr>
        <w:t>Åtgärden i denna del syftar till att främja minskade koldioxidutsläpp, energi- och resurseffektivitet och användning av alternativa energikällor i industriprocesser. De projekt som ska stödjas ska också vara kopplade till ny teknik, innovation och digitalisering av industrin, i syfte att uppnå större effektivitet i de olika produktions- och organisationsprocesserna.</w:t>
      </w:r>
    </w:p>
    <w:p w14:paraId="5E25DBAB" w14:textId="77777777" w:rsidR="00E040FD" w:rsidRDefault="00740D64">
      <w:pPr>
        <w:pStyle w:val="P68B1DB1-Normal4"/>
        <w:keepNext/>
        <w:spacing w:before="40" w:after="0" w:line="259" w:lineRule="auto"/>
        <w:jc w:val="both"/>
        <w:rPr>
          <w:rFonts w:eastAsiaTheme="minorEastAsia" w:cs="Times New Roman"/>
          <w:noProof/>
        </w:rPr>
      </w:pPr>
      <w:r>
        <w:rPr>
          <w:noProof/>
        </w:rPr>
        <w:t>Komponenten ska bidra till den portugisiska industrins klimatomställning och stödja dess konkurrenskraft. Den bidrar till att följa de landsspecifika rekommendationerna om investeringar i den gröna omställningen, särskilt om ren och effektiv produktion och användning av energi (landsspecifik rekommendation 3 2020) och om investeringar i forskning och innovation (de landsspecifika rekommendationerna 3 2019 och 2020).</w:t>
      </w:r>
    </w:p>
    <w:p w14:paraId="6D69255B"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75CB0606"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K.1. Beskrivning av reformer och investeringar avseende icke återbetalningspliktigt ekonomiskt stöd</w:t>
      </w:r>
    </w:p>
    <w:p w14:paraId="08B2F8AA"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Investeringar TC-C11-I01: Utfasning av fossila bränslen inom industrin</w:t>
      </w:r>
    </w:p>
    <w:p w14:paraId="54FA3533"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ska bestå av främjande av och ekonomiskt stöd till innovationsprojekt inom industrier inom fyra områden: </w:t>
      </w:r>
    </w:p>
    <w:p w14:paraId="1DD7BC26" w14:textId="77777777" w:rsidR="00E040FD" w:rsidRDefault="00740D64">
      <w:pPr>
        <w:pStyle w:val="P68B1DB1-Normal4"/>
        <w:keepNext/>
        <w:numPr>
          <w:ilvl w:val="0"/>
          <w:numId w:val="29"/>
        </w:numPr>
        <w:spacing w:before="40" w:after="160" w:line="259" w:lineRule="auto"/>
        <w:contextualSpacing/>
        <w:jc w:val="both"/>
        <w:rPr>
          <w:rFonts w:eastAsiaTheme="minorEastAsia" w:cs="Times New Roman"/>
          <w:noProof/>
        </w:rPr>
      </w:pPr>
      <w:r>
        <w:rPr>
          <w:noProof/>
        </w:rPr>
        <w:t>koldioxidsnåla processer och tekniker: syftet är att stödja införandet av ny teknik eller förbättrade produktionsprocesser för att fasa ut fossila bränslen, till exempel genom införande av nya råvaror och åtgärder för den cirkulära ekonomin, innovationsåtgärder, ersättning och/eller anpassning av utrustning, ökad elektrifiering av den slutliga energianvändningen.</w:t>
      </w:r>
    </w:p>
    <w:p w14:paraId="7859B061" w14:textId="77777777" w:rsidR="00E040FD" w:rsidRDefault="00740D64">
      <w:pPr>
        <w:pStyle w:val="P68B1DB1-Normal4"/>
        <w:keepNext/>
        <w:numPr>
          <w:ilvl w:val="0"/>
          <w:numId w:val="29"/>
        </w:numPr>
        <w:spacing w:before="40" w:after="160" w:line="259" w:lineRule="auto"/>
        <w:contextualSpacing/>
        <w:jc w:val="both"/>
        <w:rPr>
          <w:rFonts w:eastAsiaTheme="minorEastAsia" w:cs="Times New Roman"/>
          <w:noProof/>
        </w:rPr>
      </w:pPr>
      <w:r>
        <w:rPr>
          <w:noProof/>
        </w:rPr>
        <w:t xml:space="preserve">energieffektivitetsåtgärder: de projekt som får stöd ska syfta till att minska energiförbrukningen och utsläppen av växthusgaser, till exempel genom optimering eller utbyte av motorer och utrustning, optimering av processer och införande av övervaknings- och förbrukningssystem. </w:t>
      </w:r>
    </w:p>
    <w:p w14:paraId="23D06A62" w14:textId="77777777" w:rsidR="00E040FD" w:rsidRDefault="00740D64">
      <w:pPr>
        <w:pStyle w:val="P68B1DB1-Normal4"/>
        <w:keepNext/>
        <w:numPr>
          <w:ilvl w:val="0"/>
          <w:numId w:val="29"/>
        </w:numPr>
        <w:spacing w:before="40" w:after="120" w:line="240" w:lineRule="auto"/>
        <w:contextualSpacing/>
        <w:jc w:val="both"/>
        <w:rPr>
          <w:rFonts w:eastAsiaTheme="minorEastAsia" w:cs="Times New Roman"/>
          <w:noProof/>
        </w:rPr>
      </w:pPr>
      <w:r>
        <w:rPr>
          <w:noProof/>
        </w:rPr>
        <w:t xml:space="preserve">införlivande av förnybar energi och lagring, till exempel genom installation av solenergisystem, produktion av förnybar värme, högeffektiv kraftvärme, produktion och användning av förnybar vätgas och förnybara gaser där de tekniska alternativen för utfasning av fossila bränslen, inbegripet genom elektrifiering, är mer begränsade. </w:t>
      </w:r>
    </w:p>
    <w:p w14:paraId="0D8DEFDF" w14:textId="77777777" w:rsidR="00E040FD" w:rsidRDefault="00740D64">
      <w:pPr>
        <w:pStyle w:val="P68B1DB1-Normal4"/>
        <w:keepNext/>
        <w:numPr>
          <w:ilvl w:val="0"/>
          <w:numId w:val="29"/>
        </w:numPr>
        <w:spacing w:before="40" w:after="120" w:line="240" w:lineRule="auto"/>
        <w:contextualSpacing/>
        <w:jc w:val="both"/>
        <w:rPr>
          <w:rFonts w:eastAsiaTheme="minorEastAsia" w:cs="Times New Roman"/>
          <w:noProof/>
        </w:rPr>
      </w:pPr>
      <w:r>
        <w:rPr>
          <w:noProof/>
        </w:rPr>
        <w:t>utveckling av färdplaner för utfasning av fossila bränslen och initiativ för kapacitetsuppbyggnad, t.ex. genom identifiering och spridning av effektiva tekniska lösningar, utbildningsverksamhet och plattformar för informationsutbyte.</w:t>
      </w:r>
    </w:p>
    <w:p w14:paraId="1937EF51" w14:textId="2F797FB0" w:rsidR="00E040FD" w:rsidRDefault="00740D64">
      <w:pPr>
        <w:pStyle w:val="P68B1DB1-Normal4"/>
        <w:keepNext/>
        <w:spacing w:before="40" w:after="0" w:line="259" w:lineRule="auto"/>
        <w:jc w:val="both"/>
        <w:rPr>
          <w:rFonts w:eastAsiaTheme="minorEastAsia" w:cs="Times New Roman"/>
          <w:noProof/>
        </w:rPr>
      </w:pPr>
      <w:r>
        <w:rPr>
          <w:noProof/>
        </w:rPr>
        <w:t xml:space="preserve">Stödet ska tilldelas genom anbudsförfaranden (2021–2024) till både små och medelstora företag och stora företag inom industri och energiproduktion, inbegripet organ för förvaltning av industriområden, systemansvariga för energiöverförings- och distributionssystem, industri- och energiföretag och andra enheter. Investeringen syftar till att stödja minst 310 projekt av olika storlek: liten (1 000 000 EUR i genomsnitt), medelhög (i genomsnitt 5 000 000 EUR) och stor (i genomsnitt 10 000 000 EUR). Upphandlingen ska inriktas på de mest växthusgasintensiva sektorerna, men ska vara öppen för hela industrisektorn och omfatta både anläggningar som omfattas av utsläppshandelssystemet och anläggningar som inte omfattas av utsläppshandelssystemet. De projekt som väljs ut inom insatsområdet 024ter ska leda till en minskning av växthusgasutsläppen med minst 30 % i de berörda industrianläggningarna och bidra till Portugals klimatmål inom ramen för genomförandet av den nationella energi- och klimatplanen. </w:t>
      </w:r>
    </w:p>
    <w:p w14:paraId="11E4BDD6" w14:textId="77777777" w:rsidR="00E040FD" w:rsidRDefault="00740D64">
      <w:pPr>
        <w:pStyle w:val="P68B1DB1-Normal4"/>
        <w:keepNext/>
        <w:spacing w:before="40" w:after="0" w:line="259" w:lineRule="auto"/>
        <w:jc w:val="both"/>
        <w:rPr>
          <w:rFonts w:eastAsiaTheme="minorEastAsia" w:cs="Times New Roman"/>
          <w:noProof/>
        </w:rPr>
      </w:pPr>
      <w:r>
        <w:rPr>
          <w:noProof/>
        </w:rPr>
        <w:t>För att säkerställa att åtgärden är förenlig med den tekniska vägledningen om att inte orsaka betydande skada (2021/C58/01) ska kriterierna för stödberättigande i kravspecifikationerna för kommande ansökningsomgångar utesluta följande verksamheter: i) Verksamhet som rör fossila bränslen, inbegripet användning i senare led</w:t>
      </w:r>
      <w:r>
        <w:rPr>
          <w:noProof/>
        </w:rPr>
        <w:footnoteReference w:id="44"/>
      </w:r>
      <w:r>
        <w:rPr>
          <w:noProof/>
        </w:rPr>
        <w:t>. II) Verksamhet inom ramen för EU:s utsläppshandelssystem som uppnår beräknade växthusgasutsläpp som inte är lägre än de relevanta riktmärkena</w:t>
      </w:r>
      <w:r>
        <w:rPr>
          <w:noProof/>
        </w:rPr>
        <w:footnoteReference w:id="45"/>
      </w:r>
      <w:r>
        <w:rPr>
          <w:noProof/>
        </w:rPr>
        <w:t>. III) Verksamhet i samband med avfallsdeponier, förbränningsanläggningar</w:t>
      </w:r>
      <w:r>
        <w:rPr>
          <w:noProof/>
        </w:rPr>
        <w:footnoteReference w:id="46"/>
      </w:r>
      <w:r>
        <w:rPr>
          <w:noProof/>
        </w:rPr>
        <w:t xml:space="preserve"> och anläggningar för mekanisk biologisk behandling</w:t>
      </w:r>
      <w:r>
        <w:rPr>
          <w:noProof/>
        </w:rPr>
        <w:footnoteReference w:id="47"/>
      </w:r>
      <w:r>
        <w:rPr>
          <w:noProof/>
        </w:rPr>
        <w:t>. och iv) verksamheter där långsiktigt bortskaffande av avfall kan skada miljön. Uppdragsbeskrivningen ska dessutom innehålla krav på att endast verksamheter som är förenliga med relevant EU-lagstiftning och nationell miljölagstiftning får väljas ut.</w:t>
      </w:r>
    </w:p>
    <w:p w14:paraId="371668F9"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54B8E0F2" w14:textId="77777777" w:rsidR="00E040FD" w:rsidRDefault="00E040FD">
      <w:pPr>
        <w:keepNext/>
        <w:spacing w:before="40" w:after="0" w:line="259" w:lineRule="auto"/>
        <w:jc w:val="both"/>
        <w:rPr>
          <w:rFonts w:ascii="Times New Roman" w:eastAsiaTheme="minorEastAsia" w:hAnsi="Times New Roman" w:cs="Times New Roman"/>
          <w:noProof/>
          <w:sz w:val="24"/>
        </w:rPr>
        <w:sectPr w:rsidR="00E040FD" w:rsidSect="00E00EDD">
          <w:headerReference w:type="even" r:id="rId234"/>
          <w:headerReference w:type="default" r:id="rId235"/>
          <w:footerReference w:type="even" r:id="rId236"/>
          <w:footerReference w:type="default" r:id="rId237"/>
          <w:headerReference w:type="first" r:id="rId238"/>
          <w:footerReference w:type="first" r:id="rId239"/>
          <w:pgSz w:w="11907" w:h="16839"/>
          <w:pgMar w:top="1134" w:right="1134" w:bottom="1134" w:left="1134" w:header="567" w:footer="567" w:gutter="0"/>
          <w:cols w:space="720"/>
          <w:docGrid w:linePitch="360"/>
        </w:sectPr>
      </w:pPr>
    </w:p>
    <w:p w14:paraId="539A7A4E"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 xml:space="preserve">K.2. </w:t>
      </w:r>
      <w:r>
        <w:rPr>
          <w:noProof/>
        </w:rPr>
        <w:tab/>
        <w:t>Delmål, mål, indikatorer och tidsplan för övervakning och genomförande avseende icke återbetalningspliktigt ekonomiskt stöd</w:t>
      </w:r>
    </w:p>
    <w:p w14:paraId="6852ECBB"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pPr w:leftFromText="180" w:rightFromText="180" w:vertAnchor="text" w:tblpX="-176"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55"/>
        <w:gridCol w:w="720"/>
        <w:gridCol w:w="3969"/>
      </w:tblGrid>
      <w:tr w:rsidR="00E040FD" w14:paraId="62BD13B6" w14:textId="77777777">
        <w:trPr>
          <w:trHeight w:val="910"/>
          <w:tblHeader/>
        </w:trPr>
        <w:tc>
          <w:tcPr>
            <w:tcW w:w="1135" w:type="dxa"/>
            <w:vMerge w:val="restart"/>
            <w:shd w:val="clear" w:color="auto" w:fill="BDD6EE"/>
            <w:vAlign w:val="center"/>
            <w:hideMark/>
          </w:tcPr>
          <w:p w14:paraId="5050BF70"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vAlign w:val="center"/>
            <w:hideMark/>
          </w:tcPr>
          <w:p w14:paraId="44CD0F0B"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shd w:val="clear" w:color="auto" w:fill="BDD6EE"/>
            <w:vAlign w:val="center"/>
            <w:hideMark/>
          </w:tcPr>
          <w:p w14:paraId="09C6ED4B" w14:textId="77777777" w:rsidR="00E040FD" w:rsidRDefault="00740D64">
            <w:pPr>
              <w:pStyle w:val="P68B1DB1-Normal6"/>
              <w:spacing w:after="0" w:line="240" w:lineRule="auto"/>
              <w:jc w:val="center"/>
              <w:rPr>
                <w:rFonts w:eastAsia="Times New Roman" w:cs="Times New Roman"/>
                <w:noProof/>
                <w:sz w:val="14"/>
              </w:rPr>
            </w:pPr>
            <w:r>
              <w:rPr>
                <w:noProof/>
              </w:rPr>
              <w:t>Milementon/</w:t>
            </w:r>
          </w:p>
        </w:tc>
        <w:tc>
          <w:tcPr>
            <w:tcW w:w="1701" w:type="dxa"/>
            <w:vMerge w:val="restart"/>
            <w:shd w:val="clear" w:color="auto" w:fill="BDD6EE"/>
            <w:vAlign w:val="center"/>
            <w:hideMark/>
          </w:tcPr>
          <w:p w14:paraId="2F8A16FC"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75" w:type="dxa"/>
            <w:vMerge w:val="restart"/>
            <w:shd w:val="clear" w:color="auto" w:fill="BDD6EE"/>
            <w:vAlign w:val="center"/>
            <w:hideMark/>
          </w:tcPr>
          <w:p w14:paraId="5FA098FD"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694" w:type="dxa"/>
            <w:gridSpan w:val="3"/>
            <w:shd w:val="clear" w:color="auto" w:fill="BDD6EE"/>
            <w:vAlign w:val="center"/>
            <w:hideMark/>
          </w:tcPr>
          <w:p w14:paraId="2F19FAC7"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vAlign w:val="center"/>
            <w:hideMark/>
          </w:tcPr>
          <w:p w14:paraId="12B6681B"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3969" w:type="dxa"/>
            <w:vMerge w:val="restart"/>
            <w:shd w:val="clear" w:color="auto" w:fill="BDD6EE"/>
            <w:vAlign w:val="center"/>
            <w:hideMark/>
          </w:tcPr>
          <w:p w14:paraId="7AC4960B"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521639A7" w14:textId="77777777">
        <w:trPr>
          <w:trHeight w:val="470"/>
          <w:tblHeader/>
        </w:trPr>
        <w:tc>
          <w:tcPr>
            <w:tcW w:w="1135" w:type="dxa"/>
            <w:vMerge/>
            <w:vAlign w:val="center"/>
            <w:hideMark/>
          </w:tcPr>
          <w:p w14:paraId="0AAA26BB"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3C9C7FD8" w14:textId="77777777" w:rsidR="00E040FD" w:rsidRDefault="00E040FD">
            <w:pPr>
              <w:spacing w:after="0" w:line="240" w:lineRule="auto"/>
              <w:rPr>
                <w:rFonts w:ascii="Times New Roman" w:eastAsia="Times New Roman" w:hAnsi="Times New Roman" w:cs="Times New Roman"/>
                <w:b/>
                <w:noProof/>
                <w:sz w:val="18"/>
              </w:rPr>
            </w:pPr>
          </w:p>
        </w:tc>
        <w:tc>
          <w:tcPr>
            <w:tcW w:w="1134" w:type="dxa"/>
            <w:shd w:val="clear" w:color="auto" w:fill="BDD6EE"/>
            <w:vAlign w:val="center"/>
            <w:hideMark/>
          </w:tcPr>
          <w:p w14:paraId="5AE145E1" w14:textId="77777777" w:rsidR="00E040FD" w:rsidRDefault="00740D64">
            <w:pPr>
              <w:pStyle w:val="P68B1DB1-Normal6"/>
              <w:spacing w:after="0" w:line="240" w:lineRule="auto"/>
              <w:jc w:val="center"/>
              <w:rPr>
                <w:rFonts w:eastAsia="Times New Roman" w:cs="Times New Roman"/>
                <w:noProof/>
                <w:sz w:val="14"/>
              </w:rPr>
            </w:pPr>
            <w:r>
              <w:rPr>
                <w:noProof/>
              </w:rPr>
              <w:t>Mål</w:t>
            </w:r>
          </w:p>
        </w:tc>
        <w:tc>
          <w:tcPr>
            <w:tcW w:w="1701" w:type="dxa"/>
            <w:vMerge/>
            <w:vAlign w:val="center"/>
            <w:hideMark/>
          </w:tcPr>
          <w:p w14:paraId="0F429C5D" w14:textId="77777777" w:rsidR="00E040FD" w:rsidRDefault="00E040FD">
            <w:pPr>
              <w:spacing w:after="0" w:line="240" w:lineRule="auto"/>
              <w:rPr>
                <w:rFonts w:ascii="Times New Roman" w:eastAsia="Times New Roman" w:hAnsi="Times New Roman" w:cs="Times New Roman"/>
                <w:b/>
                <w:noProof/>
                <w:sz w:val="18"/>
              </w:rPr>
            </w:pPr>
          </w:p>
        </w:tc>
        <w:tc>
          <w:tcPr>
            <w:tcW w:w="1275" w:type="dxa"/>
            <w:vMerge/>
            <w:vAlign w:val="center"/>
            <w:hideMark/>
          </w:tcPr>
          <w:p w14:paraId="0975442D" w14:textId="77777777" w:rsidR="00E040FD" w:rsidRDefault="00E040FD">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72C52226"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vAlign w:val="center"/>
            <w:hideMark/>
          </w:tcPr>
          <w:p w14:paraId="0FBC07AA"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709" w:type="dxa"/>
            <w:shd w:val="clear" w:color="auto" w:fill="BDD6EE"/>
            <w:vAlign w:val="center"/>
            <w:hideMark/>
          </w:tcPr>
          <w:p w14:paraId="3B7EC1FA" w14:textId="77777777" w:rsidR="00E040FD" w:rsidRDefault="00740D64">
            <w:pPr>
              <w:pStyle w:val="P68B1DB1-Normal6"/>
              <w:spacing w:after="0" w:line="240" w:lineRule="auto"/>
              <w:jc w:val="center"/>
              <w:rPr>
                <w:rFonts w:eastAsia="Times New Roman" w:cs="Times New Roman"/>
                <w:noProof/>
              </w:rPr>
            </w:pPr>
            <w:r>
              <w:rPr>
                <w:noProof/>
              </w:rPr>
              <w:t>Mål</w:t>
            </w:r>
          </w:p>
        </w:tc>
        <w:tc>
          <w:tcPr>
            <w:tcW w:w="555" w:type="dxa"/>
            <w:shd w:val="clear" w:color="auto" w:fill="BDD6EE"/>
            <w:vAlign w:val="center"/>
            <w:hideMark/>
          </w:tcPr>
          <w:p w14:paraId="08E456A9" w14:textId="77777777" w:rsidR="00E040FD" w:rsidRDefault="00740D64">
            <w:pPr>
              <w:pStyle w:val="P68B1DB1-Normal6"/>
              <w:spacing w:after="0" w:line="240" w:lineRule="auto"/>
              <w:jc w:val="center"/>
              <w:rPr>
                <w:rFonts w:eastAsia="Times New Roman" w:cs="Times New Roman"/>
                <w:noProof/>
              </w:rPr>
            </w:pPr>
            <w:r>
              <w:rPr>
                <w:noProof/>
              </w:rPr>
              <w:t>Q</w:t>
            </w:r>
          </w:p>
        </w:tc>
        <w:tc>
          <w:tcPr>
            <w:tcW w:w="720" w:type="dxa"/>
            <w:shd w:val="clear" w:color="auto" w:fill="BDD6EE"/>
            <w:vAlign w:val="center"/>
            <w:hideMark/>
          </w:tcPr>
          <w:p w14:paraId="3ADD45C5" w14:textId="77777777" w:rsidR="00E040FD" w:rsidRDefault="00740D64">
            <w:pPr>
              <w:pStyle w:val="P68B1DB1-Normal6"/>
              <w:spacing w:after="0" w:line="240" w:lineRule="auto"/>
              <w:jc w:val="center"/>
              <w:rPr>
                <w:rFonts w:eastAsia="Times New Roman" w:cs="Times New Roman"/>
                <w:noProof/>
              </w:rPr>
            </w:pPr>
            <w:r>
              <w:rPr>
                <w:noProof/>
              </w:rPr>
              <w:t>Året</w:t>
            </w:r>
          </w:p>
        </w:tc>
        <w:tc>
          <w:tcPr>
            <w:tcW w:w="3969" w:type="dxa"/>
            <w:vMerge/>
            <w:vAlign w:val="center"/>
            <w:hideMark/>
          </w:tcPr>
          <w:p w14:paraId="55CA6F21" w14:textId="77777777" w:rsidR="00E040FD" w:rsidRDefault="00E040FD">
            <w:pPr>
              <w:spacing w:after="0" w:line="240" w:lineRule="auto"/>
              <w:rPr>
                <w:rFonts w:ascii="Times New Roman" w:eastAsia="Times New Roman" w:hAnsi="Times New Roman" w:cs="Times New Roman"/>
                <w:b/>
                <w:noProof/>
                <w:sz w:val="18"/>
              </w:rPr>
            </w:pPr>
          </w:p>
        </w:tc>
      </w:tr>
      <w:tr w:rsidR="00E040FD" w14:paraId="528553E7" w14:textId="77777777">
        <w:trPr>
          <w:trHeight w:val="630"/>
        </w:trPr>
        <w:tc>
          <w:tcPr>
            <w:tcW w:w="1135" w:type="dxa"/>
            <w:shd w:val="clear" w:color="auto" w:fill="C4EFCE"/>
            <w:vAlign w:val="center"/>
            <w:hideMark/>
          </w:tcPr>
          <w:p w14:paraId="39AE8E64" w14:textId="77777777" w:rsidR="00E040FD" w:rsidRDefault="00740D64">
            <w:pPr>
              <w:pStyle w:val="P68B1DB1-Normal7"/>
              <w:spacing w:after="0" w:line="240" w:lineRule="auto"/>
              <w:jc w:val="center"/>
              <w:rPr>
                <w:rFonts w:eastAsia="Times New Roman" w:cs="Calibri"/>
                <w:noProof/>
              </w:rPr>
            </w:pPr>
            <w:r>
              <w:rPr>
                <w:noProof/>
              </w:rPr>
              <w:t>11.1</w:t>
            </w:r>
          </w:p>
        </w:tc>
        <w:tc>
          <w:tcPr>
            <w:tcW w:w="1276" w:type="dxa"/>
            <w:shd w:val="clear" w:color="auto" w:fill="C4EFCE"/>
            <w:noWrap/>
            <w:vAlign w:val="center"/>
            <w:hideMark/>
          </w:tcPr>
          <w:p w14:paraId="78995A2E" w14:textId="77777777" w:rsidR="00E040FD" w:rsidRDefault="00740D64">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2E259E55"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437F406" w14:textId="77777777" w:rsidR="00E040FD" w:rsidRDefault="00740D64">
            <w:pPr>
              <w:pStyle w:val="P68B1DB1-Normal8"/>
              <w:spacing w:after="0" w:line="240" w:lineRule="auto"/>
              <w:jc w:val="center"/>
              <w:rPr>
                <w:rFonts w:eastAsia="Times New Roman" w:cs="Calibri"/>
                <w:noProof/>
              </w:rPr>
            </w:pPr>
            <w:r>
              <w:rPr>
                <w:noProof/>
              </w:rPr>
              <w:t xml:space="preserve">Första anbudsinfordran för industriella projekt för utfasning av fossila bränslen </w:t>
            </w:r>
          </w:p>
        </w:tc>
        <w:tc>
          <w:tcPr>
            <w:tcW w:w="1275" w:type="dxa"/>
            <w:shd w:val="clear" w:color="auto" w:fill="C4EFCE"/>
            <w:noWrap/>
            <w:vAlign w:val="center"/>
            <w:hideMark/>
          </w:tcPr>
          <w:p w14:paraId="21997F85" w14:textId="77777777" w:rsidR="00E040FD" w:rsidRDefault="00740D64">
            <w:pPr>
              <w:pStyle w:val="P68B1DB1-Normal8"/>
              <w:spacing w:after="0" w:line="240" w:lineRule="auto"/>
              <w:jc w:val="center"/>
              <w:rPr>
                <w:rFonts w:eastAsia="Times New Roman" w:cs="Calibri"/>
                <w:noProof/>
              </w:rPr>
            </w:pPr>
            <w:r>
              <w:rPr>
                <w:noProof/>
              </w:rPr>
              <w:t>Den första anbudsinfordran inleddes</w:t>
            </w:r>
          </w:p>
        </w:tc>
        <w:tc>
          <w:tcPr>
            <w:tcW w:w="993" w:type="dxa"/>
            <w:shd w:val="clear" w:color="auto" w:fill="C4EFCE"/>
            <w:noWrap/>
            <w:vAlign w:val="center"/>
            <w:hideMark/>
          </w:tcPr>
          <w:p w14:paraId="18BDD62E"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45CE536A" w14:textId="77777777" w:rsidR="00E040FD" w:rsidRDefault="00740D6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762E5E6" w14:textId="77777777" w:rsidR="00E040FD" w:rsidRDefault="00740D64">
            <w:pPr>
              <w:pStyle w:val="P68B1DB1-Normal8"/>
              <w:spacing w:after="0" w:line="240" w:lineRule="auto"/>
              <w:jc w:val="center"/>
              <w:rPr>
                <w:rFonts w:eastAsia="Times New Roman" w:cs="Calibri"/>
                <w:noProof/>
              </w:rPr>
            </w:pPr>
            <w:r>
              <w:rPr>
                <w:noProof/>
              </w:rPr>
              <w:t> </w:t>
            </w:r>
          </w:p>
        </w:tc>
        <w:tc>
          <w:tcPr>
            <w:tcW w:w="555" w:type="dxa"/>
            <w:shd w:val="clear" w:color="auto" w:fill="C4EFCE"/>
            <w:noWrap/>
            <w:vAlign w:val="center"/>
            <w:hideMark/>
          </w:tcPr>
          <w:p w14:paraId="481A5A9B" w14:textId="77777777" w:rsidR="00E040FD" w:rsidRDefault="00740D64">
            <w:pPr>
              <w:pStyle w:val="P68B1DB1-Normal8"/>
              <w:spacing w:after="0" w:line="240" w:lineRule="auto"/>
              <w:jc w:val="center"/>
              <w:rPr>
                <w:rFonts w:eastAsia="Times New Roman" w:cs="Calibri"/>
                <w:noProof/>
              </w:rPr>
            </w:pPr>
            <w:r>
              <w:rPr>
                <w:noProof/>
              </w:rPr>
              <w:t>KVARTAL 4</w:t>
            </w:r>
          </w:p>
        </w:tc>
        <w:tc>
          <w:tcPr>
            <w:tcW w:w="720" w:type="dxa"/>
            <w:shd w:val="clear" w:color="auto" w:fill="C4EFCE"/>
            <w:noWrap/>
            <w:vAlign w:val="center"/>
            <w:hideMark/>
          </w:tcPr>
          <w:p w14:paraId="3612D309" w14:textId="77777777" w:rsidR="00E040FD" w:rsidRDefault="00740D6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19006C92" w14:textId="77777777" w:rsidR="00E040FD" w:rsidRDefault="00740D64">
            <w:pPr>
              <w:pStyle w:val="P68B1DB1-Normal8"/>
              <w:spacing w:after="0" w:line="240" w:lineRule="auto"/>
              <w:jc w:val="both"/>
              <w:rPr>
                <w:rFonts w:eastAsia="Times New Roman" w:cs="Calibri"/>
                <w:noProof/>
              </w:rPr>
            </w:pPr>
            <w:r>
              <w:rPr>
                <w:noProof/>
              </w:rPr>
              <w:t xml:space="preserve">Inledande av den första ansökningsomgången för industriella projekt för minskade koldioxidutsläpp som rör minst ett av följande områden: koldioxidsnåla processer och tekniker, antagande av energieffektivitetsåtgärder. införlivande av förnybar energi och energilagring. och företagens egenmakt. </w:t>
            </w:r>
          </w:p>
          <w:p w14:paraId="730294B7" w14:textId="77777777" w:rsidR="00E040FD" w:rsidRDefault="00740D64">
            <w:pPr>
              <w:pStyle w:val="P68B1DB1-Normal8"/>
              <w:spacing w:after="0" w:line="240" w:lineRule="auto"/>
              <w:jc w:val="both"/>
              <w:rPr>
                <w:rFonts w:eastAsia="Times New Roman" w:cs="Calibri"/>
                <w:noProof/>
              </w:rPr>
            </w:pPr>
            <w:r>
              <w:rPr>
                <w:noProof/>
              </w:rPr>
              <w:t xml:space="preserve">Kravspecifikationen ska omfatta kriterier för stödberättigande som säkerställer att de utvalda projekten överensstämmer med den tekniska vägledningen om principen om att inte orsaka betydande skada (2021/C58/01) genom att använda en förteckning över uteslutningar och kravet på överensstämmelse med relevant EU-lagstiftning och nationell miljölagstiftning. </w:t>
            </w:r>
          </w:p>
          <w:p w14:paraId="0B36DB3C" w14:textId="349C80B6" w:rsidR="00E040FD" w:rsidRDefault="00740D64">
            <w:pPr>
              <w:pStyle w:val="P68B1DB1-Normal8"/>
              <w:spacing w:after="0" w:line="240" w:lineRule="auto"/>
              <w:jc w:val="both"/>
              <w:rPr>
                <w:rFonts w:eastAsia="Times New Roman" w:cs="Calibri"/>
                <w:noProof/>
              </w:rPr>
            </w:pPr>
            <w:r>
              <w:rPr>
                <w:noProof/>
              </w:rPr>
              <w:t>Denna anbudsinfordran ska säkerställa en genomsnittlig minskning på 30 % av de direkta och indirekta växthusgasutsläppen för de industrianläggningar som får stöd för projekt som motsvarar insatsområde 024b. Projekt med den högsta effektiviteten i fråga om minskade koldioxidutsläpp ska prioriteras.</w:t>
            </w:r>
          </w:p>
        </w:tc>
      </w:tr>
      <w:tr w:rsidR="00E040FD" w14:paraId="04058E6B" w14:textId="77777777">
        <w:trPr>
          <w:trHeight w:val="630"/>
        </w:trPr>
        <w:tc>
          <w:tcPr>
            <w:tcW w:w="1135" w:type="dxa"/>
            <w:shd w:val="clear" w:color="auto" w:fill="C4EFCE"/>
            <w:vAlign w:val="center"/>
            <w:hideMark/>
          </w:tcPr>
          <w:p w14:paraId="2517AFD7" w14:textId="77777777" w:rsidR="00E040FD" w:rsidRDefault="00740D64">
            <w:pPr>
              <w:pStyle w:val="P68B1DB1-Normal7"/>
              <w:spacing w:after="0" w:line="240" w:lineRule="auto"/>
              <w:jc w:val="center"/>
              <w:rPr>
                <w:rFonts w:eastAsia="Times New Roman" w:cs="Calibri"/>
                <w:noProof/>
              </w:rPr>
            </w:pPr>
            <w:r>
              <w:rPr>
                <w:noProof/>
              </w:rPr>
              <w:t>11.2</w:t>
            </w:r>
          </w:p>
        </w:tc>
        <w:tc>
          <w:tcPr>
            <w:tcW w:w="1276" w:type="dxa"/>
            <w:shd w:val="clear" w:color="auto" w:fill="C4EFCE"/>
            <w:noWrap/>
            <w:vAlign w:val="center"/>
            <w:hideMark/>
          </w:tcPr>
          <w:p w14:paraId="18C1A1E0" w14:textId="77777777" w:rsidR="00E040FD" w:rsidRDefault="00740D64">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576BCEE3"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DECC35D" w14:textId="77777777" w:rsidR="00E040FD" w:rsidRDefault="00740D64">
            <w:pPr>
              <w:pStyle w:val="P68B1DB1-Normal8"/>
              <w:spacing w:after="0" w:line="240" w:lineRule="auto"/>
              <w:jc w:val="center"/>
              <w:rPr>
                <w:rFonts w:eastAsia="Times New Roman" w:cs="Calibri"/>
                <w:noProof/>
              </w:rPr>
            </w:pPr>
            <w:r>
              <w:rPr>
                <w:noProof/>
              </w:rPr>
              <w:t>Undertecknande av kontrakt om tilldelning av ekonomiskt stöd</w:t>
            </w:r>
          </w:p>
        </w:tc>
        <w:tc>
          <w:tcPr>
            <w:tcW w:w="1275" w:type="dxa"/>
            <w:shd w:val="clear" w:color="auto" w:fill="C4EFCE"/>
            <w:noWrap/>
            <w:vAlign w:val="center"/>
            <w:hideMark/>
          </w:tcPr>
          <w:p w14:paraId="5F0FAC03" w14:textId="77777777" w:rsidR="00E040FD" w:rsidRDefault="00740D64">
            <w:pPr>
              <w:pStyle w:val="P68B1DB1-Normal8"/>
              <w:spacing w:after="0" w:line="240" w:lineRule="auto"/>
              <w:jc w:val="center"/>
              <w:rPr>
                <w:rFonts w:eastAsia="Times New Roman" w:cs="Calibri"/>
                <w:noProof/>
              </w:rPr>
            </w:pPr>
            <w:r>
              <w:rPr>
                <w:noProof/>
              </w:rPr>
              <w:t>Undertecknande av kontrakt om tilldelning av ekonomiskt stöd</w:t>
            </w:r>
          </w:p>
        </w:tc>
        <w:tc>
          <w:tcPr>
            <w:tcW w:w="993" w:type="dxa"/>
            <w:shd w:val="clear" w:color="auto" w:fill="C4EFCE"/>
            <w:noWrap/>
            <w:vAlign w:val="center"/>
            <w:hideMark/>
          </w:tcPr>
          <w:p w14:paraId="7746D823"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3DEA9E0" w14:textId="77777777" w:rsidR="00E040FD" w:rsidRDefault="00740D6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4027FD9F" w14:textId="77777777" w:rsidR="00E040FD" w:rsidRDefault="00740D64">
            <w:pPr>
              <w:pStyle w:val="P68B1DB1-Normal8"/>
              <w:spacing w:after="0" w:line="240" w:lineRule="auto"/>
              <w:rPr>
                <w:rFonts w:eastAsia="Times New Roman" w:cs="Calibri"/>
                <w:noProof/>
              </w:rPr>
            </w:pPr>
            <w:r>
              <w:rPr>
                <w:noProof/>
              </w:rPr>
              <w:t> </w:t>
            </w:r>
          </w:p>
        </w:tc>
        <w:tc>
          <w:tcPr>
            <w:tcW w:w="555" w:type="dxa"/>
            <w:shd w:val="clear" w:color="auto" w:fill="C4EFCE"/>
            <w:noWrap/>
            <w:vAlign w:val="center"/>
            <w:hideMark/>
          </w:tcPr>
          <w:p w14:paraId="5939915B" w14:textId="77777777" w:rsidR="00E040FD" w:rsidRDefault="00740D64">
            <w:pPr>
              <w:pStyle w:val="P68B1DB1-Normal8"/>
              <w:spacing w:after="0" w:line="240" w:lineRule="auto"/>
              <w:jc w:val="center"/>
              <w:rPr>
                <w:rFonts w:eastAsia="Times New Roman" w:cs="Calibri"/>
                <w:noProof/>
              </w:rPr>
            </w:pPr>
            <w:r>
              <w:rPr>
                <w:noProof/>
              </w:rPr>
              <w:t>KVARTAL 4</w:t>
            </w:r>
          </w:p>
        </w:tc>
        <w:tc>
          <w:tcPr>
            <w:tcW w:w="720" w:type="dxa"/>
            <w:shd w:val="clear" w:color="auto" w:fill="C4EFCE"/>
            <w:noWrap/>
            <w:vAlign w:val="center"/>
            <w:hideMark/>
          </w:tcPr>
          <w:p w14:paraId="108A2CAC" w14:textId="77777777" w:rsidR="00E040FD" w:rsidRDefault="00740D64">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7EF1A53F" w14:textId="77777777" w:rsidR="00E040FD" w:rsidRDefault="00740D64">
            <w:pPr>
              <w:pStyle w:val="P68B1DB1-Normal8"/>
              <w:spacing w:after="0" w:line="240" w:lineRule="auto"/>
              <w:jc w:val="both"/>
              <w:rPr>
                <w:rFonts w:eastAsia="Times New Roman" w:cs="Calibri"/>
                <w:noProof/>
              </w:rPr>
            </w:pPr>
            <w:r>
              <w:rPr>
                <w:noProof/>
              </w:rPr>
              <w:t xml:space="preserve">Minst 383 000 000 EUR som tilldelas projekt för industriell utfasning av fossila bränslen som rör minst ett av följande områden: koldioxidsnåla processer och tekniker, antagande av energieffektivitetsåtgärder. införlivande av förnybar energi och energilagring. och företagens egenmakt. </w:t>
            </w:r>
          </w:p>
          <w:p w14:paraId="1FE08972" w14:textId="2AB1B821" w:rsidR="00E040FD" w:rsidRDefault="00740D64">
            <w:pPr>
              <w:pStyle w:val="P68B1DB1-Normal8"/>
              <w:spacing w:after="0" w:line="240" w:lineRule="auto"/>
              <w:jc w:val="both"/>
              <w:rPr>
                <w:rFonts w:eastAsia="Times New Roman" w:cs="Calibri"/>
                <w:noProof/>
              </w:rPr>
            </w:pPr>
            <w:r>
              <w:rPr>
                <w:noProof/>
              </w:rPr>
              <w:t>Tilldelningen av kontrakt till de projekt som valts ut inom ramen för de konkurrensutsatta ansökningsomgångar som nämns i delmålet ovan ska säkerställa överensstämmelse med den tekniska vägledningen om att inte orsaka betydande skada (2021/C58/01) genom att använda en uteslutningslista och kravet på överensstämmelse med relevant EU-lagstiftning och nationell miljölagstiftning.</w:t>
            </w:r>
          </w:p>
        </w:tc>
      </w:tr>
      <w:tr w:rsidR="00E040FD" w14:paraId="73B08E92" w14:textId="77777777">
        <w:trPr>
          <w:trHeight w:val="1690"/>
        </w:trPr>
        <w:tc>
          <w:tcPr>
            <w:tcW w:w="1135" w:type="dxa"/>
            <w:shd w:val="clear" w:color="auto" w:fill="C4EFCE"/>
            <w:vAlign w:val="center"/>
            <w:hideMark/>
          </w:tcPr>
          <w:p w14:paraId="06C03D7F" w14:textId="77777777" w:rsidR="00E040FD" w:rsidRDefault="00740D64">
            <w:pPr>
              <w:pStyle w:val="P68B1DB1-Normal7"/>
              <w:spacing w:after="0" w:line="240" w:lineRule="auto"/>
              <w:jc w:val="center"/>
              <w:rPr>
                <w:rFonts w:eastAsia="Times New Roman" w:cs="Calibri"/>
                <w:noProof/>
              </w:rPr>
            </w:pPr>
            <w:r>
              <w:rPr>
                <w:noProof/>
              </w:rPr>
              <w:t>11.3</w:t>
            </w:r>
          </w:p>
        </w:tc>
        <w:tc>
          <w:tcPr>
            <w:tcW w:w="1276" w:type="dxa"/>
            <w:shd w:val="clear" w:color="auto" w:fill="C4EFCE"/>
            <w:noWrap/>
            <w:vAlign w:val="center"/>
            <w:hideMark/>
          </w:tcPr>
          <w:p w14:paraId="1803E8D0" w14:textId="77777777" w:rsidR="00E040FD" w:rsidRDefault="00740D64">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69072576"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2351F05" w14:textId="77777777" w:rsidR="00E040FD" w:rsidRDefault="00740D64">
            <w:pPr>
              <w:pStyle w:val="P68B1DB1-Normal8"/>
              <w:spacing w:after="0" w:line="240" w:lineRule="auto"/>
              <w:jc w:val="center"/>
              <w:rPr>
                <w:rFonts w:eastAsia="Times New Roman" w:cs="Calibri"/>
                <w:noProof/>
              </w:rPr>
            </w:pPr>
            <w:r>
              <w:rPr>
                <w:noProof/>
              </w:rPr>
              <w:t>Ekonomiskt stöd till industriella projekt för utfasning av fossila bränslen</w:t>
            </w:r>
          </w:p>
        </w:tc>
        <w:tc>
          <w:tcPr>
            <w:tcW w:w="1275" w:type="dxa"/>
            <w:shd w:val="clear" w:color="auto" w:fill="C4EFCE"/>
            <w:noWrap/>
            <w:vAlign w:val="center"/>
            <w:hideMark/>
          </w:tcPr>
          <w:p w14:paraId="5AF3E605"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9CC3A89"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0AEE891E"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C0EF439" w14:textId="63244C11" w:rsidR="00E040FD" w:rsidRDefault="00740D64">
            <w:pPr>
              <w:pStyle w:val="P68B1DB1-Normal8"/>
              <w:spacing w:after="0" w:line="240" w:lineRule="auto"/>
              <w:jc w:val="center"/>
              <w:rPr>
                <w:rFonts w:eastAsia="Times New Roman" w:cs="Calibri"/>
                <w:noProof/>
              </w:rPr>
            </w:pPr>
            <w:r>
              <w:rPr>
                <w:noProof/>
              </w:rPr>
              <w:t>310</w:t>
            </w:r>
          </w:p>
        </w:tc>
        <w:tc>
          <w:tcPr>
            <w:tcW w:w="555" w:type="dxa"/>
            <w:shd w:val="clear" w:color="auto" w:fill="C4EFCE"/>
            <w:noWrap/>
            <w:vAlign w:val="center"/>
            <w:hideMark/>
          </w:tcPr>
          <w:p w14:paraId="64BC34FA" w14:textId="77777777" w:rsidR="00E040FD" w:rsidRDefault="00740D64">
            <w:pPr>
              <w:pStyle w:val="P68B1DB1-Normal8"/>
              <w:spacing w:after="0" w:line="240" w:lineRule="auto"/>
              <w:jc w:val="center"/>
              <w:rPr>
                <w:rFonts w:eastAsia="Times New Roman" w:cs="Calibri"/>
                <w:noProof/>
              </w:rPr>
            </w:pPr>
            <w:r>
              <w:rPr>
                <w:noProof/>
              </w:rPr>
              <w:t>KVARTAL 4</w:t>
            </w:r>
          </w:p>
        </w:tc>
        <w:tc>
          <w:tcPr>
            <w:tcW w:w="720" w:type="dxa"/>
            <w:shd w:val="clear" w:color="auto" w:fill="C4EFCE"/>
            <w:noWrap/>
            <w:vAlign w:val="center"/>
            <w:hideMark/>
          </w:tcPr>
          <w:p w14:paraId="234947D8"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D55E7F5" w14:textId="77777777" w:rsidR="00E040FD" w:rsidRDefault="00740D64">
            <w:pPr>
              <w:pStyle w:val="P68B1DB1-Normal8"/>
              <w:spacing w:after="0" w:line="240" w:lineRule="auto"/>
              <w:jc w:val="both"/>
              <w:rPr>
                <w:rFonts w:eastAsia="Times New Roman" w:cs="Calibri"/>
                <w:noProof/>
              </w:rPr>
            </w:pPr>
            <w:r>
              <w:rPr>
                <w:noProof/>
              </w:rPr>
              <w:t xml:space="preserve">Antal projekt som fått ekonomiskt stöd för utfasning av fossila bränslen i industrin som rör minst ett av följande områden: koldioxidsnåla processer och tekniker, antagande av energieffektivitetsåtgärder. och införlivande av förnybar energi och energilagring. En minskning med i genomsnitt 30 % av de direkta och indirekta växthusgasutsläppen för projekt som motsvarar insatsområde 024ter, och efterlevnad av den tekniska vägledningen om att inte orsaka betydande skada (2021/C58/01), inbegripet för anläggningar som omfattas av EU:s utsläppshandelssystem för att säkerställa att de anläggningar som får stöd uppnår beräknade växthusgasutsläpp som ligger under det riktmärke som fastställts för gratis tilldelning enligt kommissionens genomförandeförordning (EU) 2021/447, ska säkerställas för de industrianläggningar som får stöd. </w:t>
            </w:r>
          </w:p>
        </w:tc>
      </w:tr>
    </w:tbl>
    <w:p w14:paraId="575A7ECF"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63D1B59A" w14:textId="77777777" w:rsidR="00E040FD" w:rsidRDefault="00E040FD">
      <w:pPr>
        <w:keepNext/>
        <w:spacing w:before="40" w:after="0" w:line="259" w:lineRule="auto"/>
        <w:jc w:val="both"/>
        <w:outlineLvl w:val="1"/>
        <w:rPr>
          <w:rFonts w:ascii="Times New Roman" w:eastAsiaTheme="minorEastAsia" w:hAnsi="Times New Roman" w:cs="Times New Roman"/>
          <w:noProof/>
          <w:sz w:val="24"/>
          <w:u w:val="single"/>
        </w:rPr>
        <w:sectPr w:rsidR="00E040FD" w:rsidSect="00E00EDD">
          <w:headerReference w:type="even" r:id="rId240"/>
          <w:headerReference w:type="default" r:id="rId241"/>
          <w:footerReference w:type="even" r:id="rId242"/>
          <w:footerReference w:type="default" r:id="rId243"/>
          <w:headerReference w:type="first" r:id="rId244"/>
          <w:footerReference w:type="first" r:id="rId245"/>
          <w:pgSz w:w="16839" w:h="11907" w:orient="landscape"/>
          <w:pgMar w:top="1134" w:right="1134" w:bottom="1134" w:left="1134" w:header="567" w:footer="567" w:gutter="0"/>
          <w:cols w:space="720"/>
          <w:docGrid w:linePitch="360"/>
        </w:sectPr>
      </w:pPr>
    </w:p>
    <w:p w14:paraId="7F30AF75"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L. KOMPONENT 12: Bioekonomi</w:t>
      </w:r>
    </w:p>
    <w:p w14:paraId="09C80588" w14:textId="77777777" w:rsidR="00E040FD" w:rsidRDefault="00740D64">
      <w:pPr>
        <w:pStyle w:val="P68B1DB1-Normal4"/>
        <w:spacing w:before="40" w:after="0" w:line="259" w:lineRule="auto"/>
        <w:jc w:val="both"/>
        <w:rPr>
          <w:rFonts w:eastAsiaTheme="minorEastAsia" w:cs="Times New Roman"/>
          <w:noProof/>
        </w:rPr>
      </w:pPr>
      <w:r>
        <w:rPr>
          <w:noProof/>
        </w:rPr>
        <w:t xml:space="preserve">Denna del behandlar utmaningen att utveckla en livskraftig, hållbar, cirkulär och konkurrenskraftig bioekonomi. En sådan omställning förväntas stödja moderniseringen och konsolideringen av industrin genom att skapa nya värdekedjor och miljövänligare industriella processer. </w:t>
      </w:r>
    </w:p>
    <w:p w14:paraId="5988E6C8" w14:textId="77777777" w:rsidR="00E040FD" w:rsidRDefault="00740D64">
      <w:pPr>
        <w:pStyle w:val="P68B1DB1-Normal4"/>
        <w:spacing w:before="40" w:after="0" w:line="259" w:lineRule="auto"/>
        <w:jc w:val="both"/>
        <w:rPr>
          <w:rFonts w:eastAsiaTheme="minorEastAsia" w:cs="Times New Roman"/>
          <w:noProof/>
        </w:rPr>
      </w:pPr>
      <w:r>
        <w:rPr>
          <w:noProof/>
        </w:rPr>
        <w:t xml:space="preserve">Syftet med denna komponent är att främja och påskynda utvecklingen av produkter med högt mervärde från biologiska resurser som ett alternativ till fossilbaserade material.  </w:t>
      </w:r>
    </w:p>
    <w:p w14:paraId="740A5F38" w14:textId="1AE9A646" w:rsidR="00E040FD" w:rsidRDefault="00740D64">
      <w:pPr>
        <w:pStyle w:val="P68B1DB1-Normal4"/>
        <w:spacing w:before="40" w:after="0" w:line="259" w:lineRule="auto"/>
        <w:jc w:val="both"/>
        <w:rPr>
          <w:rFonts w:eastAsiaTheme="minorEastAsia" w:cs="Times New Roman"/>
          <w:noProof/>
        </w:rPr>
      </w:pPr>
      <w:r>
        <w:rPr>
          <w:noProof/>
        </w:rPr>
        <w:t xml:space="preserve">Åtgärderna inom denna del syftar till att stödja strukturella förändringar i samband med denna omställning och ska bidra till att hantera aktuella globala och lokala utmaningar, inbegripet klimatförändringar, minskat beroende av fossila resurser och hållbar utveckling. Tre sektorer (textil och konfektion, skodon och naturharts) ska få särskilt stöd för utveckling av biobaserade produkter och för att bli mer resurseffektiva. Komponenten stöder de landsspecifika rekommendationerna om investeringar i den gröna omställningen, särskilt i ren och effektiv produktion och användning av energi (landsspecifik rekommendation 3 2020), i investeringar i forskning och innovation (de landsspecifika rekommendationerna 3 2019 och 2020) och i övergången till en cirkulär ekonomi, särskilt genom att öka förebyggandet av avfall, återvinning och återanvändning för att avleda avfall från deponier och förbränningsanläggningar (de landsspecifika rekommendationerna 3 2022 och 2023). </w:t>
      </w:r>
    </w:p>
    <w:p w14:paraId="4CF3DC02" w14:textId="77777777" w:rsidR="00E040FD" w:rsidRDefault="00740D64">
      <w:pPr>
        <w:pStyle w:val="P68B1DB1-Normal4"/>
        <w:spacing w:before="40" w:after="0" w:line="259" w:lineRule="auto"/>
        <w:jc w:val="both"/>
        <w:rPr>
          <w:rFonts w:eastAsiaTheme="minorEastAsia" w:cs="Times New Roman"/>
          <w:noProof/>
        </w:rPr>
      </w:pPr>
      <w:r>
        <w:rPr>
          <w:noProof/>
        </w:rPr>
        <w:t>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w:t>
      </w:r>
    </w:p>
    <w:p w14:paraId="424C0B86" w14:textId="77777777" w:rsidR="00E040FD" w:rsidRDefault="00E040FD">
      <w:pPr>
        <w:spacing w:before="40" w:after="0" w:line="259" w:lineRule="auto"/>
        <w:jc w:val="both"/>
        <w:rPr>
          <w:rFonts w:ascii="Times New Roman" w:eastAsiaTheme="minorEastAsia" w:hAnsi="Times New Roman" w:cs="Times New Roman"/>
          <w:noProof/>
          <w:sz w:val="24"/>
        </w:rPr>
      </w:pPr>
    </w:p>
    <w:p w14:paraId="7A62E280"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L.1. Beskrivning av reformer och investeringar avseende icke återbetalningspliktigt ekonomiskt stöd</w:t>
      </w:r>
    </w:p>
    <w:p w14:paraId="3E984C00" w14:textId="77777777" w:rsidR="00E040FD" w:rsidRDefault="00740D64">
      <w:pPr>
        <w:pStyle w:val="P68B1DB1-Normal5"/>
        <w:spacing w:before="240" w:after="0" w:line="259" w:lineRule="auto"/>
        <w:ind w:left="851"/>
        <w:jc w:val="both"/>
        <w:outlineLvl w:val="2"/>
        <w:rPr>
          <w:rFonts w:eastAsiaTheme="minorEastAsia" w:cs="Times New Roman"/>
          <w:noProof/>
        </w:rPr>
      </w:pPr>
      <w:r>
        <w:rPr>
          <w:noProof/>
        </w:rPr>
        <w:t>Reform TC-r25: Hållbar bioekonomi</w:t>
      </w:r>
    </w:p>
    <w:p w14:paraId="73A86D72" w14:textId="77777777" w:rsidR="00E040FD" w:rsidRDefault="00740D64">
      <w:pPr>
        <w:pStyle w:val="P68B1DB1-Normal4"/>
        <w:spacing w:before="40" w:after="0" w:line="259" w:lineRule="auto"/>
        <w:jc w:val="both"/>
        <w:rPr>
          <w:rFonts w:eastAsiaTheme="minorEastAsia" w:cs="Times New Roman"/>
          <w:noProof/>
        </w:rPr>
      </w:pPr>
      <w:r>
        <w:rPr>
          <w:noProof/>
        </w:rPr>
        <w:t>Syftet med reformen är att främja och stimulera bevarande och effektiv användning av biologiska resurser. Reformen passar in i Portugals handlingsplan för en hållbar bioekonomi, som ska vara föremål för offentligt samråd och fungera som en strategisk ram för nationell hållbar utveckling. Som en del av insatserna för att främja bioekonomin ska Portugal också bedöma skatteincitament som skulle kunna förbättra ersättningen av icke-förnybara naturresurser med andra biobaserade resurser.</w:t>
      </w:r>
    </w:p>
    <w:p w14:paraId="1F7B9944" w14:textId="77777777" w:rsidR="00E040FD" w:rsidRDefault="00740D64">
      <w:pPr>
        <w:pStyle w:val="P68B1DB1-Normal4"/>
        <w:spacing w:before="40" w:after="0" w:line="259" w:lineRule="auto"/>
        <w:jc w:val="both"/>
        <w:rPr>
          <w:rFonts w:eastAsiaTheme="minorEastAsia" w:cs="Times New Roman"/>
          <w:noProof/>
        </w:rPr>
      </w:pPr>
      <w:r>
        <w:rPr>
          <w:noProof/>
        </w:rPr>
        <w:t xml:space="preserve">Reformen ska bestå av ett nytt allmänt avfallshanteringssystem (RGGR) och införande av kriterier för inköp av hållbara biobaserade produkter i översynen av den nationella strategin för miljöanpassad offentlig upphandling. Denna reform syftar till att ta itu med de huvudsakliga hinder och begränsningar som identifierats när det gäller tillvaratagandet av biologiska resurser för utvecklingen av en hållbar och cirkulär bioindustri, med respekt för kaskadprincipen. </w:t>
      </w:r>
    </w:p>
    <w:p w14:paraId="63B37A13" w14:textId="77777777" w:rsidR="00E040FD" w:rsidRDefault="00740D64">
      <w:pPr>
        <w:pStyle w:val="P68B1DB1-Normal4"/>
        <w:spacing w:before="40" w:after="0" w:line="259" w:lineRule="auto"/>
        <w:jc w:val="both"/>
        <w:rPr>
          <w:rFonts w:eastAsiaTheme="minorEastAsia" w:cs="Times New Roman"/>
          <w:noProof/>
        </w:rPr>
      </w:pPr>
      <w:r>
        <w:rPr>
          <w:noProof/>
        </w:rPr>
        <w:t>Genomförandet av det nya allmänna avfallshanteringssystemet ska åtminstone undanröja begränsningarna för användningen av biprodukter eller avfall för nya produkter genom att förenkla förfarandena för klassificering av ämnen eller föremål som biprodukter, även från andra EU-länder. Det nya allmänna systemet för avfallshantering antogs i december 2020.</w:t>
      </w:r>
    </w:p>
    <w:p w14:paraId="775F29D4" w14:textId="53DA06AD" w:rsidR="00E040FD" w:rsidRDefault="00740D64">
      <w:pPr>
        <w:pStyle w:val="P68B1DB1-Normal4"/>
        <w:spacing w:before="40" w:after="0" w:line="259" w:lineRule="auto"/>
        <w:jc w:val="both"/>
        <w:rPr>
          <w:rFonts w:eastAsiaTheme="minorEastAsia" w:cs="Times New Roman"/>
          <w:noProof/>
        </w:rPr>
      </w:pPr>
      <w:r>
        <w:rPr>
          <w:noProof/>
        </w:rPr>
        <w:t xml:space="preserve">Den nationella strategin för miljöanpassad offentlig upphandling ska ses över så att den åtminstone omfattar obligatoriska ekologiska kriterier för upphandling av tjänster och produkter (särskilt på byggområdet), som integrerar hållbara biobaserade produkter. </w:t>
      </w:r>
    </w:p>
    <w:p w14:paraId="18D49EAF" w14:textId="77777777" w:rsidR="00E040FD" w:rsidRDefault="00740D64">
      <w:pPr>
        <w:pStyle w:val="P68B1DB1-Normal4"/>
        <w:keepNext/>
        <w:spacing w:before="40" w:after="0" w:line="259" w:lineRule="auto"/>
        <w:jc w:val="both"/>
        <w:rPr>
          <w:rFonts w:eastAsiaTheme="minorEastAsia" w:cs="Times New Roman"/>
          <w:noProof/>
        </w:rPr>
      </w:pPr>
      <w:r>
        <w:rPr>
          <w:noProof/>
        </w:rPr>
        <w:t>Genomförandet av reformen ska vara slutfört senast den 30 september 2022.</w:t>
      </w:r>
    </w:p>
    <w:p w14:paraId="2FD84C02"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Investeringar TC-C12-I01: Bioekonomi</w:t>
      </w:r>
    </w:p>
    <w:p w14:paraId="17E8B78E"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investeringen är att stödja införlivandet av biobaserade material i produktionsprocesser inom tre sektorer: textil och kläder, skodon och naturharts. </w:t>
      </w:r>
    </w:p>
    <w:p w14:paraId="55D6795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Huvudinstrumentet ska bestå av ekonomiskt stöd som tilldelas genom programkontrakt med konsortier, som ska omfatta institutioner, företag och slutanvändare inom forskning och innovation, och som ska väljas ut genom ett konkurrensutsatt förfarande. De verksamheter som får stöd ska omfatta projekt för forskning, utveckling och produktiv innovation, digitaliseringsprojekt och avancerad produktionsteknik, särskilda program för utbildning och egenmakt, produktion av inhemska naturharts och medvetandehöjande åtgärder för hållbar produktion och konsumtion. De utvalda projekten ska åtminstone bidra till utvecklingen av den cirkulära ekonomin och till utsläppsminskningsmålen i Portugal. Projekten ska ha följande mål: </w:t>
      </w:r>
    </w:p>
    <w:p w14:paraId="1FFA8FCC" w14:textId="77777777" w:rsidR="00E040FD" w:rsidRDefault="00740D64">
      <w:pPr>
        <w:pStyle w:val="P68B1DB1-Normal4"/>
        <w:keepNext/>
        <w:numPr>
          <w:ilvl w:val="0"/>
          <w:numId w:val="29"/>
        </w:numPr>
        <w:spacing w:before="40" w:after="160" w:line="259" w:lineRule="auto"/>
        <w:contextualSpacing/>
        <w:jc w:val="both"/>
        <w:rPr>
          <w:rFonts w:eastAsiaTheme="minorEastAsia" w:cs="Times New Roman"/>
          <w:noProof/>
        </w:rPr>
      </w:pPr>
      <w:r>
        <w:rPr>
          <w:noProof/>
        </w:rPr>
        <w:t xml:space="preserve">utveckling av nya produktionsprocesser för att skapa produkter med högre förädlingsvärde som inbegriper och utnyttjar biologiska resurser (skogsbiomassa, jordbruks- och agroindustriella restprodukter och biprodukter). </w:t>
      </w:r>
    </w:p>
    <w:p w14:paraId="6A6B42A0" w14:textId="77777777" w:rsidR="00E040FD" w:rsidRDefault="00740D64">
      <w:pPr>
        <w:pStyle w:val="P68B1DB1-Normal4"/>
        <w:keepNext/>
        <w:numPr>
          <w:ilvl w:val="0"/>
          <w:numId w:val="29"/>
        </w:numPr>
        <w:spacing w:before="40" w:after="160" w:line="259" w:lineRule="auto"/>
        <w:contextualSpacing/>
        <w:jc w:val="both"/>
        <w:rPr>
          <w:rFonts w:eastAsiaTheme="minorEastAsia" w:cs="Times New Roman"/>
          <w:noProof/>
        </w:rPr>
      </w:pPr>
      <w:r>
        <w:rPr>
          <w:noProof/>
        </w:rPr>
        <w:t>utveckling av tekniska processer för att förbättra cirkulariteten inom textil-, konfektions-, sko- och hartsbearbetningssektorerna. och</w:t>
      </w:r>
    </w:p>
    <w:p w14:paraId="2FE7D2D6" w14:textId="77777777" w:rsidR="00E040FD" w:rsidRDefault="00740D64">
      <w:pPr>
        <w:pStyle w:val="P68B1DB1-Normal4"/>
        <w:keepNext/>
        <w:numPr>
          <w:ilvl w:val="0"/>
          <w:numId w:val="29"/>
        </w:numPr>
        <w:spacing w:before="40" w:after="160" w:line="259" w:lineRule="auto"/>
        <w:contextualSpacing/>
        <w:jc w:val="both"/>
        <w:rPr>
          <w:rFonts w:eastAsiaTheme="minorEastAsia" w:cs="Times New Roman"/>
          <w:noProof/>
        </w:rPr>
      </w:pPr>
      <w:r>
        <w:rPr>
          <w:noProof/>
        </w:rPr>
        <w:t>bidra till avfallshanteringen inom dessa sektorer.</w:t>
      </w:r>
    </w:p>
    <w:p w14:paraId="6B9025FE" w14:textId="77777777" w:rsidR="00E040FD" w:rsidRDefault="00740D64">
      <w:pPr>
        <w:pStyle w:val="P68B1DB1-Normal4"/>
        <w:keepNext/>
        <w:spacing w:before="40" w:after="0" w:line="259" w:lineRule="auto"/>
        <w:jc w:val="both"/>
        <w:rPr>
          <w:rFonts w:eastAsiaTheme="minorEastAsia" w:cs="Times New Roman"/>
          <w:noProof/>
        </w:rPr>
      </w:pPr>
      <w:r>
        <w:rPr>
          <w:noProof/>
        </w:rPr>
        <w:t>Forsknings-, utvecklings- och innovationsprojekt ska stödjas i syfte att utveckla nya produktionsprocesser för att skapa produkter med högre förädlingsvärde som inbegriper och utnyttjar biologiska resurser (skogsbiomassa, jordbruks- och agroindustriella restprodukter och biprodukter), tekniska processer för att förbättra cirkulariteten inom textil- och beklädnads-, sko- och hartsbearbetningssektorerna och för att bidra till avfallshanteringen inom dessa sektorer. De utvalda projekten ska bidra till att minska växthusgasutsläppen.</w:t>
      </w:r>
    </w:p>
    <w:p w14:paraId="140E81B4" w14:textId="77777777" w:rsidR="00E040FD" w:rsidRDefault="00740D64">
      <w:pPr>
        <w:pStyle w:val="P68B1DB1-Normal4"/>
        <w:keepNext/>
        <w:spacing w:before="40" w:after="0" w:line="259" w:lineRule="auto"/>
        <w:jc w:val="both"/>
        <w:rPr>
          <w:rFonts w:eastAsiaTheme="minorEastAsia" w:cs="Times New Roman"/>
          <w:noProof/>
        </w:rPr>
      </w:pPr>
      <w:r>
        <w:rPr>
          <w:noProof/>
        </w:rPr>
        <w:t>Dessa åtgärder ska kompletteras med särskilda och kompletterande anbudsförfaranden för skogsbruksverksamhet och produktion av naturlig harts. Det ska omfatta stöd till brandförebyggande verksamhet som bedrivs av yrkesverksamma inom hartsproduktion, inköp av maskiner och utrustning av institutet för natur- och skogsskydd (ICNF) samt verksamhet för skydd och återställande av havstallskogar. Genom att främja skogsmarkförvaltning ska denna investering bidra till att förebygga och mildra effekterna av bränder på landsbygden och bidra till att minska utsläppen av föroreningar till atmosfären.</w:t>
      </w:r>
    </w:p>
    <w:p w14:paraId="0B9296C2" w14:textId="77777777" w:rsidR="00E040FD" w:rsidRDefault="00740D64">
      <w:pPr>
        <w:keepNext/>
        <w:spacing w:before="40" w:after="0" w:line="259" w:lineRule="auto"/>
        <w:jc w:val="both"/>
        <w:rPr>
          <w:rFonts w:ascii="Times New Roman" w:eastAsiaTheme="minorEastAsia" w:hAnsi="Times New Roman" w:cs="Times New Roman"/>
          <w:noProof/>
          <w:sz w:val="24"/>
        </w:rPr>
      </w:pPr>
      <w:r>
        <w:rPr>
          <w:rFonts w:ascii="Times New Roman" w:hAnsi="Times New Roman"/>
          <w:noProof/>
          <w:sz w:val="24"/>
        </w:rPr>
        <w:t>Denna åtgärd förväntas inte orsaka betydande skada för miljömål i den mening som avses i artikel 17 i förordning (EU) 2020/852, med beaktande av beskrivningen av åtgärden och de riskreducerande åtgärder som anges i återhämtnings- och resiliensplanen i enlighet med den tekniska vägledningen om att inte orsaka betydande skada (2021/C58/01). För att säkerställa efterlevnad av den tekniska vägledningen om att inte orsaka betydande skada (2021/C58/01) ska de fordon, maskiner och utrustning som ska köpas in av institutet för natur- och skogsskydd (ICNF) vara utsläppsfria. Om det inte finns några utsläppsfria alternativ ska de fordon, maskiner och utrustning som ska köpas in motsvara bästa tillgängliga miljöprestandanivåer inom sektorn. Dessutom ska kriterierna för stödberättigande i kravspecifikationen för kommande ansökningsomgångar inte omfatta följande verksamheter: i) Verksamhet som rör fossila bränslen, inbegripet användning i senare led</w:t>
      </w:r>
      <w:r>
        <w:rPr>
          <w:rStyle w:val="FootnoteReference"/>
          <w:rFonts w:ascii="Times New Roman" w:hAnsi="Times New Roman" w:cs="Times New Roman"/>
          <w:noProof/>
          <w:sz w:val="24"/>
        </w:rPr>
        <w:footnoteReference w:id="48"/>
      </w:r>
      <w:r>
        <w:rPr>
          <w:rFonts w:ascii="Times New Roman" w:hAnsi="Times New Roman"/>
          <w:noProof/>
          <w:sz w:val="24"/>
        </w:rPr>
        <w:t>. II) Verksamhet inom ramen för EU:s utsläppshandelssystem som uppnår beräknade växthusgasutsläpp som inte är lägre än de relevanta riktmärkena</w:t>
      </w:r>
      <w:r>
        <w:rPr>
          <w:rStyle w:val="FootnoteReference"/>
          <w:rFonts w:ascii="Times New Roman" w:hAnsi="Times New Roman" w:cs="Times New Roman"/>
          <w:noProof/>
          <w:sz w:val="24"/>
        </w:rPr>
        <w:footnoteReference w:id="49"/>
      </w:r>
      <w:r>
        <w:rPr>
          <w:rFonts w:ascii="Times New Roman" w:hAnsi="Times New Roman"/>
          <w:noProof/>
          <w:sz w:val="24"/>
        </w:rPr>
        <w:t>. III) Verksamhet i samband med avfallsdeponier, förbränningsanläggningar</w:t>
      </w:r>
      <w:r>
        <w:rPr>
          <w:rStyle w:val="FootnoteReference"/>
          <w:rFonts w:ascii="Times New Roman" w:hAnsi="Times New Roman" w:cs="Times New Roman"/>
          <w:noProof/>
          <w:sz w:val="24"/>
        </w:rPr>
        <w:footnoteReference w:id="50"/>
      </w:r>
      <w:r>
        <w:rPr>
          <w:rFonts w:ascii="Times New Roman" w:hAnsi="Times New Roman"/>
          <w:noProof/>
          <w:sz w:val="24"/>
        </w:rPr>
        <w:t xml:space="preserve"> och anläggningar för mekanisk biologisk behandling</w:t>
      </w:r>
      <w:r>
        <w:rPr>
          <w:rStyle w:val="FootnoteReference"/>
          <w:rFonts w:ascii="Times New Roman" w:hAnsi="Times New Roman" w:cs="Times New Roman"/>
          <w:noProof/>
          <w:sz w:val="24"/>
        </w:rPr>
        <w:footnoteReference w:id="51"/>
      </w:r>
      <w:r>
        <w:rPr>
          <w:rFonts w:ascii="Times New Roman" w:hAnsi="Times New Roman"/>
          <w:noProof/>
          <w:sz w:val="24"/>
        </w:rPr>
        <w:t>. och iv) verksamheter där långsiktigt bortskaffande av avfall kan skada miljön. Uppdragsbeskrivningen ska dessutom innehålla krav på att endast verksamheter som är förenliga med relevant EU-lagstiftning och nationell miljölagstiftning får väljas ut.</w:t>
      </w:r>
    </w:p>
    <w:p w14:paraId="68DD936F"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433D486B" w14:textId="2448C9F9" w:rsidR="00E040FD" w:rsidRDefault="00740D64">
      <w:pPr>
        <w:pStyle w:val="P68B1DB1-Normal5"/>
        <w:keepNext/>
        <w:spacing w:before="240" w:after="0" w:line="259" w:lineRule="auto"/>
        <w:ind w:left="851"/>
        <w:jc w:val="both"/>
        <w:outlineLvl w:val="2"/>
        <w:rPr>
          <w:rFonts w:eastAsiaTheme="minorEastAsia" w:cs="Times New Roman"/>
          <w:noProof/>
        </w:rPr>
      </w:pPr>
      <w:bookmarkStart w:id="27" w:name="_Toc137472461"/>
      <w:r>
        <w:rPr>
          <w:noProof/>
        </w:rPr>
        <w:t>Reform TC-C12 – r39: Främja cirkulär ekonomi och effektivare avfallshantering</w:t>
      </w:r>
      <w:bookmarkEnd w:id="27"/>
    </w:p>
    <w:p w14:paraId="210FFEF3" w14:textId="794927BC" w:rsidR="00E040FD" w:rsidRDefault="00740D64">
      <w:pPr>
        <w:pStyle w:val="P68B1DB1-Normal4"/>
        <w:spacing w:beforeLines="40" w:before="96" w:after="0" w:line="22" w:lineRule="atLeast"/>
        <w:jc w:val="both"/>
        <w:rPr>
          <w:rFonts w:cs="Times New Roman"/>
          <w:noProof/>
        </w:rPr>
      </w:pPr>
      <w:r>
        <w:rPr>
          <w:noProof/>
        </w:rPr>
        <w:t>Reformen syftar till att förbättra förebyggandet av avfall, förberedelse för återanvändning, materialåtervinning och återvinning och avledning av avfall och till att främja den cirkulära ekonomin.</w:t>
      </w:r>
    </w:p>
    <w:p w14:paraId="7DB46E17" w14:textId="77777777" w:rsidR="00E040FD" w:rsidRDefault="00740D64">
      <w:pPr>
        <w:pStyle w:val="P68B1DB1-Normal4"/>
        <w:spacing w:beforeLines="40" w:before="96" w:after="0" w:line="22" w:lineRule="atLeast"/>
        <w:rPr>
          <w:rFonts w:cs="Times New Roman"/>
          <w:noProof/>
        </w:rPr>
      </w:pPr>
      <w:r>
        <w:rPr>
          <w:noProof/>
        </w:rPr>
        <w:t xml:space="preserve">Reformen ska </w:t>
      </w:r>
    </w:p>
    <w:p w14:paraId="0DF062F1" w14:textId="109C99E2" w:rsidR="00E040FD" w:rsidRDefault="00740D64">
      <w:pPr>
        <w:pStyle w:val="ListParagraph"/>
        <w:keepNext w:val="0"/>
        <w:numPr>
          <w:ilvl w:val="0"/>
          <w:numId w:val="81"/>
        </w:numPr>
        <w:spacing w:beforeLines="40" w:before="96" w:after="0" w:line="22" w:lineRule="atLeast"/>
        <w:rPr>
          <w:noProof/>
        </w:rPr>
      </w:pPr>
      <w:r>
        <w:rPr>
          <w:noProof/>
        </w:rPr>
        <w:t>Uppmuntra till ytterligare ekodesign i tillverkade varor genom harmonisering av kriterierna för den miljömodulering som ska användas av producenterna. Dessa kriterier ska vara obligatoriska för förvaltningsenheterna (sammanslutningar som företräder producenter av produkter, förpackningsföretag och leverantörer av förpackningstjänster) för genomförandet av de integrerade system som omfattas av det utvidgade producentansvaret. Kriterierna ska säkerställa att de finansiella modellerna enligt artikel 15.3 och (4) i lagdekret nr 152/D/2017 återspeglar produktens inverkan på miljön och de faktiska kostnaderna för avfallshantering och skapar ekonomiska incitament för mer hållbara, reparerbara och återvinningsbara produkter genom att anpassa de avgifter som producenterna ska betala.</w:t>
      </w:r>
    </w:p>
    <w:p w14:paraId="5A107152" w14:textId="3322BFE2" w:rsidR="00E040FD" w:rsidRDefault="00740D64">
      <w:pPr>
        <w:pStyle w:val="ListParagraph"/>
        <w:keepNext w:val="0"/>
        <w:numPr>
          <w:ilvl w:val="0"/>
          <w:numId w:val="81"/>
        </w:numPr>
        <w:spacing w:beforeLines="40" w:before="96" w:after="0" w:line="22" w:lineRule="atLeast"/>
        <w:rPr>
          <w:noProof/>
        </w:rPr>
      </w:pPr>
      <w:r>
        <w:rPr>
          <w:noProof/>
        </w:rPr>
        <w:t>Införande av ett incitamentssystem för återvinning (pant- och återbetalningssystem) för engångsflaskor av plast, järnmetaller och aluminium.</w:t>
      </w:r>
    </w:p>
    <w:p w14:paraId="43D8325A" w14:textId="4B66E22A" w:rsidR="00E040FD" w:rsidRDefault="00740D64">
      <w:pPr>
        <w:pStyle w:val="ListParagraph"/>
        <w:keepNext w:val="0"/>
        <w:numPr>
          <w:ilvl w:val="0"/>
          <w:numId w:val="81"/>
        </w:numPr>
        <w:spacing w:beforeLines="40" w:before="96" w:after="0" w:line="22" w:lineRule="atLeast"/>
        <w:rPr>
          <w:noProof/>
        </w:rPr>
      </w:pPr>
      <w:r>
        <w:rPr>
          <w:noProof/>
        </w:rPr>
        <w:t xml:space="preserve">Efter en genomförbarhetsstudie införa ett system med incitament för återtagande av de olika kategorierna av avfall som utgörs av eller innehåller elektriska eller elektroniska produkter. </w:t>
      </w:r>
    </w:p>
    <w:p w14:paraId="58107F2F" w14:textId="6A75DFA4" w:rsidR="00E040FD" w:rsidRDefault="00740D64">
      <w:pPr>
        <w:pStyle w:val="P68B1DB1-Normal4"/>
        <w:spacing w:beforeLines="40" w:before="96" w:after="0" w:line="22" w:lineRule="atLeast"/>
        <w:rPr>
          <w:rFonts w:cs="Times New Roman"/>
          <w:noProof/>
        </w:rPr>
      </w:pPr>
      <w:r>
        <w:rPr>
          <w:noProof/>
        </w:rPr>
        <w:t>Genomförandet av reformen ska vara slutfört senast den 31 december 2025.</w:t>
      </w:r>
    </w:p>
    <w:p w14:paraId="55469554"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719F8386" w14:textId="77777777" w:rsidR="00E040FD" w:rsidRDefault="00E040FD">
      <w:pPr>
        <w:keepNext/>
        <w:spacing w:before="40" w:after="0" w:line="259" w:lineRule="auto"/>
        <w:jc w:val="both"/>
        <w:rPr>
          <w:rFonts w:ascii="Times New Roman" w:eastAsiaTheme="minorEastAsia" w:hAnsi="Times New Roman" w:cs="Times New Roman"/>
          <w:noProof/>
          <w:sz w:val="24"/>
        </w:rPr>
        <w:sectPr w:rsidR="00E040FD" w:rsidSect="00E00EDD">
          <w:headerReference w:type="even" r:id="rId246"/>
          <w:headerReference w:type="default" r:id="rId247"/>
          <w:footerReference w:type="even" r:id="rId248"/>
          <w:footerReference w:type="default" r:id="rId249"/>
          <w:headerReference w:type="first" r:id="rId250"/>
          <w:footerReference w:type="first" r:id="rId251"/>
          <w:pgSz w:w="11907" w:h="16839"/>
          <w:pgMar w:top="1134" w:right="1134" w:bottom="1134" w:left="1134" w:header="567" w:footer="567" w:gutter="0"/>
          <w:cols w:space="720"/>
          <w:docGrid w:linePitch="360"/>
        </w:sectPr>
      </w:pPr>
    </w:p>
    <w:p w14:paraId="0F85B075"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 xml:space="preserve">L.2. </w:t>
      </w:r>
      <w:r>
        <w:rPr>
          <w:noProof/>
        </w:rPr>
        <w:tab/>
        <w:t>Delmål, mål, indikatorer och tidsplan för övervakning och genomförande avseende icke återbetalningspliktigt ekonomiskt stöd</w:t>
      </w:r>
    </w:p>
    <w:p w14:paraId="16CF26E3"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E040FD" w14:paraId="100A85E9" w14:textId="77777777">
        <w:trPr>
          <w:trHeight w:val="910"/>
          <w:tblHeader/>
        </w:trPr>
        <w:tc>
          <w:tcPr>
            <w:tcW w:w="1135" w:type="dxa"/>
            <w:vMerge w:val="restart"/>
            <w:shd w:val="clear" w:color="auto" w:fill="BDD6EE"/>
            <w:vAlign w:val="center"/>
            <w:hideMark/>
          </w:tcPr>
          <w:p w14:paraId="241396A7" w14:textId="77777777" w:rsidR="00E040FD" w:rsidRDefault="00740D64">
            <w:pPr>
              <w:pStyle w:val="P68B1DB1-Normal6"/>
              <w:keepNext/>
              <w:spacing w:before="40" w:after="0" w:line="240" w:lineRule="auto"/>
              <w:jc w:val="center"/>
              <w:rPr>
                <w:rFonts w:eastAsia="Times New Roman" w:cs="Times New Roman"/>
                <w:noProof/>
              </w:rPr>
            </w:pPr>
            <w:r>
              <w:rPr>
                <w:noProof/>
              </w:rPr>
              <w:t>Löpnummer</w:t>
            </w:r>
          </w:p>
        </w:tc>
        <w:tc>
          <w:tcPr>
            <w:tcW w:w="1276" w:type="dxa"/>
            <w:vMerge w:val="restart"/>
            <w:shd w:val="clear" w:color="auto" w:fill="BDD6EE"/>
            <w:vAlign w:val="center"/>
            <w:hideMark/>
          </w:tcPr>
          <w:p w14:paraId="1E874363" w14:textId="77777777" w:rsidR="00E040FD" w:rsidRDefault="00740D64">
            <w:pPr>
              <w:pStyle w:val="P68B1DB1-Normal6"/>
              <w:keepNext/>
              <w:spacing w:before="40"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vAlign w:val="center"/>
            <w:hideMark/>
          </w:tcPr>
          <w:p w14:paraId="4630E1B7" w14:textId="031A1B2C" w:rsidR="00E040FD" w:rsidRDefault="00740D64">
            <w:pPr>
              <w:pStyle w:val="P68B1DB1-Normal6"/>
              <w:keepNext/>
              <w:spacing w:before="40" w:after="0" w:line="240" w:lineRule="auto"/>
              <w:jc w:val="center"/>
              <w:rPr>
                <w:rFonts w:eastAsia="Times New Roman" w:cs="Times New Roman"/>
                <w:noProof/>
              </w:rPr>
            </w:pPr>
            <w:r>
              <w:rPr>
                <w:noProof/>
              </w:rPr>
              <w:t>Milementon- Mål</w:t>
            </w:r>
          </w:p>
        </w:tc>
        <w:tc>
          <w:tcPr>
            <w:tcW w:w="1701" w:type="dxa"/>
            <w:vMerge w:val="restart"/>
            <w:shd w:val="clear" w:color="auto" w:fill="BDD6EE"/>
            <w:vAlign w:val="center"/>
            <w:hideMark/>
          </w:tcPr>
          <w:p w14:paraId="5C4FFE86" w14:textId="77777777" w:rsidR="00E040FD" w:rsidRDefault="00740D64">
            <w:pPr>
              <w:pStyle w:val="P68B1DB1-Normal6"/>
              <w:keepNext/>
              <w:spacing w:before="40" w:after="0" w:line="240" w:lineRule="auto"/>
              <w:jc w:val="center"/>
              <w:rPr>
                <w:rFonts w:eastAsia="Times New Roman" w:cs="Times New Roman"/>
                <w:noProof/>
              </w:rPr>
            </w:pPr>
            <w:r>
              <w:rPr>
                <w:noProof/>
              </w:rPr>
              <w:t>Namn</w:t>
            </w:r>
          </w:p>
        </w:tc>
        <w:tc>
          <w:tcPr>
            <w:tcW w:w="1275" w:type="dxa"/>
            <w:vMerge w:val="restart"/>
            <w:shd w:val="clear" w:color="auto" w:fill="BDD6EE"/>
            <w:vAlign w:val="center"/>
            <w:hideMark/>
          </w:tcPr>
          <w:p w14:paraId="03E43ABE" w14:textId="77777777" w:rsidR="00E040FD" w:rsidRDefault="00740D64">
            <w:pPr>
              <w:pStyle w:val="P68B1DB1-Normal6"/>
              <w:keepNext/>
              <w:spacing w:before="40" w:after="0" w:line="240" w:lineRule="auto"/>
              <w:jc w:val="center"/>
              <w:rPr>
                <w:rFonts w:eastAsia="Times New Roman" w:cs="Times New Roman"/>
                <w:noProof/>
              </w:rPr>
            </w:pPr>
            <w:r>
              <w:rPr>
                <w:noProof/>
              </w:rPr>
              <w:t>Kvalitativa indikatorer (för delmål)</w:t>
            </w:r>
          </w:p>
        </w:tc>
        <w:tc>
          <w:tcPr>
            <w:tcW w:w="2694" w:type="dxa"/>
            <w:gridSpan w:val="3"/>
            <w:shd w:val="clear" w:color="auto" w:fill="BDD6EE"/>
            <w:vAlign w:val="center"/>
            <w:hideMark/>
          </w:tcPr>
          <w:p w14:paraId="65AE3941" w14:textId="77777777" w:rsidR="00E040FD" w:rsidRDefault="00740D64">
            <w:pPr>
              <w:pStyle w:val="P68B1DB1-Normal6"/>
              <w:keepNext/>
              <w:spacing w:before="40"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vAlign w:val="center"/>
            <w:hideMark/>
          </w:tcPr>
          <w:p w14:paraId="67D74F39" w14:textId="77777777" w:rsidR="00E040FD" w:rsidRDefault="00740D64">
            <w:pPr>
              <w:pStyle w:val="P68B1DB1-Normal6"/>
              <w:keepNext/>
              <w:spacing w:before="40" w:after="0" w:line="240" w:lineRule="auto"/>
              <w:jc w:val="center"/>
              <w:rPr>
                <w:rFonts w:eastAsia="Times New Roman" w:cs="Times New Roman"/>
                <w:noProof/>
              </w:rPr>
            </w:pPr>
            <w:r>
              <w:rPr>
                <w:noProof/>
              </w:rPr>
              <w:t>Preliminär tidsplan för slutförande</w:t>
            </w:r>
          </w:p>
        </w:tc>
        <w:tc>
          <w:tcPr>
            <w:tcW w:w="3969" w:type="dxa"/>
            <w:vMerge w:val="restart"/>
            <w:shd w:val="clear" w:color="auto" w:fill="BDD6EE"/>
            <w:vAlign w:val="center"/>
            <w:hideMark/>
          </w:tcPr>
          <w:p w14:paraId="4A072B07" w14:textId="77777777" w:rsidR="00E040FD" w:rsidRDefault="00740D64">
            <w:pPr>
              <w:pStyle w:val="P68B1DB1-Normal6"/>
              <w:keepNext/>
              <w:spacing w:before="40" w:after="0" w:line="240" w:lineRule="auto"/>
              <w:jc w:val="center"/>
              <w:rPr>
                <w:rFonts w:eastAsia="Times New Roman" w:cs="Times New Roman"/>
                <w:noProof/>
              </w:rPr>
            </w:pPr>
            <w:r>
              <w:rPr>
                <w:noProof/>
              </w:rPr>
              <w:t>Beskrivning och tydlig definition av varje delmål och mål</w:t>
            </w:r>
          </w:p>
        </w:tc>
      </w:tr>
      <w:tr w:rsidR="00E040FD" w14:paraId="3776A702" w14:textId="77777777">
        <w:trPr>
          <w:trHeight w:val="470"/>
          <w:tblHeader/>
        </w:trPr>
        <w:tc>
          <w:tcPr>
            <w:tcW w:w="1135" w:type="dxa"/>
            <w:vMerge/>
            <w:vAlign w:val="center"/>
            <w:hideMark/>
          </w:tcPr>
          <w:p w14:paraId="7EBFF15D" w14:textId="77777777" w:rsidR="00E040FD" w:rsidRDefault="00E040FD">
            <w:pPr>
              <w:keepNext/>
              <w:spacing w:before="40" w:after="0" w:line="240" w:lineRule="auto"/>
              <w:jc w:val="both"/>
              <w:rPr>
                <w:rFonts w:ascii="Times New Roman" w:eastAsia="Times New Roman" w:hAnsi="Times New Roman" w:cs="Times New Roman"/>
                <w:b/>
                <w:noProof/>
                <w:sz w:val="18"/>
              </w:rPr>
            </w:pPr>
          </w:p>
        </w:tc>
        <w:tc>
          <w:tcPr>
            <w:tcW w:w="1276" w:type="dxa"/>
            <w:vMerge/>
            <w:vAlign w:val="center"/>
            <w:hideMark/>
          </w:tcPr>
          <w:p w14:paraId="249B860E" w14:textId="77777777" w:rsidR="00E040FD" w:rsidRDefault="00E040FD">
            <w:pPr>
              <w:keepNext/>
              <w:spacing w:before="40" w:after="0" w:line="240" w:lineRule="auto"/>
              <w:jc w:val="both"/>
              <w:rPr>
                <w:rFonts w:ascii="Times New Roman" w:eastAsia="Times New Roman" w:hAnsi="Times New Roman" w:cs="Times New Roman"/>
                <w:b/>
                <w:noProof/>
                <w:sz w:val="18"/>
              </w:rPr>
            </w:pPr>
          </w:p>
        </w:tc>
        <w:tc>
          <w:tcPr>
            <w:tcW w:w="1134" w:type="dxa"/>
            <w:vMerge/>
            <w:shd w:val="clear" w:color="auto" w:fill="BDD6EE"/>
            <w:vAlign w:val="center"/>
            <w:hideMark/>
          </w:tcPr>
          <w:p w14:paraId="7D7297EE" w14:textId="160E856C" w:rsidR="00E040FD" w:rsidRDefault="00E040FD">
            <w:pPr>
              <w:keepNext/>
              <w:spacing w:before="40" w:after="0" w:line="240" w:lineRule="auto"/>
              <w:jc w:val="center"/>
              <w:rPr>
                <w:rFonts w:ascii="Times New Roman" w:eastAsia="Times New Roman" w:hAnsi="Times New Roman" w:cs="Times New Roman"/>
                <w:b/>
                <w:noProof/>
                <w:sz w:val="14"/>
              </w:rPr>
            </w:pPr>
          </w:p>
        </w:tc>
        <w:tc>
          <w:tcPr>
            <w:tcW w:w="1701" w:type="dxa"/>
            <w:vMerge/>
            <w:vAlign w:val="center"/>
            <w:hideMark/>
          </w:tcPr>
          <w:p w14:paraId="303B854A" w14:textId="77777777" w:rsidR="00E040FD" w:rsidRDefault="00E040FD">
            <w:pPr>
              <w:keepNext/>
              <w:spacing w:before="40" w:after="0" w:line="240" w:lineRule="auto"/>
              <w:jc w:val="both"/>
              <w:rPr>
                <w:rFonts w:ascii="Times New Roman" w:eastAsia="Times New Roman" w:hAnsi="Times New Roman" w:cs="Times New Roman"/>
                <w:b/>
                <w:noProof/>
                <w:sz w:val="18"/>
              </w:rPr>
            </w:pPr>
          </w:p>
        </w:tc>
        <w:tc>
          <w:tcPr>
            <w:tcW w:w="1275" w:type="dxa"/>
            <w:vMerge/>
            <w:vAlign w:val="center"/>
            <w:hideMark/>
          </w:tcPr>
          <w:p w14:paraId="76753D39" w14:textId="77777777" w:rsidR="00E040FD" w:rsidRDefault="00E040FD">
            <w:pPr>
              <w:keepNext/>
              <w:spacing w:before="40" w:after="0" w:line="240" w:lineRule="auto"/>
              <w:jc w:val="both"/>
              <w:rPr>
                <w:rFonts w:ascii="Times New Roman" w:eastAsia="Times New Roman" w:hAnsi="Times New Roman" w:cs="Times New Roman"/>
                <w:b/>
                <w:noProof/>
                <w:sz w:val="18"/>
              </w:rPr>
            </w:pPr>
          </w:p>
        </w:tc>
        <w:tc>
          <w:tcPr>
            <w:tcW w:w="993" w:type="dxa"/>
            <w:shd w:val="clear" w:color="auto" w:fill="BDD6EE"/>
            <w:vAlign w:val="center"/>
            <w:hideMark/>
          </w:tcPr>
          <w:p w14:paraId="0ABAAFA4" w14:textId="77777777" w:rsidR="00E040FD" w:rsidRDefault="00740D64">
            <w:pPr>
              <w:pStyle w:val="P68B1DB1-Normal6"/>
              <w:keepNext/>
              <w:spacing w:before="40" w:after="0" w:line="240" w:lineRule="auto"/>
              <w:jc w:val="center"/>
              <w:rPr>
                <w:rFonts w:eastAsia="Times New Roman" w:cs="Times New Roman"/>
                <w:noProof/>
              </w:rPr>
            </w:pPr>
            <w:r>
              <w:rPr>
                <w:noProof/>
              </w:rPr>
              <w:t>Enhet för åtgärd</w:t>
            </w:r>
          </w:p>
        </w:tc>
        <w:tc>
          <w:tcPr>
            <w:tcW w:w="992" w:type="dxa"/>
            <w:shd w:val="clear" w:color="auto" w:fill="BDD6EE"/>
            <w:vAlign w:val="center"/>
            <w:hideMark/>
          </w:tcPr>
          <w:p w14:paraId="36F0EAD7" w14:textId="77777777" w:rsidR="00E040FD" w:rsidRDefault="00740D64">
            <w:pPr>
              <w:pStyle w:val="P68B1DB1-Normal6"/>
              <w:keepNext/>
              <w:spacing w:before="40" w:after="0" w:line="240" w:lineRule="auto"/>
              <w:jc w:val="center"/>
              <w:rPr>
                <w:rFonts w:eastAsia="Times New Roman" w:cs="Times New Roman"/>
                <w:noProof/>
              </w:rPr>
            </w:pPr>
            <w:r>
              <w:rPr>
                <w:noProof/>
              </w:rPr>
              <w:t>Baslinjen</w:t>
            </w:r>
          </w:p>
        </w:tc>
        <w:tc>
          <w:tcPr>
            <w:tcW w:w="709" w:type="dxa"/>
            <w:shd w:val="clear" w:color="auto" w:fill="BDD6EE"/>
            <w:vAlign w:val="center"/>
            <w:hideMark/>
          </w:tcPr>
          <w:p w14:paraId="536DFFCA" w14:textId="77777777" w:rsidR="00E040FD" w:rsidRDefault="00740D64">
            <w:pPr>
              <w:pStyle w:val="P68B1DB1-Normal6"/>
              <w:keepNext/>
              <w:spacing w:before="40" w:after="0" w:line="240" w:lineRule="auto"/>
              <w:jc w:val="center"/>
              <w:rPr>
                <w:rFonts w:eastAsia="Times New Roman" w:cs="Times New Roman"/>
                <w:noProof/>
              </w:rPr>
            </w:pPr>
            <w:r>
              <w:rPr>
                <w:noProof/>
              </w:rPr>
              <w:t>Mål</w:t>
            </w:r>
          </w:p>
        </w:tc>
        <w:tc>
          <w:tcPr>
            <w:tcW w:w="567" w:type="dxa"/>
            <w:shd w:val="clear" w:color="auto" w:fill="BDD6EE"/>
            <w:vAlign w:val="center"/>
            <w:hideMark/>
          </w:tcPr>
          <w:p w14:paraId="3DFABF60" w14:textId="77777777" w:rsidR="00E040FD" w:rsidRDefault="00740D64">
            <w:pPr>
              <w:pStyle w:val="P68B1DB1-Normal6"/>
              <w:keepNext/>
              <w:spacing w:before="40" w:after="0" w:line="240" w:lineRule="auto"/>
              <w:jc w:val="center"/>
              <w:rPr>
                <w:rFonts w:eastAsia="Times New Roman" w:cs="Times New Roman"/>
                <w:noProof/>
              </w:rPr>
            </w:pPr>
            <w:r>
              <w:rPr>
                <w:noProof/>
              </w:rPr>
              <w:t>Q</w:t>
            </w:r>
          </w:p>
        </w:tc>
        <w:tc>
          <w:tcPr>
            <w:tcW w:w="708" w:type="dxa"/>
            <w:shd w:val="clear" w:color="auto" w:fill="BDD6EE"/>
            <w:vAlign w:val="center"/>
            <w:hideMark/>
          </w:tcPr>
          <w:p w14:paraId="578C9B4B" w14:textId="77777777" w:rsidR="00E040FD" w:rsidRDefault="00740D64">
            <w:pPr>
              <w:pStyle w:val="P68B1DB1-Normal6"/>
              <w:keepNext/>
              <w:spacing w:before="40" w:after="0" w:line="240" w:lineRule="auto"/>
              <w:jc w:val="center"/>
              <w:rPr>
                <w:rFonts w:eastAsia="Times New Roman" w:cs="Times New Roman"/>
                <w:noProof/>
              </w:rPr>
            </w:pPr>
            <w:r>
              <w:rPr>
                <w:noProof/>
              </w:rPr>
              <w:t>Året</w:t>
            </w:r>
          </w:p>
        </w:tc>
        <w:tc>
          <w:tcPr>
            <w:tcW w:w="3969" w:type="dxa"/>
            <w:vMerge/>
            <w:vAlign w:val="center"/>
            <w:hideMark/>
          </w:tcPr>
          <w:p w14:paraId="482E68C8" w14:textId="77777777" w:rsidR="00E040FD" w:rsidRDefault="00E040FD">
            <w:pPr>
              <w:keepNext/>
              <w:spacing w:before="40" w:after="0" w:line="240" w:lineRule="auto"/>
              <w:jc w:val="both"/>
              <w:rPr>
                <w:rFonts w:ascii="Times New Roman" w:eastAsia="Times New Roman" w:hAnsi="Times New Roman" w:cs="Times New Roman"/>
                <w:b/>
                <w:noProof/>
                <w:sz w:val="18"/>
              </w:rPr>
            </w:pPr>
          </w:p>
        </w:tc>
      </w:tr>
      <w:tr w:rsidR="00E040FD" w14:paraId="635E01FA" w14:textId="77777777">
        <w:trPr>
          <w:trHeight w:val="509"/>
        </w:trPr>
        <w:tc>
          <w:tcPr>
            <w:tcW w:w="1135" w:type="dxa"/>
            <w:vMerge w:val="restart"/>
            <w:shd w:val="clear" w:color="auto" w:fill="C4EFCE"/>
            <w:vAlign w:val="center"/>
            <w:hideMark/>
          </w:tcPr>
          <w:p w14:paraId="5DF1D636" w14:textId="77777777" w:rsidR="00E040FD" w:rsidRDefault="00740D64">
            <w:pPr>
              <w:pStyle w:val="P68B1DB1-Normal7"/>
              <w:keepNext/>
              <w:spacing w:before="40" w:after="0" w:line="240" w:lineRule="auto"/>
              <w:jc w:val="center"/>
              <w:rPr>
                <w:rFonts w:eastAsia="Times New Roman" w:cs="Calibri"/>
                <w:noProof/>
              </w:rPr>
            </w:pPr>
            <w:r>
              <w:rPr>
                <w:noProof/>
              </w:rPr>
              <w:t>12.1</w:t>
            </w:r>
          </w:p>
        </w:tc>
        <w:tc>
          <w:tcPr>
            <w:tcW w:w="1276" w:type="dxa"/>
            <w:vMerge w:val="restart"/>
            <w:shd w:val="clear" w:color="auto" w:fill="C4EFCE"/>
            <w:noWrap/>
            <w:vAlign w:val="center"/>
            <w:hideMark/>
          </w:tcPr>
          <w:p w14:paraId="21B3B155" w14:textId="77777777" w:rsidR="00E040FD" w:rsidRDefault="00740D64">
            <w:pPr>
              <w:pStyle w:val="P68B1DB1-Normal8"/>
              <w:keepNext/>
              <w:spacing w:before="40" w:after="0" w:line="240" w:lineRule="auto"/>
              <w:jc w:val="center"/>
              <w:rPr>
                <w:rFonts w:eastAsia="Times New Roman" w:cs="Calibri"/>
                <w:noProof/>
              </w:rPr>
            </w:pPr>
            <w:r>
              <w:rPr>
                <w:noProof/>
              </w:rPr>
              <w:t>TC-C12-I01</w:t>
            </w:r>
          </w:p>
        </w:tc>
        <w:tc>
          <w:tcPr>
            <w:tcW w:w="1134" w:type="dxa"/>
            <w:vMerge w:val="restart"/>
            <w:shd w:val="clear" w:color="auto" w:fill="C4EFCE"/>
            <w:noWrap/>
            <w:vAlign w:val="center"/>
            <w:hideMark/>
          </w:tcPr>
          <w:p w14:paraId="05A6C9F2" w14:textId="77777777" w:rsidR="00E040FD" w:rsidRDefault="00740D64">
            <w:pPr>
              <w:pStyle w:val="P68B1DB1-Normal8"/>
              <w:keepNext/>
              <w:spacing w:before="40" w:after="0" w:line="240" w:lineRule="auto"/>
              <w:jc w:val="center"/>
              <w:rPr>
                <w:rFonts w:eastAsia="Times New Roman" w:cs="Calibri"/>
                <w:noProof/>
              </w:rPr>
            </w:pPr>
            <w:r>
              <w:rPr>
                <w:noProof/>
              </w:rPr>
              <w:t>M</w:t>
            </w:r>
          </w:p>
        </w:tc>
        <w:tc>
          <w:tcPr>
            <w:tcW w:w="1701" w:type="dxa"/>
            <w:vMerge w:val="restart"/>
            <w:shd w:val="clear" w:color="auto" w:fill="C4EFCE"/>
            <w:noWrap/>
            <w:vAlign w:val="center"/>
            <w:hideMark/>
          </w:tcPr>
          <w:p w14:paraId="6A9E0800" w14:textId="77777777" w:rsidR="00E040FD" w:rsidRDefault="00740D64">
            <w:pPr>
              <w:pStyle w:val="P68B1DB1-Normal8"/>
              <w:keepNext/>
              <w:spacing w:before="40" w:after="0" w:line="240" w:lineRule="auto"/>
              <w:jc w:val="center"/>
              <w:rPr>
                <w:rFonts w:eastAsia="Times New Roman" w:cs="Calibri"/>
                <w:noProof/>
              </w:rPr>
            </w:pPr>
            <w:r>
              <w:rPr>
                <w:noProof/>
              </w:rPr>
              <w:t xml:space="preserve">Undertecknande av 2021 års protokoll till programmet Resineiros Vigilantes </w:t>
            </w:r>
          </w:p>
        </w:tc>
        <w:tc>
          <w:tcPr>
            <w:tcW w:w="1275" w:type="dxa"/>
            <w:vMerge w:val="restart"/>
            <w:shd w:val="clear" w:color="auto" w:fill="C4EFCE"/>
            <w:noWrap/>
            <w:vAlign w:val="center"/>
            <w:hideMark/>
          </w:tcPr>
          <w:p w14:paraId="4BA5E5F4" w14:textId="77777777" w:rsidR="00E040FD" w:rsidRDefault="00740D64">
            <w:pPr>
              <w:pStyle w:val="P68B1DB1-Normal8"/>
              <w:keepNext/>
              <w:spacing w:before="40" w:after="0" w:line="240" w:lineRule="auto"/>
              <w:jc w:val="center"/>
              <w:rPr>
                <w:rFonts w:eastAsia="Times New Roman" w:cs="Calibri"/>
                <w:noProof/>
              </w:rPr>
            </w:pPr>
            <w:r>
              <w:rPr>
                <w:noProof/>
              </w:rPr>
              <w:t xml:space="preserve"> Undertecknande av 2021 års protokoll till programmet Resineiros Vigilantes</w:t>
            </w:r>
          </w:p>
        </w:tc>
        <w:tc>
          <w:tcPr>
            <w:tcW w:w="993" w:type="dxa"/>
            <w:vMerge w:val="restart"/>
            <w:shd w:val="clear" w:color="auto" w:fill="C4EFCE"/>
            <w:noWrap/>
            <w:vAlign w:val="center"/>
            <w:hideMark/>
          </w:tcPr>
          <w:p w14:paraId="3673A871"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92" w:type="dxa"/>
            <w:vMerge w:val="restart"/>
            <w:shd w:val="clear" w:color="auto" w:fill="C4EFCE"/>
            <w:noWrap/>
            <w:vAlign w:val="center"/>
            <w:hideMark/>
          </w:tcPr>
          <w:p w14:paraId="0E11D8FC"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709" w:type="dxa"/>
            <w:vMerge w:val="restart"/>
            <w:shd w:val="clear" w:color="auto" w:fill="C4EFCE"/>
            <w:noWrap/>
            <w:vAlign w:val="center"/>
            <w:hideMark/>
          </w:tcPr>
          <w:p w14:paraId="5DBDFE88"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567" w:type="dxa"/>
            <w:vMerge w:val="restart"/>
            <w:shd w:val="clear" w:color="auto" w:fill="C4EFCE"/>
            <w:noWrap/>
            <w:vAlign w:val="center"/>
            <w:hideMark/>
          </w:tcPr>
          <w:p w14:paraId="5CDA9014" w14:textId="77777777" w:rsidR="00E040FD" w:rsidRDefault="00740D64">
            <w:pPr>
              <w:pStyle w:val="P68B1DB1-Normal8"/>
              <w:keepNext/>
              <w:spacing w:before="40" w:after="0" w:line="240" w:lineRule="auto"/>
              <w:jc w:val="center"/>
              <w:rPr>
                <w:rFonts w:eastAsia="Times New Roman" w:cs="Calibri"/>
                <w:noProof/>
              </w:rPr>
            </w:pPr>
            <w:r>
              <w:rPr>
                <w:noProof/>
              </w:rPr>
              <w:t>KVARTAL 3</w:t>
            </w:r>
          </w:p>
        </w:tc>
        <w:tc>
          <w:tcPr>
            <w:tcW w:w="708" w:type="dxa"/>
            <w:vMerge w:val="restart"/>
            <w:shd w:val="clear" w:color="auto" w:fill="C4EFCE"/>
            <w:noWrap/>
            <w:vAlign w:val="center"/>
            <w:hideMark/>
          </w:tcPr>
          <w:p w14:paraId="47D645F4" w14:textId="77777777" w:rsidR="00E040FD" w:rsidRDefault="00740D64">
            <w:pPr>
              <w:pStyle w:val="P68B1DB1-Normal8"/>
              <w:keepNext/>
              <w:spacing w:before="40" w:after="0" w:line="240" w:lineRule="auto"/>
              <w:jc w:val="center"/>
              <w:rPr>
                <w:rFonts w:eastAsia="Times New Roman" w:cs="Calibri"/>
                <w:noProof/>
              </w:rPr>
            </w:pPr>
            <w:r>
              <w:rPr>
                <w:noProof/>
              </w:rPr>
              <w:t>2021</w:t>
            </w:r>
          </w:p>
        </w:tc>
        <w:tc>
          <w:tcPr>
            <w:tcW w:w="3969" w:type="dxa"/>
            <w:vMerge w:val="restart"/>
            <w:shd w:val="clear" w:color="auto" w:fill="C4EFCE"/>
            <w:vAlign w:val="center"/>
            <w:hideMark/>
          </w:tcPr>
          <w:p w14:paraId="024670B2" w14:textId="77777777" w:rsidR="00E040FD" w:rsidRDefault="00740D64">
            <w:pPr>
              <w:pStyle w:val="P68B1DB1-Normal8"/>
              <w:keepNext/>
              <w:spacing w:before="40" w:after="0" w:line="240" w:lineRule="auto"/>
              <w:jc w:val="both"/>
              <w:rPr>
                <w:rFonts w:eastAsia="Times New Roman" w:cs="Calibri"/>
                <w:noProof/>
              </w:rPr>
            </w:pPr>
            <w:r>
              <w:rPr>
                <w:noProof/>
              </w:rPr>
              <w:t>Ingående av protokollet mellan institutet för natur- och skogsskydd, I.P. och den nationella branschorganisationen för hartsodlare (Resipinus) för övervakning och upptäckt av bränder på landsbygden.</w:t>
            </w:r>
          </w:p>
        </w:tc>
      </w:tr>
      <w:tr w:rsidR="00E040FD" w14:paraId="5DB127A4" w14:textId="77777777">
        <w:trPr>
          <w:trHeight w:val="509"/>
        </w:trPr>
        <w:tc>
          <w:tcPr>
            <w:tcW w:w="1135" w:type="dxa"/>
            <w:vMerge/>
            <w:vAlign w:val="center"/>
            <w:hideMark/>
          </w:tcPr>
          <w:p w14:paraId="287EBF32" w14:textId="77777777" w:rsidR="00E040FD" w:rsidRDefault="00E040FD">
            <w:pPr>
              <w:keepNext/>
              <w:spacing w:before="40" w:after="0" w:line="240" w:lineRule="auto"/>
              <w:jc w:val="both"/>
              <w:rPr>
                <w:rFonts w:ascii="Calibri" w:eastAsia="Times New Roman" w:hAnsi="Calibri" w:cs="Calibri"/>
                <w:b/>
                <w:noProof/>
                <w:sz w:val="16"/>
              </w:rPr>
            </w:pPr>
          </w:p>
        </w:tc>
        <w:tc>
          <w:tcPr>
            <w:tcW w:w="1276" w:type="dxa"/>
            <w:vMerge/>
            <w:vAlign w:val="center"/>
            <w:hideMark/>
          </w:tcPr>
          <w:p w14:paraId="2179B6CF" w14:textId="77777777" w:rsidR="00E040FD" w:rsidRDefault="00E040FD">
            <w:pPr>
              <w:keepNext/>
              <w:spacing w:before="40" w:after="0" w:line="240" w:lineRule="auto"/>
              <w:jc w:val="both"/>
              <w:rPr>
                <w:rFonts w:ascii="Calibri" w:eastAsia="Times New Roman" w:hAnsi="Calibri" w:cs="Calibri"/>
                <w:noProof/>
                <w:sz w:val="16"/>
              </w:rPr>
            </w:pPr>
          </w:p>
        </w:tc>
        <w:tc>
          <w:tcPr>
            <w:tcW w:w="1134" w:type="dxa"/>
            <w:vMerge/>
            <w:vAlign w:val="center"/>
            <w:hideMark/>
          </w:tcPr>
          <w:p w14:paraId="5566EE47" w14:textId="77777777" w:rsidR="00E040FD" w:rsidRDefault="00E040FD">
            <w:pPr>
              <w:keepNext/>
              <w:spacing w:before="40" w:after="0" w:line="240" w:lineRule="auto"/>
              <w:jc w:val="both"/>
              <w:rPr>
                <w:rFonts w:ascii="Calibri" w:eastAsia="Times New Roman" w:hAnsi="Calibri" w:cs="Calibri"/>
                <w:noProof/>
                <w:sz w:val="16"/>
              </w:rPr>
            </w:pPr>
          </w:p>
        </w:tc>
        <w:tc>
          <w:tcPr>
            <w:tcW w:w="1701" w:type="dxa"/>
            <w:vMerge/>
            <w:vAlign w:val="center"/>
            <w:hideMark/>
          </w:tcPr>
          <w:p w14:paraId="68CFF3C8" w14:textId="77777777" w:rsidR="00E040FD" w:rsidRDefault="00E040FD">
            <w:pPr>
              <w:keepNext/>
              <w:spacing w:before="40" w:after="0" w:line="240" w:lineRule="auto"/>
              <w:jc w:val="both"/>
              <w:rPr>
                <w:rFonts w:ascii="Calibri" w:eastAsia="Times New Roman" w:hAnsi="Calibri" w:cs="Calibri"/>
                <w:noProof/>
                <w:sz w:val="16"/>
              </w:rPr>
            </w:pPr>
          </w:p>
        </w:tc>
        <w:tc>
          <w:tcPr>
            <w:tcW w:w="1275" w:type="dxa"/>
            <w:vMerge/>
            <w:vAlign w:val="center"/>
            <w:hideMark/>
          </w:tcPr>
          <w:p w14:paraId="0CC81F45" w14:textId="77777777" w:rsidR="00E040FD" w:rsidRDefault="00E040FD">
            <w:pPr>
              <w:keepNext/>
              <w:spacing w:before="40" w:after="0" w:line="240" w:lineRule="auto"/>
              <w:jc w:val="both"/>
              <w:rPr>
                <w:rFonts w:ascii="Calibri" w:eastAsia="Times New Roman" w:hAnsi="Calibri" w:cs="Calibri"/>
                <w:noProof/>
                <w:sz w:val="16"/>
              </w:rPr>
            </w:pPr>
          </w:p>
        </w:tc>
        <w:tc>
          <w:tcPr>
            <w:tcW w:w="993" w:type="dxa"/>
            <w:vMerge/>
            <w:vAlign w:val="center"/>
            <w:hideMark/>
          </w:tcPr>
          <w:p w14:paraId="746444D9" w14:textId="77777777" w:rsidR="00E040FD" w:rsidRDefault="00E040FD">
            <w:pPr>
              <w:keepNext/>
              <w:spacing w:before="40" w:after="0" w:line="240" w:lineRule="auto"/>
              <w:jc w:val="both"/>
              <w:rPr>
                <w:rFonts w:ascii="Calibri" w:eastAsia="Times New Roman" w:hAnsi="Calibri" w:cs="Calibri"/>
                <w:noProof/>
                <w:sz w:val="16"/>
              </w:rPr>
            </w:pPr>
          </w:p>
        </w:tc>
        <w:tc>
          <w:tcPr>
            <w:tcW w:w="992" w:type="dxa"/>
            <w:vMerge/>
            <w:vAlign w:val="center"/>
            <w:hideMark/>
          </w:tcPr>
          <w:p w14:paraId="45B22E2B" w14:textId="77777777" w:rsidR="00E040FD" w:rsidRDefault="00E040FD">
            <w:pPr>
              <w:keepNext/>
              <w:spacing w:before="40" w:after="0" w:line="240" w:lineRule="auto"/>
              <w:jc w:val="both"/>
              <w:rPr>
                <w:rFonts w:ascii="Calibri" w:eastAsia="Times New Roman" w:hAnsi="Calibri" w:cs="Calibri"/>
                <w:noProof/>
                <w:sz w:val="16"/>
              </w:rPr>
            </w:pPr>
          </w:p>
        </w:tc>
        <w:tc>
          <w:tcPr>
            <w:tcW w:w="709" w:type="dxa"/>
            <w:vMerge/>
            <w:vAlign w:val="center"/>
            <w:hideMark/>
          </w:tcPr>
          <w:p w14:paraId="5FA212D8" w14:textId="77777777" w:rsidR="00E040FD" w:rsidRDefault="00E040FD">
            <w:pPr>
              <w:keepNext/>
              <w:spacing w:before="40" w:after="0" w:line="240" w:lineRule="auto"/>
              <w:jc w:val="both"/>
              <w:rPr>
                <w:rFonts w:ascii="Calibri" w:eastAsia="Times New Roman" w:hAnsi="Calibri" w:cs="Calibri"/>
                <w:noProof/>
                <w:sz w:val="16"/>
              </w:rPr>
            </w:pPr>
          </w:p>
        </w:tc>
        <w:tc>
          <w:tcPr>
            <w:tcW w:w="567" w:type="dxa"/>
            <w:vMerge/>
            <w:vAlign w:val="center"/>
            <w:hideMark/>
          </w:tcPr>
          <w:p w14:paraId="67B9BF89" w14:textId="77777777" w:rsidR="00E040FD" w:rsidRDefault="00E040FD">
            <w:pPr>
              <w:keepNext/>
              <w:spacing w:before="40" w:after="0" w:line="240" w:lineRule="auto"/>
              <w:jc w:val="both"/>
              <w:rPr>
                <w:rFonts w:ascii="Calibri" w:eastAsia="Times New Roman" w:hAnsi="Calibri" w:cs="Calibri"/>
                <w:noProof/>
                <w:sz w:val="16"/>
              </w:rPr>
            </w:pPr>
          </w:p>
        </w:tc>
        <w:tc>
          <w:tcPr>
            <w:tcW w:w="708" w:type="dxa"/>
            <w:vMerge/>
            <w:vAlign w:val="center"/>
            <w:hideMark/>
          </w:tcPr>
          <w:p w14:paraId="5BF5C728" w14:textId="77777777" w:rsidR="00E040FD" w:rsidRDefault="00E040FD">
            <w:pPr>
              <w:keepNext/>
              <w:spacing w:before="40" w:after="0" w:line="240" w:lineRule="auto"/>
              <w:jc w:val="both"/>
              <w:rPr>
                <w:rFonts w:ascii="Calibri" w:eastAsia="Times New Roman" w:hAnsi="Calibri" w:cs="Calibri"/>
                <w:noProof/>
                <w:sz w:val="16"/>
              </w:rPr>
            </w:pPr>
          </w:p>
        </w:tc>
        <w:tc>
          <w:tcPr>
            <w:tcW w:w="3969" w:type="dxa"/>
            <w:vMerge/>
            <w:vAlign w:val="center"/>
            <w:hideMark/>
          </w:tcPr>
          <w:p w14:paraId="7EE621F1" w14:textId="77777777" w:rsidR="00E040FD" w:rsidRDefault="00E040FD">
            <w:pPr>
              <w:keepNext/>
              <w:spacing w:before="40" w:after="0" w:line="240" w:lineRule="auto"/>
              <w:jc w:val="both"/>
              <w:rPr>
                <w:rFonts w:ascii="Calibri" w:eastAsia="Times New Roman" w:hAnsi="Calibri" w:cs="Calibri"/>
                <w:noProof/>
                <w:sz w:val="16"/>
              </w:rPr>
            </w:pPr>
          </w:p>
        </w:tc>
      </w:tr>
      <w:tr w:rsidR="00E040FD" w14:paraId="67ABFFD7" w14:textId="77777777">
        <w:trPr>
          <w:trHeight w:val="630"/>
        </w:trPr>
        <w:tc>
          <w:tcPr>
            <w:tcW w:w="1135" w:type="dxa"/>
            <w:shd w:val="clear" w:color="auto" w:fill="C4EFCE"/>
            <w:vAlign w:val="center"/>
            <w:hideMark/>
          </w:tcPr>
          <w:p w14:paraId="704A999D" w14:textId="77777777" w:rsidR="00E040FD" w:rsidRDefault="00740D64">
            <w:pPr>
              <w:pStyle w:val="P68B1DB1-Normal7"/>
              <w:keepNext/>
              <w:spacing w:before="40" w:after="0" w:line="240" w:lineRule="auto"/>
              <w:jc w:val="center"/>
              <w:rPr>
                <w:rFonts w:eastAsia="Times New Roman" w:cs="Calibri"/>
                <w:noProof/>
              </w:rPr>
            </w:pPr>
            <w:r>
              <w:rPr>
                <w:noProof/>
              </w:rPr>
              <w:t>12.2</w:t>
            </w:r>
          </w:p>
        </w:tc>
        <w:tc>
          <w:tcPr>
            <w:tcW w:w="1276" w:type="dxa"/>
            <w:shd w:val="clear" w:color="auto" w:fill="C4EFCE"/>
            <w:noWrap/>
            <w:vAlign w:val="center"/>
            <w:hideMark/>
          </w:tcPr>
          <w:p w14:paraId="78F41078" w14:textId="77777777" w:rsidR="00E040FD" w:rsidRDefault="00740D64">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4628D649" w14:textId="77777777" w:rsidR="00E040FD" w:rsidRDefault="00740D64">
            <w:pPr>
              <w:pStyle w:val="P68B1DB1-Normal8"/>
              <w:keepNext/>
              <w:spacing w:before="40" w:after="0" w:line="240" w:lineRule="auto"/>
              <w:jc w:val="center"/>
              <w:rPr>
                <w:rFonts w:eastAsia="Times New Roman" w:cs="Calibri"/>
                <w:noProof/>
              </w:rPr>
            </w:pPr>
            <w:r>
              <w:rPr>
                <w:noProof/>
              </w:rPr>
              <w:t>M</w:t>
            </w:r>
          </w:p>
        </w:tc>
        <w:tc>
          <w:tcPr>
            <w:tcW w:w="1701" w:type="dxa"/>
            <w:shd w:val="clear" w:color="auto" w:fill="C4EFCE"/>
            <w:noWrap/>
            <w:vAlign w:val="center"/>
            <w:hideMark/>
          </w:tcPr>
          <w:p w14:paraId="27B190C1" w14:textId="77777777" w:rsidR="00E040FD" w:rsidRDefault="00740D64">
            <w:pPr>
              <w:pStyle w:val="P68B1DB1-Normal8"/>
              <w:keepNext/>
              <w:spacing w:before="40" w:after="0" w:line="240" w:lineRule="auto"/>
              <w:jc w:val="center"/>
              <w:rPr>
                <w:rFonts w:eastAsia="Times New Roman" w:cs="Calibri"/>
                <w:noProof/>
              </w:rPr>
            </w:pPr>
            <w:r>
              <w:rPr>
                <w:noProof/>
              </w:rPr>
              <w:t>Godkännande av de projekt som lagts fram av konsortierna för utveckling av nya bioekonomiska produkter, ny teknik och nya processer inom textil- och beklädnadssektorn, skodons- och naturhartssektorn</w:t>
            </w:r>
          </w:p>
        </w:tc>
        <w:tc>
          <w:tcPr>
            <w:tcW w:w="1275" w:type="dxa"/>
            <w:shd w:val="clear" w:color="auto" w:fill="C4EFCE"/>
            <w:noWrap/>
            <w:vAlign w:val="center"/>
            <w:hideMark/>
          </w:tcPr>
          <w:p w14:paraId="620AF49C" w14:textId="77777777" w:rsidR="00E040FD" w:rsidRDefault="00740D64">
            <w:pPr>
              <w:pStyle w:val="P68B1DB1-Normal8"/>
              <w:keepNext/>
              <w:spacing w:before="40" w:after="0" w:line="240" w:lineRule="auto"/>
              <w:jc w:val="center"/>
              <w:rPr>
                <w:rFonts w:eastAsia="Times New Roman" w:cs="Calibri"/>
                <w:noProof/>
              </w:rPr>
            </w:pPr>
            <w:r>
              <w:rPr>
                <w:noProof/>
              </w:rPr>
              <w:t>Godkännande av projekt för utveckling av nya bioekonomiska produkter, tekniker och processer</w:t>
            </w:r>
          </w:p>
        </w:tc>
        <w:tc>
          <w:tcPr>
            <w:tcW w:w="993" w:type="dxa"/>
            <w:shd w:val="clear" w:color="auto" w:fill="C4EFCE"/>
            <w:noWrap/>
            <w:vAlign w:val="center"/>
            <w:hideMark/>
          </w:tcPr>
          <w:p w14:paraId="5956DCDC"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92" w:type="dxa"/>
            <w:shd w:val="clear" w:color="auto" w:fill="C4EFCE"/>
            <w:noWrap/>
            <w:vAlign w:val="center"/>
            <w:hideMark/>
          </w:tcPr>
          <w:p w14:paraId="7463DC1B"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709" w:type="dxa"/>
            <w:shd w:val="clear" w:color="auto" w:fill="C4EFCE"/>
            <w:noWrap/>
            <w:vAlign w:val="center"/>
            <w:hideMark/>
          </w:tcPr>
          <w:p w14:paraId="35FFDF23"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567" w:type="dxa"/>
            <w:shd w:val="clear" w:color="auto" w:fill="C4EFCE"/>
            <w:noWrap/>
            <w:vAlign w:val="center"/>
            <w:hideMark/>
          </w:tcPr>
          <w:p w14:paraId="342007C6" w14:textId="77777777" w:rsidR="00E040FD" w:rsidRDefault="00740D64">
            <w:pPr>
              <w:pStyle w:val="P68B1DB1-Normal8"/>
              <w:keepNext/>
              <w:spacing w:before="40"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4BD70A66" w14:textId="77777777" w:rsidR="00E040FD" w:rsidRDefault="00740D64">
            <w:pPr>
              <w:pStyle w:val="P68B1DB1-Normal8"/>
              <w:keepNext/>
              <w:spacing w:before="40" w:after="0" w:line="240" w:lineRule="auto"/>
              <w:jc w:val="center"/>
              <w:rPr>
                <w:rFonts w:eastAsia="Times New Roman" w:cs="Calibri"/>
                <w:noProof/>
              </w:rPr>
            </w:pPr>
            <w:r>
              <w:rPr>
                <w:noProof/>
              </w:rPr>
              <w:t>2022</w:t>
            </w:r>
          </w:p>
        </w:tc>
        <w:tc>
          <w:tcPr>
            <w:tcW w:w="3969" w:type="dxa"/>
            <w:shd w:val="clear" w:color="auto" w:fill="C4EFCE"/>
            <w:vAlign w:val="center"/>
            <w:hideMark/>
          </w:tcPr>
          <w:p w14:paraId="0EDAFC67" w14:textId="77777777" w:rsidR="00E040FD" w:rsidRDefault="00740D64">
            <w:pPr>
              <w:pStyle w:val="P68B1DB1-Normal8"/>
              <w:keepNext/>
              <w:spacing w:before="40" w:after="0" w:line="240" w:lineRule="auto"/>
              <w:jc w:val="both"/>
              <w:rPr>
                <w:rFonts w:eastAsia="Times New Roman" w:cs="Calibri"/>
                <w:noProof/>
              </w:rPr>
            </w:pPr>
            <w:r>
              <w:rPr>
                <w:noProof/>
              </w:rPr>
              <w:t xml:space="preserve">Urvalskommitténs godkännande av de projekt som lagts fram av konsortierna för utveckling av nya bioekonomiska produkter, tekniker och processer inom textil- och beklädnadssektorn, skodons- och naturhartssektorn. </w:t>
            </w:r>
          </w:p>
          <w:p w14:paraId="7E2CA1C9" w14:textId="77777777" w:rsidR="00E040FD" w:rsidRDefault="00740D64">
            <w:pPr>
              <w:pStyle w:val="P68B1DB1-Normal8"/>
              <w:keepNext/>
              <w:spacing w:before="40" w:after="0" w:line="240" w:lineRule="auto"/>
              <w:jc w:val="both"/>
              <w:rPr>
                <w:rFonts w:eastAsia="Times New Roman" w:cs="Calibri"/>
                <w:noProof/>
              </w:rPr>
            </w:pPr>
            <w:r>
              <w:rPr>
                <w:noProof/>
              </w:rPr>
              <w:t xml:space="preserve">De projekt som läggs fram av konsortierna för stöd ska omfattas av ett av följande program: ”Främja en hållbar och cirkulär bioekonomi inom textil och konfektion”, ”Främjande av hållbar och cirkulär bioekonomi inom skosektorn” och ”Främjande och tillvaratagande av naturharts”. </w:t>
            </w:r>
          </w:p>
          <w:p w14:paraId="373315BC" w14:textId="57EEC5F1" w:rsidR="00E040FD" w:rsidRDefault="00740D64">
            <w:pPr>
              <w:pStyle w:val="P68B1DB1-Normal8"/>
              <w:keepNext/>
              <w:spacing w:before="40" w:after="0" w:line="240" w:lineRule="auto"/>
              <w:jc w:val="both"/>
              <w:rPr>
                <w:rFonts w:eastAsia="Times New Roman" w:cs="Calibri"/>
                <w:noProof/>
              </w:rPr>
            </w:pPr>
            <w:r>
              <w:rPr>
                <w:noProof/>
              </w:rPr>
              <w:t xml:space="preserve">De ska inriktas på en koldioxidsnål ekonomi, motståndskraft mot och anpassning till klimatförändringar genom tillämpning av rena tekniska lösningar, skonsamma alternativ och användning av bästa tillgängliga teknik. Urvalskriterierna för projekten ska kräva att alla forsknings- och innovationsprojekt som får stöd säkerställer en minskning av direkta och indirekta koldioxidutsläpp. </w:t>
            </w:r>
          </w:p>
          <w:p w14:paraId="13B6D23C" w14:textId="3DD59F32" w:rsidR="00E040FD" w:rsidRDefault="00740D64">
            <w:pPr>
              <w:pStyle w:val="P68B1DB1-Normal8"/>
              <w:keepNext/>
              <w:spacing w:before="40" w:after="0" w:line="240" w:lineRule="auto"/>
              <w:jc w:val="both"/>
              <w:rPr>
                <w:rFonts w:eastAsia="Times New Roman" w:cs="Calibri"/>
                <w:noProof/>
              </w:rPr>
            </w:pPr>
            <w:r>
              <w:rPr>
                <w:noProof/>
              </w:rPr>
              <w:t>Utvalda projekt ska uppfylla kraven i den tekniska vägledningen om att inte orsaka betydande skada (2021/C58/01) genom att använda en uteslutningslista och kravet på efterlevnad av relevant EU-lagstiftning och nationell miljölagstiftning.</w:t>
            </w:r>
          </w:p>
        </w:tc>
      </w:tr>
      <w:tr w:rsidR="00E040FD" w14:paraId="1F72AFA7" w14:textId="77777777">
        <w:trPr>
          <w:trHeight w:val="640"/>
        </w:trPr>
        <w:tc>
          <w:tcPr>
            <w:tcW w:w="1135" w:type="dxa"/>
            <w:shd w:val="clear" w:color="auto" w:fill="C4EFCE"/>
            <w:vAlign w:val="center"/>
            <w:hideMark/>
          </w:tcPr>
          <w:p w14:paraId="79604885" w14:textId="77777777" w:rsidR="00E040FD" w:rsidRDefault="00740D64">
            <w:pPr>
              <w:pStyle w:val="P68B1DB1-Normal7"/>
              <w:keepNext/>
              <w:spacing w:before="40" w:after="0" w:line="240" w:lineRule="auto"/>
              <w:jc w:val="center"/>
              <w:rPr>
                <w:rFonts w:eastAsia="Times New Roman" w:cs="Calibri"/>
                <w:noProof/>
              </w:rPr>
            </w:pPr>
            <w:r>
              <w:rPr>
                <w:noProof/>
              </w:rPr>
              <w:t>12.3</w:t>
            </w:r>
          </w:p>
        </w:tc>
        <w:tc>
          <w:tcPr>
            <w:tcW w:w="1276" w:type="dxa"/>
            <w:shd w:val="clear" w:color="auto" w:fill="C4EFCE"/>
            <w:noWrap/>
            <w:vAlign w:val="center"/>
            <w:hideMark/>
          </w:tcPr>
          <w:p w14:paraId="7DCAFD0A" w14:textId="77777777" w:rsidR="00E040FD" w:rsidRDefault="00740D64">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6F5A6A08" w14:textId="77777777" w:rsidR="00E040FD" w:rsidRDefault="00740D64">
            <w:pPr>
              <w:pStyle w:val="P68B1DB1-Normal8"/>
              <w:keepNext/>
              <w:spacing w:before="40" w:after="0" w:line="240" w:lineRule="auto"/>
              <w:jc w:val="center"/>
              <w:rPr>
                <w:rFonts w:eastAsia="Times New Roman" w:cs="Calibri"/>
                <w:noProof/>
              </w:rPr>
            </w:pPr>
            <w:r>
              <w:rPr>
                <w:noProof/>
              </w:rPr>
              <w:t>T</w:t>
            </w:r>
          </w:p>
        </w:tc>
        <w:tc>
          <w:tcPr>
            <w:tcW w:w="1701" w:type="dxa"/>
            <w:shd w:val="clear" w:color="auto" w:fill="C4EFCE"/>
            <w:noWrap/>
            <w:vAlign w:val="center"/>
            <w:hideMark/>
          </w:tcPr>
          <w:p w14:paraId="7AA2A96B" w14:textId="77777777" w:rsidR="00E040FD" w:rsidRDefault="00740D64">
            <w:pPr>
              <w:pStyle w:val="P68B1DB1-Normal8"/>
              <w:keepNext/>
              <w:spacing w:before="40" w:after="0" w:line="240" w:lineRule="auto"/>
              <w:jc w:val="center"/>
              <w:rPr>
                <w:rFonts w:eastAsia="Times New Roman" w:cs="Calibri"/>
                <w:noProof/>
              </w:rPr>
            </w:pPr>
            <w:r>
              <w:rPr>
                <w:noProof/>
              </w:rPr>
              <w:t xml:space="preserve">Nya produkter, ny teknik och pilotprocesser som integrerar biobaserade resurser </w:t>
            </w:r>
          </w:p>
        </w:tc>
        <w:tc>
          <w:tcPr>
            <w:tcW w:w="1275" w:type="dxa"/>
            <w:shd w:val="clear" w:color="auto" w:fill="C4EFCE"/>
            <w:noWrap/>
            <w:vAlign w:val="center"/>
            <w:hideMark/>
          </w:tcPr>
          <w:p w14:paraId="4D4A5918"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93" w:type="dxa"/>
            <w:shd w:val="clear" w:color="auto" w:fill="C4EFCE"/>
            <w:noWrap/>
            <w:vAlign w:val="center"/>
            <w:hideMark/>
          </w:tcPr>
          <w:p w14:paraId="3848C4DC" w14:textId="77777777" w:rsidR="00E040FD" w:rsidRDefault="00740D64">
            <w:pPr>
              <w:pStyle w:val="P68B1DB1-Normal8"/>
              <w:keepNext/>
              <w:spacing w:before="40" w:after="0" w:line="240" w:lineRule="auto"/>
              <w:jc w:val="center"/>
              <w:rPr>
                <w:rFonts w:eastAsia="Times New Roman" w:cs="Calibri"/>
                <w:noProof/>
              </w:rPr>
            </w:pPr>
            <w:r>
              <w:rPr>
                <w:noProof/>
              </w:rPr>
              <w:t> Antal</w:t>
            </w:r>
          </w:p>
        </w:tc>
        <w:tc>
          <w:tcPr>
            <w:tcW w:w="992" w:type="dxa"/>
            <w:shd w:val="clear" w:color="auto" w:fill="C4EFCE"/>
            <w:noWrap/>
            <w:vAlign w:val="center"/>
            <w:hideMark/>
          </w:tcPr>
          <w:p w14:paraId="5AB50F47" w14:textId="77777777" w:rsidR="00E040FD" w:rsidRDefault="00740D64">
            <w:pPr>
              <w:pStyle w:val="P68B1DB1-Normal8"/>
              <w:keepNext/>
              <w:spacing w:before="40" w:after="0" w:line="240" w:lineRule="auto"/>
              <w:jc w:val="center"/>
              <w:rPr>
                <w:rFonts w:eastAsia="Times New Roman" w:cs="Calibri"/>
                <w:noProof/>
              </w:rPr>
            </w:pPr>
            <w:r>
              <w:rPr>
                <w:noProof/>
              </w:rPr>
              <w:t> 0</w:t>
            </w:r>
          </w:p>
        </w:tc>
        <w:tc>
          <w:tcPr>
            <w:tcW w:w="709" w:type="dxa"/>
            <w:shd w:val="clear" w:color="auto" w:fill="C4EFCE"/>
            <w:noWrap/>
            <w:vAlign w:val="center"/>
            <w:hideMark/>
          </w:tcPr>
          <w:p w14:paraId="6F17EB16" w14:textId="77777777" w:rsidR="00E040FD" w:rsidRDefault="00740D64">
            <w:pPr>
              <w:pStyle w:val="P68B1DB1-Normal8"/>
              <w:keepNext/>
              <w:spacing w:before="40" w:after="0" w:line="240" w:lineRule="auto"/>
              <w:jc w:val="center"/>
              <w:rPr>
                <w:rFonts w:eastAsia="Times New Roman" w:cs="Calibri"/>
                <w:noProof/>
              </w:rPr>
            </w:pPr>
            <w:r>
              <w:rPr>
                <w:noProof/>
              </w:rPr>
              <w:t> 15</w:t>
            </w:r>
          </w:p>
        </w:tc>
        <w:tc>
          <w:tcPr>
            <w:tcW w:w="567" w:type="dxa"/>
            <w:shd w:val="clear" w:color="auto" w:fill="C4EFCE"/>
            <w:noWrap/>
            <w:vAlign w:val="center"/>
            <w:hideMark/>
          </w:tcPr>
          <w:p w14:paraId="03A29219" w14:textId="77777777" w:rsidR="00E040FD" w:rsidRDefault="00740D64">
            <w:pPr>
              <w:pStyle w:val="P68B1DB1-Normal8"/>
              <w:keepNext/>
              <w:spacing w:before="40"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0ECB7A2A" w14:textId="77777777" w:rsidR="00E040FD" w:rsidRDefault="00740D64">
            <w:pPr>
              <w:pStyle w:val="P68B1DB1-Normal8"/>
              <w:keepNext/>
              <w:spacing w:before="40" w:after="0" w:line="240" w:lineRule="auto"/>
              <w:jc w:val="center"/>
              <w:rPr>
                <w:rFonts w:eastAsia="Times New Roman" w:cs="Calibri"/>
                <w:noProof/>
              </w:rPr>
            </w:pPr>
            <w:r>
              <w:rPr>
                <w:noProof/>
              </w:rPr>
              <w:t>2025</w:t>
            </w:r>
          </w:p>
        </w:tc>
        <w:tc>
          <w:tcPr>
            <w:tcW w:w="3969" w:type="dxa"/>
            <w:shd w:val="clear" w:color="auto" w:fill="C4EFCE"/>
            <w:vAlign w:val="center"/>
            <w:hideMark/>
          </w:tcPr>
          <w:p w14:paraId="2F1A4FC3" w14:textId="77777777" w:rsidR="00E040FD" w:rsidRDefault="00740D64">
            <w:pPr>
              <w:pStyle w:val="P68B1DB1-Normal8"/>
              <w:keepNext/>
              <w:spacing w:before="40" w:after="0" w:line="240" w:lineRule="auto"/>
              <w:jc w:val="both"/>
              <w:rPr>
                <w:rFonts w:eastAsia="Times New Roman" w:cs="Calibri"/>
                <w:noProof/>
              </w:rPr>
            </w:pPr>
            <w:r>
              <w:rPr>
                <w:noProof/>
              </w:rPr>
              <w:t>Nya produkter, ny teknik och pilotprocesser som integrerar biobaserade resurser. Detta omfattar minst 10 nya produkter eller ny teknik (teknisk mognadsgrad 6–7) och minst 5 industriella pilotprocesser (teknisk mognadsgrad 7–9) inom följande sektorer: tillverkning av textilier, skodon och harts.</w:t>
            </w:r>
          </w:p>
        </w:tc>
      </w:tr>
      <w:tr w:rsidR="00E040FD" w14:paraId="029AA38F" w14:textId="77777777">
        <w:trPr>
          <w:trHeight w:val="430"/>
        </w:trPr>
        <w:tc>
          <w:tcPr>
            <w:tcW w:w="1135" w:type="dxa"/>
            <w:shd w:val="clear" w:color="auto" w:fill="C4EFCE"/>
            <w:vAlign w:val="center"/>
            <w:hideMark/>
          </w:tcPr>
          <w:p w14:paraId="0DC95BE8" w14:textId="77777777" w:rsidR="00E040FD" w:rsidRDefault="00740D64">
            <w:pPr>
              <w:pStyle w:val="P68B1DB1-Normal7"/>
              <w:keepNext/>
              <w:spacing w:before="40" w:after="0" w:line="240" w:lineRule="auto"/>
              <w:jc w:val="center"/>
              <w:rPr>
                <w:rFonts w:eastAsia="Times New Roman" w:cs="Calibri"/>
                <w:noProof/>
              </w:rPr>
            </w:pPr>
            <w:r>
              <w:rPr>
                <w:noProof/>
              </w:rPr>
              <w:t>12.4</w:t>
            </w:r>
          </w:p>
        </w:tc>
        <w:tc>
          <w:tcPr>
            <w:tcW w:w="1276" w:type="dxa"/>
            <w:shd w:val="clear" w:color="auto" w:fill="C4EFCE"/>
            <w:noWrap/>
            <w:vAlign w:val="center"/>
            <w:hideMark/>
          </w:tcPr>
          <w:p w14:paraId="00D79CA4" w14:textId="77777777" w:rsidR="00E040FD" w:rsidRDefault="00740D64">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6AA0EC62" w14:textId="77777777" w:rsidR="00E040FD" w:rsidRDefault="00740D64">
            <w:pPr>
              <w:pStyle w:val="P68B1DB1-Normal8"/>
              <w:keepNext/>
              <w:spacing w:before="40" w:after="0" w:line="240" w:lineRule="auto"/>
              <w:jc w:val="center"/>
              <w:rPr>
                <w:rFonts w:eastAsia="Times New Roman" w:cs="Calibri"/>
                <w:noProof/>
              </w:rPr>
            </w:pPr>
            <w:r>
              <w:rPr>
                <w:noProof/>
              </w:rPr>
              <w:t>T</w:t>
            </w:r>
          </w:p>
        </w:tc>
        <w:tc>
          <w:tcPr>
            <w:tcW w:w="1701" w:type="dxa"/>
            <w:shd w:val="clear" w:color="auto" w:fill="C4EFCE"/>
            <w:noWrap/>
            <w:vAlign w:val="center"/>
            <w:hideMark/>
          </w:tcPr>
          <w:p w14:paraId="3A995D45" w14:textId="77777777" w:rsidR="00E040FD" w:rsidRDefault="00740D64">
            <w:pPr>
              <w:pStyle w:val="P68B1DB1-Normal8"/>
              <w:keepNext/>
              <w:spacing w:before="40" w:after="0" w:line="240" w:lineRule="auto"/>
              <w:jc w:val="center"/>
              <w:rPr>
                <w:rFonts w:eastAsia="Times New Roman" w:cs="Calibri"/>
                <w:noProof/>
              </w:rPr>
            </w:pPr>
            <w:r>
              <w:rPr>
                <w:noProof/>
              </w:rPr>
              <w:t>Utveckling av havstallskogar med potential att producera harts</w:t>
            </w:r>
          </w:p>
        </w:tc>
        <w:tc>
          <w:tcPr>
            <w:tcW w:w="1275" w:type="dxa"/>
            <w:shd w:val="clear" w:color="auto" w:fill="C4EFCE"/>
            <w:noWrap/>
            <w:vAlign w:val="center"/>
            <w:hideMark/>
          </w:tcPr>
          <w:p w14:paraId="289BF410"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93" w:type="dxa"/>
            <w:shd w:val="clear" w:color="auto" w:fill="C4EFCE"/>
            <w:noWrap/>
            <w:vAlign w:val="center"/>
            <w:hideMark/>
          </w:tcPr>
          <w:p w14:paraId="01EED50B" w14:textId="77777777" w:rsidR="00E040FD" w:rsidRDefault="00740D64">
            <w:pPr>
              <w:pStyle w:val="P68B1DB1-Normal8"/>
              <w:keepNext/>
              <w:spacing w:before="40" w:after="0" w:line="240" w:lineRule="auto"/>
              <w:jc w:val="center"/>
              <w:rPr>
                <w:rFonts w:eastAsia="Times New Roman" w:cs="Calibri"/>
                <w:noProof/>
              </w:rPr>
            </w:pPr>
            <w:r>
              <w:rPr>
                <w:noProof/>
              </w:rPr>
              <w:t>ha</w:t>
            </w:r>
          </w:p>
        </w:tc>
        <w:tc>
          <w:tcPr>
            <w:tcW w:w="992" w:type="dxa"/>
            <w:shd w:val="clear" w:color="auto" w:fill="C4EFCE"/>
            <w:noWrap/>
            <w:vAlign w:val="center"/>
            <w:hideMark/>
          </w:tcPr>
          <w:p w14:paraId="426FC88F" w14:textId="77777777" w:rsidR="00E040FD" w:rsidRDefault="00740D64">
            <w:pPr>
              <w:pStyle w:val="P68B1DB1-Normal8"/>
              <w:keepNext/>
              <w:spacing w:before="40" w:after="0" w:line="240" w:lineRule="auto"/>
              <w:jc w:val="center"/>
              <w:rPr>
                <w:rFonts w:eastAsia="Times New Roman" w:cs="Calibri"/>
                <w:noProof/>
              </w:rPr>
            </w:pPr>
            <w:r>
              <w:rPr>
                <w:noProof/>
              </w:rPr>
              <w:t>0</w:t>
            </w:r>
          </w:p>
        </w:tc>
        <w:tc>
          <w:tcPr>
            <w:tcW w:w="709" w:type="dxa"/>
            <w:shd w:val="clear" w:color="auto" w:fill="C4EFCE"/>
            <w:noWrap/>
            <w:vAlign w:val="center"/>
            <w:hideMark/>
          </w:tcPr>
          <w:p w14:paraId="556DED51" w14:textId="77777777" w:rsidR="00E040FD" w:rsidRDefault="00740D64">
            <w:pPr>
              <w:pStyle w:val="P68B1DB1-Normal8"/>
              <w:keepNext/>
              <w:spacing w:before="40" w:after="0" w:line="240" w:lineRule="auto"/>
              <w:jc w:val="center"/>
              <w:rPr>
                <w:rFonts w:eastAsia="Times New Roman" w:cs="Calibri"/>
                <w:noProof/>
              </w:rPr>
            </w:pPr>
            <w:r>
              <w:rPr>
                <w:noProof/>
              </w:rPr>
              <w:t>8500</w:t>
            </w:r>
          </w:p>
        </w:tc>
        <w:tc>
          <w:tcPr>
            <w:tcW w:w="567" w:type="dxa"/>
            <w:shd w:val="clear" w:color="auto" w:fill="C4EFCE"/>
            <w:noWrap/>
            <w:vAlign w:val="center"/>
            <w:hideMark/>
          </w:tcPr>
          <w:p w14:paraId="75362553" w14:textId="77777777" w:rsidR="00E040FD" w:rsidRDefault="00740D64">
            <w:pPr>
              <w:pStyle w:val="P68B1DB1-Normal8"/>
              <w:keepNext/>
              <w:spacing w:before="40"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3942C662" w14:textId="77777777" w:rsidR="00E040FD" w:rsidRDefault="00740D64">
            <w:pPr>
              <w:pStyle w:val="P68B1DB1-Normal8"/>
              <w:keepNext/>
              <w:spacing w:before="40" w:after="0" w:line="240" w:lineRule="auto"/>
              <w:jc w:val="center"/>
              <w:rPr>
                <w:rFonts w:eastAsia="Times New Roman" w:cs="Calibri"/>
                <w:noProof/>
              </w:rPr>
            </w:pPr>
            <w:r>
              <w:rPr>
                <w:noProof/>
              </w:rPr>
              <w:t>2025</w:t>
            </w:r>
          </w:p>
        </w:tc>
        <w:tc>
          <w:tcPr>
            <w:tcW w:w="3969" w:type="dxa"/>
            <w:shd w:val="clear" w:color="auto" w:fill="C4EFCE"/>
            <w:vAlign w:val="center"/>
            <w:hideMark/>
          </w:tcPr>
          <w:p w14:paraId="51C1605D" w14:textId="77777777" w:rsidR="00E040FD" w:rsidRDefault="00740D64">
            <w:pPr>
              <w:pStyle w:val="P68B1DB1-Normal8"/>
              <w:keepNext/>
              <w:spacing w:before="40" w:after="0" w:line="240" w:lineRule="auto"/>
              <w:jc w:val="both"/>
              <w:rPr>
                <w:rFonts w:eastAsia="Times New Roman" w:cs="Calibri"/>
                <w:noProof/>
              </w:rPr>
            </w:pPr>
            <w:r>
              <w:rPr>
                <w:noProof/>
              </w:rPr>
              <w:t>Område med havskräfta som utvecklats med hjälp av naturliga föryngringstekniker och beskärning av hartsgrenar.</w:t>
            </w:r>
          </w:p>
        </w:tc>
      </w:tr>
      <w:tr w:rsidR="00E040FD" w14:paraId="06448507" w14:textId="77777777">
        <w:trPr>
          <w:trHeight w:val="509"/>
        </w:trPr>
        <w:tc>
          <w:tcPr>
            <w:tcW w:w="1135" w:type="dxa"/>
            <w:vMerge w:val="restart"/>
            <w:shd w:val="clear" w:color="auto" w:fill="C4EFCE"/>
            <w:vAlign w:val="center"/>
            <w:hideMark/>
          </w:tcPr>
          <w:p w14:paraId="01815B47" w14:textId="77777777" w:rsidR="00E040FD" w:rsidRDefault="00740D64">
            <w:pPr>
              <w:pStyle w:val="P68B1DB1-Normal7"/>
              <w:keepNext/>
              <w:spacing w:before="40" w:after="0" w:line="240" w:lineRule="auto"/>
              <w:jc w:val="center"/>
              <w:rPr>
                <w:rFonts w:eastAsia="Times New Roman" w:cs="Calibri"/>
                <w:noProof/>
              </w:rPr>
            </w:pPr>
            <w:r>
              <w:rPr>
                <w:noProof/>
              </w:rPr>
              <w:t>12.5</w:t>
            </w:r>
          </w:p>
        </w:tc>
        <w:tc>
          <w:tcPr>
            <w:tcW w:w="1276" w:type="dxa"/>
            <w:vMerge w:val="restart"/>
            <w:shd w:val="clear" w:color="auto" w:fill="C4EFCE"/>
            <w:noWrap/>
            <w:vAlign w:val="center"/>
            <w:hideMark/>
          </w:tcPr>
          <w:p w14:paraId="5A975A5B" w14:textId="77777777" w:rsidR="00E040FD" w:rsidRDefault="00740D64">
            <w:pPr>
              <w:pStyle w:val="P68B1DB1-Normal8"/>
              <w:keepNext/>
              <w:spacing w:before="40" w:after="0" w:line="240" w:lineRule="auto"/>
              <w:jc w:val="center"/>
              <w:rPr>
                <w:rFonts w:eastAsia="Times New Roman" w:cs="Calibri"/>
                <w:noProof/>
              </w:rPr>
            </w:pPr>
            <w:r>
              <w:rPr>
                <w:noProof/>
              </w:rPr>
              <w:t>TC-C12-r25</w:t>
            </w:r>
          </w:p>
        </w:tc>
        <w:tc>
          <w:tcPr>
            <w:tcW w:w="1134" w:type="dxa"/>
            <w:vMerge w:val="restart"/>
            <w:shd w:val="clear" w:color="auto" w:fill="C4EFCE"/>
            <w:noWrap/>
            <w:vAlign w:val="center"/>
            <w:hideMark/>
          </w:tcPr>
          <w:p w14:paraId="7B72424B" w14:textId="77777777" w:rsidR="00E040FD" w:rsidRDefault="00740D64">
            <w:pPr>
              <w:pStyle w:val="P68B1DB1-Normal8"/>
              <w:keepNext/>
              <w:spacing w:before="40" w:after="0" w:line="240" w:lineRule="auto"/>
              <w:jc w:val="center"/>
              <w:rPr>
                <w:rFonts w:eastAsia="Times New Roman" w:cs="Calibri"/>
                <w:noProof/>
              </w:rPr>
            </w:pPr>
            <w:r>
              <w:rPr>
                <w:noProof/>
              </w:rPr>
              <w:t>M</w:t>
            </w:r>
          </w:p>
        </w:tc>
        <w:tc>
          <w:tcPr>
            <w:tcW w:w="1701" w:type="dxa"/>
            <w:vMerge w:val="restart"/>
            <w:shd w:val="clear" w:color="auto" w:fill="C4EFCE"/>
            <w:noWrap/>
            <w:vAlign w:val="center"/>
            <w:hideMark/>
          </w:tcPr>
          <w:p w14:paraId="69664442" w14:textId="77777777" w:rsidR="00E040FD" w:rsidRDefault="00740D64">
            <w:pPr>
              <w:pStyle w:val="P68B1DB1-Normal8"/>
              <w:keepNext/>
              <w:spacing w:before="40" w:after="0" w:line="240" w:lineRule="auto"/>
              <w:jc w:val="center"/>
              <w:rPr>
                <w:rFonts w:eastAsia="Times New Roman" w:cs="Calibri"/>
                <w:noProof/>
              </w:rPr>
            </w:pPr>
            <w:r>
              <w:rPr>
                <w:noProof/>
              </w:rPr>
              <w:t>Ikraftträdande av den nya allmänna ordningen för avfallshantering</w:t>
            </w:r>
          </w:p>
        </w:tc>
        <w:tc>
          <w:tcPr>
            <w:tcW w:w="1275" w:type="dxa"/>
            <w:vMerge w:val="restart"/>
            <w:shd w:val="clear" w:color="auto" w:fill="C4EFCE"/>
            <w:noWrap/>
            <w:vAlign w:val="center"/>
            <w:hideMark/>
          </w:tcPr>
          <w:p w14:paraId="1355927D" w14:textId="77777777" w:rsidR="00E040FD" w:rsidRDefault="00740D64">
            <w:pPr>
              <w:pStyle w:val="P68B1DB1-Normal8"/>
              <w:keepNext/>
              <w:spacing w:before="40" w:after="0" w:line="240" w:lineRule="auto"/>
              <w:jc w:val="center"/>
              <w:rPr>
                <w:rFonts w:eastAsia="Times New Roman" w:cs="Calibri"/>
                <w:noProof/>
              </w:rPr>
            </w:pPr>
            <w:r>
              <w:rPr>
                <w:noProof/>
              </w:rPr>
              <w:t>Ikraftträdande av den nya allmänna ordningen för avfallshantering</w:t>
            </w:r>
          </w:p>
        </w:tc>
        <w:tc>
          <w:tcPr>
            <w:tcW w:w="993" w:type="dxa"/>
            <w:vMerge w:val="restart"/>
            <w:shd w:val="clear" w:color="auto" w:fill="C4EFCE"/>
            <w:noWrap/>
            <w:vAlign w:val="center"/>
            <w:hideMark/>
          </w:tcPr>
          <w:p w14:paraId="54E17836"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92" w:type="dxa"/>
            <w:vMerge w:val="restart"/>
            <w:shd w:val="clear" w:color="auto" w:fill="C4EFCE"/>
            <w:noWrap/>
            <w:vAlign w:val="center"/>
            <w:hideMark/>
          </w:tcPr>
          <w:p w14:paraId="68CD8F4C"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709" w:type="dxa"/>
            <w:vMerge w:val="restart"/>
            <w:shd w:val="clear" w:color="auto" w:fill="C4EFCE"/>
            <w:noWrap/>
            <w:vAlign w:val="center"/>
            <w:hideMark/>
          </w:tcPr>
          <w:p w14:paraId="30FF5517"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567" w:type="dxa"/>
            <w:vMerge w:val="restart"/>
            <w:shd w:val="clear" w:color="auto" w:fill="C4EFCE"/>
            <w:noWrap/>
            <w:vAlign w:val="center"/>
            <w:hideMark/>
          </w:tcPr>
          <w:p w14:paraId="4E701E35" w14:textId="77777777" w:rsidR="00E040FD" w:rsidRDefault="00740D64">
            <w:pPr>
              <w:pStyle w:val="P68B1DB1-Normal8"/>
              <w:keepNext/>
              <w:spacing w:before="40" w:after="0" w:line="240" w:lineRule="auto"/>
              <w:jc w:val="center"/>
              <w:rPr>
                <w:rFonts w:eastAsia="Times New Roman" w:cs="Calibri"/>
                <w:noProof/>
              </w:rPr>
            </w:pPr>
            <w:r>
              <w:rPr>
                <w:noProof/>
              </w:rPr>
              <w:t>KVARTAL 3</w:t>
            </w:r>
          </w:p>
        </w:tc>
        <w:tc>
          <w:tcPr>
            <w:tcW w:w="708" w:type="dxa"/>
            <w:vMerge w:val="restart"/>
            <w:shd w:val="clear" w:color="auto" w:fill="C4EFCE"/>
            <w:noWrap/>
            <w:vAlign w:val="center"/>
            <w:hideMark/>
          </w:tcPr>
          <w:p w14:paraId="3E43C2B4" w14:textId="77777777" w:rsidR="00E040FD" w:rsidRDefault="00740D64">
            <w:pPr>
              <w:pStyle w:val="P68B1DB1-Normal8"/>
              <w:keepNext/>
              <w:spacing w:before="40" w:after="0" w:line="240" w:lineRule="auto"/>
              <w:jc w:val="center"/>
              <w:rPr>
                <w:rFonts w:eastAsia="Times New Roman" w:cs="Calibri"/>
                <w:noProof/>
              </w:rPr>
            </w:pPr>
            <w:r>
              <w:rPr>
                <w:noProof/>
              </w:rPr>
              <w:t>2021</w:t>
            </w:r>
          </w:p>
        </w:tc>
        <w:tc>
          <w:tcPr>
            <w:tcW w:w="3969" w:type="dxa"/>
            <w:vMerge w:val="restart"/>
            <w:shd w:val="clear" w:color="auto" w:fill="C4EFCE"/>
            <w:vAlign w:val="center"/>
            <w:hideMark/>
          </w:tcPr>
          <w:p w14:paraId="48913900" w14:textId="77777777" w:rsidR="00E040FD" w:rsidRDefault="00740D64">
            <w:pPr>
              <w:pStyle w:val="P68B1DB1-Normal8"/>
              <w:keepNext/>
              <w:spacing w:before="40" w:after="0" w:line="240" w:lineRule="auto"/>
              <w:jc w:val="both"/>
              <w:rPr>
                <w:rFonts w:eastAsia="Times New Roman" w:cs="Calibri"/>
                <w:noProof/>
              </w:rPr>
            </w:pPr>
            <w:r>
              <w:rPr>
                <w:noProof/>
              </w:rPr>
              <w:t>Ikraftträdande av det nya allmänna avfallshanteringssystemet (RGGR) som förenklar den administrativa processen och minskar kostnaderna i samband med användningen av biprodukter.</w:t>
            </w:r>
          </w:p>
        </w:tc>
      </w:tr>
      <w:tr w:rsidR="00E040FD" w14:paraId="586A7CD8" w14:textId="77777777">
        <w:trPr>
          <w:trHeight w:val="509"/>
        </w:trPr>
        <w:tc>
          <w:tcPr>
            <w:tcW w:w="1135" w:type="dxa"/>
            <w:vMerge/>
            <w:vAlign w:val="center"/>
            <w:hideMark/>
          </w:tcPr>
          <w:p w14:paraId="0DB010B9" w14:textId="77777777" w:rsidR="00E040FD" w:rsidRDefault="00E040FD">
            <w:pPr>
              <w:keepNext/>
              <w:spacing w:before="40" w:after="0" w:line="240" w:lineRule="auto"/>
              <w:jc w:val="both"/>
              <w:rPr>
                <w:rFonts w:ascii="Calibri" w:eastAsia="Times New Roman" w:hAnsi="Calibri" w:cs="Calibri"/>
                <w:b/>
                <w:noProof/>
                <w:sz w:val="16"/>
              </w:rPr>
            </w:pPr>
          </w:p>
        </w:tc>
        <w:tc>
          <w:tcPr>
            <w:tcW w:w="1276" w:type="dxa"/>
            <w:vMerge/>
            <w:vAlign w:val="center"/>
            <w:hideMark/>
          </w:tcPr>
          <w:p w14:paraId="367E3F02" w14:textId="77777777" w:rsidR="00E040FD" w:rsidRDefault="00E040FD">
            <w:pPr>
              <w:keepNext/>
              <w:spacing w:before="40" w:after="0" w:line="240" w:lineRule="auto"/>
              <w:jc w:val="both"/>
              <w:rPr>
                <w:rFonts w:ascii="Calibri" w:eastAsia="Times New Roman" w:hAnsi="Calibri" w:cs="Calibri"/>
                <w:noProof/>
                <w:sz w:val="16"/>
              </w:rPr>
            </w:pPr>
          </w:p>
        </w:tc>
        <w:tc>
          <w:tcPr>
            <w:tcW w:w="1134" w:type="dxa"/>
            <w:vMerge/>
            <w:vAlign w:val="center"/>
            <w:hideMark/>
          </w:tcPr>
          <w:p w14:paraId="2443F33D" w14:textId="77777777" w:rsidR="00E040FD" w:rsidRDefault="00E040FD">
            <w:pPr>
              <w:keepNext/>
              <w:spacing w:before="40" w:after="0" w:line="240" w:lineRule="auto"/>
              <w:jc w:val="both"/>
              <w:rPr>
                <w:rFonts w:ascii="Calibri" w:eastAsia="Times New Roman" w:hAnsi="Calibri" w:cs="Calibri"/>
                <w:noProof/>
                <w:sz w:val="16"/>
              </w:rPr>
            </w:pPr>
          </w:p>
        </w:tc>
        <w:tc>
          <w:tcPr>
            <w:tcW w:w="1701" w:type="dxa"/>
            <w:vMerge/>
            <w:vAlign w:val="center"/>
            <w:hideMark/>
          </w:tcPr>
          <w:p w14:paraId="5DD737E3" w14:textId="77777777" w:rsidR="00E040FD" w:rsidRDefault="00E040FD">
            <w:pPr>
              <w:keepNext/>
              <w:spacing w:before="40" w:after="0" w:line="240" w:lineRule="auto"/>
              <w:jc w:val="both"/>
              <w:rPr>
                <w:rFonts w:ascii="Calibri" w:eastAsia="Times New Roman" w:hAnsi="Calibri" w:cs="Calibri"/>
                <w:noProof/>
                <w:sz w:val="16"/>
              </w:rPr>
            </w:pPr>
          </w:p>
        </w:tc>
        <w:tc>
          <w:tcPr>
            <w:tcW w:w="1275" w:type="dxa"/>
            <w:vMerge/>
            <w:vAlign w:val="center"/>
            <w:hideMark/>
          </w:tcPr>
          <w:p w14:paraId="2487D94E" w14:textId="77777777" w:rsidR="00E040FD" w:rsidRDefault="00E040FD">
            <w:pPr>
              <w:keepNext/>
              <w:spacing w:before="40" w:after="0" w:line="240" w:lineRule="auto"/>
              <w:jc w:val="both"/>
              <w:rPr>
                <w:rFonts w:ascii="Calibri" w:eastAsia="Times New Roman" w:hAnsi="Calibri" w:cs="Calibri"/>
                <w:noProof/>
                <w:sz w:val="16"/>
              </w:rPr>
            </w:pPr>
          </w:p>
        </w:tc>
        <w:tc>
          <w:tcPr>
            <w:tcW w:w="993" w:type="dxa"/>
            <w:vMerge/>
            <w:vAlign w:val="center"/>
            <w:hideMark/>
          </w:tcPr>
          <w:p w14:paraId="0AA85703" w14:textId="77777777" w:rsidR="00E040FD" w:rsidRDefault="00E040FD">
            <w:pPr>
              <w:keepNext/>
              <w:spacing w:before="40" w:after="0" w:line="240" w:lineRule="auto"/>
              <w:jc w:val="both"/>
              <w:rPr>
                <w:rFonts w:ascii="Calibri" w:eastAsia="Times New Roman" w:hAnsi="Calibri" w:cs="Calibri"/>
                <w:noProof/>
                <w:sz w:val="16"/>
              </w:rPr>
            </w:pPr>
          </w:p>
        </w:tc>
        <w:tc>
          <w:tcPr>
            <w:tcW w:w="992" w:type="dxa"/>
            <w:vMerge/>
            <w:vAlign w:val="center"/>
            <w:hideMark/>
          </w:tcPr>
          <w:p w14:paraId="771EC11D" w14:textId="77777777" w:rsidR="00E040FD" w:rsidRDefault="00E040FD">
            <w:pPr>
              <w:keepNext/>
              <w:spacing w:before="40" w:after="0" w:line="240" w:lineRule="auto"/>
              <w:jc w:val="both"/>
              <w:rPr>
                <w:rFonts w:ascii="Calibri" w:eastAsia="Times New Roman" w:hAnsi="Calibri" w:cs="Calibri"/>
                <w:noProof/>
                <w:sz w:val="16"/>
              </w:rPr>
            </w:pPr>
          </w:p>
        </w:tc>
        <w:tc>
          <w:tcPr>
            <w:tcW w:w="709" w:type="dxa"/>
            <w:vMerge/>
            <w:vAlign w:val="center"/>
            <w:hideMark/>
          </w:tcPr>
          <w:p w14:paraId="71E36A1F" w14:textId="77777777" w:rsidR="00E040FD" w:rsidRDefault="00E040FD">
            <w:pPr>
              <w:keepNext/>
              <w:spacing w:before="40" w:after="0" w:line="240" w:lineRule="auto"/>
              <w:jc w:val="both"/>
              <w:rPr>
                <w:rFonts w:ascii="Calibri" w:eastAsia="Times New Roman" w:hAnsi="Calibri" w:cs="Calibri"/>
                <w:noProof/>
                <w:sz w:val="16"/>
              </w:rPr>
            </w:pPr>
          </w:p>
        </w:tc>
        <w:tc>
          <w:tcPr>
            <w:tcW w:w="567" w:type="dxa"/>
            <w:vMerge/>
            <w:vAlign w:val="center"/>
            <w:hideMark/>
          </w:tcPr>
          <w:p w14:paraId="3C6B1961" w14:textId="77777777" w:rsidR="00E040FD" w:rsidRDefault="00E040FD">
            <w:pPr>
              <w:keepNext/>
              <w:spacing w:before="40" w:after="0" w:line="240" w:lineRule="auto"/>
              <w:jc w:val="both"/>
              <w:rPr>
                <w:rFonts w:ascii="Calibri" w:eastAsia="Times New Roman" w:hAnsi="Calibri" w:cs="Calibri"/>
                <w:noProof/>
                <w:sz w:val="16"/>
              </w:rPr>
            </w:pPr>
          </w:p>
        </w:tc>
        <w:tc>
          <w:tcPr>
            <w:tcW w:w="708" w:type="dxa"/>
            <w:vMerge/>
            <w:vAlign w:val="center"/>
            <w:hideMark/>
          </w:tcPr>
          <w:p w14:paraId="73B96A4A" w14:textId="77777777" w:rsidR="00E040FD" w:rsidRDefault="00E040FD">
            <w:pPr>
              <w:keepNext/>
              <w:spacing w:before="40" w:after="0" w:line="240" w:lineRule="auto"/>
              <w:jc w:val="both"/>
              <w:rPr>
                <w:rFonts w:ascii="Calibri" w:eastAsia="Times New Roman" w:hAnsi="Calibri" w:cs="Calibri"/>
                <w:noProof/>
                <w:sz w:val="16"/>
              </w:rPr>
            </w:pPr>
          </w:p>
        </w:tc>
        <w:tc>
          <w:tcPr>
            <w:tcW w:w="3969" w:type="dxa"/>
            <w:vMerge/>
            <w:vAlign w:val="center"/>
            <w:hideMark/>
          </w:tcPr>
          <w:p w14:paraId="2B2F80BC" w14:textId="77777777" w:rsidR="00E040FD" w:rsidRDefault="00E040FD">
            <w:pPr>
              <w:keepNext/>
              <w:spacing w:before="40" w:after="0" w:line="240" w:lineRule="auto"/>
              <w:jc w:val="both"/>
              <w:rPr>
                <w:rFonts w:ascii="Calibri" w:eastAsia="Times New Roman" w:hAnsi="Calibri" w:cs="Calibri"/>
                <w:noProof/>
                <w:sz w:val="16"/>
              </w:rPr>
            </w:pPr>
          </w:p>
        </w:tc>
      </w:tr>
      <w:tr w:rsidR="00E040FD" w14:paraId="2697EE8C" w14:textId="77777777">
        <w:trPr>
          <w:trHeight w:val="640"/>
        </w:trPr>
        <w:tc>
          <w:tcPr>
            <w:tcW w:w="1135" w:type="dxa"/>
            <w:shd w:val="clear" w:color="auto" w:fill="C4EFCE"/>
            <w:vAlign w:val="center"/>
            <w:hideMark/>
          </w:tcPr>
          <w:p w14:paraId="08444E6D" w14:textId="77777777" w:rsidR="00E040FD" w:rsidRDefault="00740D64">
            <w:pPr>
              <w:pStyle w:val="P68B1DB1-Normal7"/>
              <w:keepNext/>
              <w:spacing w:before="40" w:after="0" w:line="240" w:lineRule="auto"/>
              <w:jc w:val="center"/>
              <w:rPr>
                <w:rFonts w:eastAsia="Times New Roman" w:cs="Calibri"/>
                <w:noProof/>
              </w:rPr>
            </w:pPr>
            <w:r>
              <w:rPr>
                <w:noProof/>
              </w:rPr>
              <w:t>12.6</w:t>
            </w:r>
          </w:p>
        </w:tc>
        <w:tc>
          <w:tcPr>
            <w:tcW w:w="1276" w:type="dxa"/>
            <w:shd w:val="clear" w:color="auto" w:fill="C4EFCE"/>
            <w:noWrap/>
            <w:vAlign w:val="center"/>
            <w:hideMark/>
          </w:tcPr>
          <w:p w14:paraId="3F816AEA" w14:textId="77777777" w:rsidR="00E040FD" w:rsidRDefault="00740D64">
            <w:pPr>
              <w:pStyle w:val="P68B1DB1-Normal8"/>
              <w:keepNext/>
              <w:spacing w:before="40" w:after="0" w:line="240" w:lineRule="auto"/>
              <w:jc w:val="center"/>
              <w:rPr>
                <w:rFonts w:eastAsia="Times New Roman" w:cs="Calibri"/>
                <w:noProof/>
              </w:rPr>
            </w:pPr>
            <w:r>
              <w:rPr>
                <w:noProof/>
              </w:rPr>
              <w:t>TC-C12-r25</w:t>
            </w:r>
          </w:p>
        </w:tc>
        <w:tc>
          <w:tcPr>
            <w:tcW w:w="1134" w:type="dxa"/>
            <w:shd w:val="clear" w:color="auto" w:fill="C4EFCE"/>
            <w:noWrap/>
            <w:vAlign w:val="center"/>
            <w:hideMark/>
          </w:tcPr>
          <w:p w14:paraId="62EF5924" w14:textId="77777777" w:rsidR="00E040FD" w:rsidRDefault="00740D64">
            <w:pPr>
              <w:pStyle w:val="P68B1DB1-Normal8"/>
              <w:keepNext/>
              <w:spacing w:before="40" w:after="0" w:line="240" w:lineRule="auto"/>
              <w:jc w:val="center"/>
              <w:rPr>
                <w:rFonts w:eastAsia="Times New Roman" w:cs="Calibri"/>
                <w:noProof/>
              </w:rPr>
            </w:pPr>
            <w:r>
              <w:rPr>
                <w:noProof/>
              </w:rPr>
              <w:t>M</w:t>
            </w:r>
          </w:p>
        </w:tc>
        <w:tc>
          <w:tcPr>
            <w:tcW w:w="1701" w:type="dxa"/>
            <w:shd w:val="clear" w:color="auto" w:fill="C4EFCE"/>
            <w:noWrap/>
            <w:vAlign w:val="center"/>
            <w:hideMark/>
          </w:tcPr>
          <w:p w14:paraId="133B9485" w14:textId="77777777" w:rsidR="00E040FD" w:rsidRDefault="00740D64">
            <w:pPr>
              <w:pStyle w:val="P68B1DB1-Normal8"/>
              <w:keepNext/>
              <w:spacing w:before="40" w:after="0" w:line="240" w:lineRule="auto"/>
              <w:jc w:val="center"/>
              <w:rPr>
                <w:rFonts w:eastAsia="Times New Roman" w:cs="Calibri"/>
                <w:noProof/>
              </w:rPr>
            </w:pPr>
            <w:r>
              <w:rPr>
                <w:noProof/>
              </w:rPr>
              <w:t xml:space="preserve">Ikraftträdande av den reviderade nationella strategin för miljöanpassad offentlig upphandling  </w:t>
            </w:r>
          </w:p>
        </w:tc>
        <w:tc>
          <w:tcPr>
            <w:tcW w:w="1275" w:type="dxa"/>
            <w:shd w:val="clear" w:color="auto" w:fill="C4EFCE"/>
            <w:noWrap/>
            <w:vAlign w:val="center"/>
            <w:hideMark/>
          </w:tcPr>
          <w:p w14:paraId="6FBD6F01" w14:textId="77777777" w:rsidR="00E040FD" w:rsidRDefault="00740D64">
            <w:pPr>
              <w:pStyle w:val="P68B1DB1-Normal8"/>
              <w:keepNext/>
              <w:spacing w:before="40" w:after="0" w:line="240" w:lineRule="auto"/>
              <w:jc w:val="center"/>
              <w:rPr>
                <w:rFonts w:eastAsia="Times New Roman" w:cs="Calibri"/>
                <w:noProof/>
              </w:rPr>
            </w:pPr>
            <w:r>
              <w:rPr>
                <w:noProof/>
              </w:rPr>
              <w:t xml:space="preserve"> Ikraftträdande av den reviderade nationella strategin för miljöanpassad offentlig upphandling</w:t>
            </w:r>
          </w:p>
        </w:tc>
        <w:tc>
          <w:tcPr>
            <w:tcW w:w="993" w:type="dxa"/>
            <w:shd w:val="clear" w:color="auto" w:fill="C4EFCE"/>
            <w:noWrap/>
            <w:vAlign w:val="center"/>
            <w:hideMark/>
          </w:tcPr>
          <w:p w14:paraId="51587E83"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992" w:type="dxa"/>
            <w:shd w:val="clear" w:color="auto" w:fill="C4EFCE"/>
            <w:noWrap/>
            <w:vAlign w:val="center"/>
            <w:hideMark/>
          </w:tcPr>
          <w:p w14:paraId="4AFA38E3"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709" w:type="dxa"/>
            <w:shd w:val="clear" w:color="auto" w:fill="C4EFCE"/>
            <w:noWrap/>
            <w:vAlign w:val="center"/>
            <w:hideMark/>
          </w:tcPr>
          <w:p w14:paraId="7C65395F" w14:textId="77777777" w:rsidR="00E040FD" w:rsidRDefault="00740D64">
            <w:pPr>
              <w:pStyle w:val="P68B1DB1-Normal8"/>
              <w:keepNext/>
              <w:spacing w:before="40" w:after="0" w:line="240" w:lineRule="auto"/>
              <w:jc w:val="center"/>
              <w:rPr>
                <w:rFonts w:eastAsia="Times New Roman" w:cs="Calibri"/>
                <w:noProof/>
              </w:rPr>
            </w:pPr>
            <w:r>
              <w:rPr>
                <w:noProof/>
              </w:rPr>
              <w:t> </w:t>
            </w:r>
          </w:p>
        </w:tc>
        <w:tc>
          <w:tcPr>
            <w:tcW w:w="567" w:type="dxa"/>
            <w:shd w:val="clear" w:color="auto" w:fill="C4EFCE"/>
            <w:noWrap/>
            <w:vAlign w:val="center"/>
            <w:hideMark/>
          </w:tcPr>
          <w:p w14:paraId="5256FAB4" w14:textId="77777777" w:rsidR="00E040FD" w:rsidRDefault="00740D64">
            <w:pPr>
              <w:pStyle w:val="P68B1DB1-Normal8"/>
              <w:keepNext/>
              <w:spacing w:before="40"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6DDCBBB5" w14:textId="77777777" w:rsidR="00E040FD" w:rsidRDefault="00740D64">
            <w:pPr>
              <w:pStyle w:val="P68B1DB1-Normal8"/>
              <w:keepNext/>
              <w:spacing w:before="40" w:after="0" w:line="240" w:lineRule="auto"/>
              <w:jc w:val="center"/>
              <w:rPr>
                <w:rFonts w:eastAsia="Times New Roman" w:cs="Calibri"/>
                <w:noProof/>
              </w:rPr>
            </w:pPr>
            <w:r>
              <w:rPr>
                <w:noProof/>
              </w:rPr>
              <w:t>2022</w:t>
            </w:r>
          </w:p>
        </w:tc>
        <w:tc>
          <w:tcPr>
            <w:tcW w:w="3969" w:type="dxa"/>
            <w:shd w:val="clear" w:color="auto" w:fill="C4EFCE"/>
            <w:vAlign w:val="center"/>
            <w:hideMark/>
          </w:tcPr>
          <w:p w14:paraId="4819F34F" w14:textId="77777777" w:rsidR="00E040FD" w:rsidRDefault="00740D64">
            <w:pPr>
              <w:pStyle w:val="P68B1DB1-Normal8"/>
              <w:keepNext/>
              <w:spacing w:before="40" w:after="0" w:line="240" w:lineRule="auto"/>
              <w:jc w:val="both"/>
              <w:rPr>
                <w:rFonts w:eastAsia="Times New Roman" w:cs="Calibri"/>
                <w:noProof/>
              </w:rPr>
            </w:pPr>
            <w:r>
              <w:rPr>
                <w:noProof/>
              </w:rPr>
              <w:t>Ikraftträdande av den reviderade nationella strategin för miljöanpassad offentlig upphandling som specificerar ekologiska kriterier för upphandling av tjänster och produkter som integrerar hållbara biobaserade material, bland annat genom införandet av obligatoriska ekologiska kriterier.</w:t>
            </w:r>
          </w:p>
        </w:tc>
      </w:tr>
      <w:tr w:rsidR="00E040FD" w14:paraId="16B20D57" w14:textId="77777777">
        <w:trPr>
          <w:trHeight w:val="640"/>
        </w:trPr>
        <w:tc>
          <w:tcPr>
            <w:tcW w:w="1135" w:type="dxa"/>
            <w:shd w:val="clear" w:color="auto" w:fill="C4EFCE"/>
            <w:vAlign w:val="center"/>
          </w:tcPr>
          <w:p w14:paraId="39C49F59" w14:textId="55C321DD" w:rsidR="00E040FD" w:rsidRDefault="00740D64">
            <w:pPr>
              <w:pStyle w:val="P68B1DB1-Normal11"/>
              <w:keepNext/>
              <w:spacing w:before="40" w:after="0" w:line="240" w:lineRule="auto"/>
              <w:jc w:val="center"/>
              <w:rPr>
                <w:rFonts w:eastAsia="Times New Roman" w:cstheme="minorHAnsi"/>
                <w:noProof/>
              </w:rPr>
            </w:pPr>
            <w:r>
              <w:rPr>
                <w:noProof/>
              </w:rPr>
              <w:t>12.7</w:t>
            </w:r>
          </w:p>
        </w:tc>
        <w:tc>
          <w:tcPr>
            <w:tcW w:w="1276" w:type="dxa"/>
            <w:shd w:val="clear" w:color="auto" w:fill="C4EFCE"/>
            <w:noWrap/>
            <w:vAlign w:val="center"/>
          </w:tcPr>
          <w:p w14:paraId="4721E143" w14:textId="51E9943A" w:rsidR="00E040FD" w:rsidRDefault="00740D64">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79CBAF90" w14:textId="55797804" w:rsidR="00E040FD" w:rsidRDefault="00740D64">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161B1A8E" w14:textId="2FFE12A3" w:rsidR="00E040FD" w:rsidRDefault="00740D64">
            <w:pPr>
              <w:pStyle w:val="P68B1DB1-Normal12"/>
              <w:keepNext/>
              <w:spacing w:before="40" w:after="0" w:line="240" w:lineRule="auto"/>
              <w:jc w:val="center"/>
              <w:rPr>
                <w:rFonts w:eastAsia="Times New Roman" w:cstheme="minorHAnsi"/>
                <w:noProof/>
              </w:rPr>
            </w:pPr>
            <w:r>
              <w:rPr>
                <w:noProof/>
              </w:rPr>
              <w:t>Ikraftträdande av den harmoniserade definitionen av kriterier för miljömodulering</w:t>
            </w:r>
          </w:p>
        </w:tc>
        <w:tc>
          <w:tcPr>
            <w:tcW w:w="1275" w:type="dxa"/>
            <w:shd w:val="clear" w:color="auto" w:fill="C4EFCE"/>
            <w:noWrap/>
            <w:vAlign w:val="center"/>
          </w:tcPr>
          <w:p w14:paraId="28D67B26" w14:textId="01B175F2" w:rsidR="00E040FD" w:rsidRDefault="00740D64">
            <w:pPr>
              <w:pStyle w:val="P68B1DB1-Normal12"/>
              <w:keepNext/>
              <w:spacing w:before="40" w:after="0" w:line="240" w:lineRule="auto"/>
              <w:jc w:val="center"/>
              <w:rPr>
                <w:rFonts w:eastAsia="Times New Roman" w:cstheme="minorHAnsi"/>
                <w:noProof/>
              </w:rPr>
            </w:pPr>
            <w:r>
              <w:rPr>
                <w:noProof/>
              </w:rPr>
              <w:t>Bestämmelse i rättsakten som anger ikraftträdandet av den harmoniserade definitionen av kriterier för miljömodulering</w:t>
            </w:r>
          </w:p>
        </w:tc>
        <w:tc>
          <w:tcPr>
            <w:tcW w:w="993" w:type="dxa"/>
            <w:shd w:val="clear" w:color="auto" w:fill="C4EFCE"/>
            <w:noWrap/>
            <w:vAlign w:val="center"/>
          </w:tcPr>
          <w:p w14:paraId="473F382C" w14:textId="77777777" w:rsidR="00E040FD" w:rsidRDefault="00E040FD">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5F5AC1E1" w14:textId="77777777" w:rsidR="00E040FD" w:rsidRDefault="00E040FD">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7CCC309" w14:textId="77777777" w:rsidR="00E040FD" w:rsidRDefault="00E040FD">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4562F222" w14:textId="2D8B530C" w:rsidR="00E040FD" w:rsidRDefault="00740D64">
            <w:pPr>
              <w:pStyle w:val="P68B1DB1-Normal12"/>
              <w:keepNext/>
              <w:spacing w:before="40"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7FEFCF39" w14:textId="54FDBFEF" w:rsidR="00E040FD" w:rsidRDefault="00740D64">
            <w:pPr>
              <w:pStyle w:val="P68B1DB1-Normal12"/>
              <w:keepNext/>
              <w:spacing w:before="40" w:after="0" w:line="240" w:lineRule="auto"/>
              <w:jc w:val="center"/>
              <w:rPr>
                <w:rFonts w:eastAsia="Times New Roman" w:cstheme="minorHAnsi"/>
                <w:noProof/>
              </w:rPr>
            </w:pPr>
            <w:r>
              <w:rPr>
                <w:noProof/>
              </w:rPr>
              <w:t>2023</w:t>
            </w:r>
          </w:p>
        </w:tc>
        <w:tc>
          <w:tcPr>
            <w:tcW w:w="3969" w:type="dxa"/>
            <w:shd w:val="clear" w:color="auto" w:fill="C4EFCE"/>
            <w:vAlign w:val="center"/>
          </w:tcPr>
          <w:p w14:paraId="2DEDCBD9" w14:textId="1740201F" w:rsidR="00E040FD" w:rsidRDefault="00740D64">
            <w:pPr>
              <w:pStyle w:val="P68B1DB1-Normal12"/>
              <w:keepNext/>
              <w:spacing w:before="40" w:after="0" w:line="240" w:lineRule="auto"/>
              <w:jc w:val="both"/>
              <w:rPr>
                <w:rFonts w:eastAsia="Times New Roman" w:cstheme="minorHAnsi"/>
                <w:noProof/>
              </w:rPr>
            </w:pPr>
            <w:r>
              <w:rPr>
                <w:noProof/>
              </w:rPr>
              <w:t>Ikraftträdande av en rättsakt som fastställer en harmoniserad och obligatorisk definition av kriterier för miljöanpassning av ekonomiska förmåner i integrerade system inom ramen för utökat producentansvar.</w:t>
            </w:r>
          </w:p>
        </w:tc>
      </w:tr>
      <w:tr w:rsidR="00E040FD" w14:paraId="62815762" w14:textId="77777777">
        <w:trPr>
          <w:trHeight w:val="640"/>
        </w:trPr>
        <w:tc>
          <w:tcPr>
            <w:tcW w:w="1135" w:type="dxa"/>
            <w:shd w:val="clear" w:color="auto" w:fill="C4EFCE"/>
            <w:vAlign w:val="center"/>
          </w:tcPr>
          <w:p w14:paraId="07AC7261" w14:textId="275A6E6F" w:rsidR="00E040FD" w:rsidRDefault="00740D64">
            <w:pPr>
              <w:pStyle w:val="P68B1DB1-Normal11"/>
              <w:keepNext/>
              <w:spacing w:before="40" w:after="0" w:line="240" w:lineRule="auto"/>
              <w:jc w:val="center"/>
              <w:rPr>
                <w:rFonts w:eastAsia="Times New Roman" w:cstheme="minorHAnsi"/>
                <w:noProof/>
              </w:rPr>
            </w:pPr>
            <w:r>
              <w:rPr>
                <w:noProof/>
              </w:rPr>
              <w:t>12.8</w:t>
            </w:r>
          </w:p>
        </w:tc>
        <w:tc>
          <w:tcPr>
            <w:tcW w:w="1276" w:type="dxa"/>
            <w:shd w:val="clear" w:color="auto" w:fill="C4EFCE"/>
            <w:noWrap/>
            <w:vAlign w:val="center"/>
          </w:tcPr>
          <w:p w14:paraId="7DACBA0B" w14:textId="5F170093" w:rsidR="00E040FD" w:rsidRDefault="00740D64">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666A2AC9" w14:textId="0BD59B92" w:rsidR="00E040FD" w:rsidRDefault="00740D64">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11F8455A" w14:textId="4FE660FF" w:rsidR="00E040FD" w:rsidRDefault="00740D64">
            <w:pPr>
              <w:pStyle w:val="P68B1DB1-Normal12"/>
              <w:keepNext/>
              <w:spacing w:before="40" w:after="0" w:line="240" w:lineRule="auto"/>
              <w:jc w:val="center"/>
              <w:rPr>
                <w:rFonts w:eastAsia="Times New Roman" w:cstheme="minorHAnsi"/>
                <w:noProof/>
              </w:rPr>
            </w:pPr>
            <w:r>
              <w:rPr>
                <w:noProof/>
              </w:rPr>
              <w:t>Incitamentssystem för återvinning (pant- och återbetalningssystem) för engångsflaskor, järnhaltiga metaller och aluminium</w:t>
            </w:r>
          </w:p>
        </w:tc>
        <w:tc>
          <w:tcPr>
            <w:tcW w:w="1275" w:type="dxa"/>
            <w:shd w:val="clear" w:color="auto" w:fill="C4EFCE"/>
            <w:noWrap/>
            <w:vAlign w:val="center"/>
          </w:tcPr>
          <w:p w14:paraId="7C89497C" w14:textId="1EB460B7" w:rsidR="00E040FD" w:rsidRDefault="00740D64">
            <w:pPr>
              <w:pStyle w:val="P68B1DB1-Normal12"/>
              <w:keepNext/>
              <w:spacing w:before="40" w:after="0" w:line="240" w:lineRule="auto"/>
              <w:jc w:val="center"/>
              <w:rPr>
                <w:rFonts w:eastAsia="Times New Roman" w:cstheme="minorHAnsi"/>
                <w:noProof/>
              </w:rPr>
            </w:pPr>
            <w:r>
              <w:rPr>
                <w:noProof/>
              </w:rPr>
              <w:t xml:space="preserve">Idrifttagande av pant- och återbetalningssystemet </w:t>
            </w:r>
          </w:p>
        </w:tc>
        <w:tc>
          <w:tcPr>
            <w:tcW w:w="993" w:type="dxa"/>
            <w:shd w:val="clear" w:color="auto" w:fill="C4EFCE"/>
            <w:noWrap/>
            <w:vAlign w:val="center"/>
          </w:tcPr>
          <w:p w14:paraId="39D5184D" w14:textId="77777777" w:rsidR="00E040FD" w:rsidRDefault="00E040FD">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3F121E5C" w14:textId="77777777" w:rsidR="00E040FD" w:rsidRDefault="00E040FD">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52387D7" w14:textId="77777777" w:rsidR="00E040FD" w:rsidRDefault="00E040FD">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2F1F0378" w14:textId="3C6501CE" w:rsidR="00E040FD" w:rsidRDefault="00740D64">
            <w:pPr>
              <w:pStyle w:val="P68B1DB1-Normal12"/>
              <w:keepNext/>
              <w:spacing w:before="40"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53D4ED8E" w14:textId="0A031EF8" w:rsidR="00E040FD" w:rsidRDefault="00740D64">
            <w:pPr>
              <w:pStyle w:val="P68B1DB1-Normal12"/>
              <w:keepNext/>
              <w:spacing w:before="40" w:after="0" w:line="240" w:lineRule="auto"/>
              <w:jc w:val="center"/>
              <w:rPr>
                <w:rFonts w:eastAsia="Times New Roman" w:cstheme="minorHAnsi"/>
                <w:noProof/>
              </w:rPr>
            </w:pPr>
            <w:r>
              <w:rPr>
                <w:noProof/>
              </w:rPr>
              <w:t>2023</w:t>
            </w:r>
          </w:p>
        </w:tc>
        <w:tc>
          <w:tcPr>
            <w:tcW w:w="3969" w:type="dxa"/>
            <w:shd w:val="clear" w:color="auto" w:fill="C4EFCE"/>
            <w:vAlign w:val="center"/>
          </w:tcPr>
          <w:p w14:paraId="2AAA4E0F" w14:textId="1222BCF4" w:rsidR="00E040FD" w:rsidRDefault="00740D64">
            <w:pPr>
              <w:pStyle w:val="P68B1DB1-Normal12"/>
              <w:keepNext/>
              <w:spacing w:before="40" w:after="0" w:line="240" w:lineRule="auto"/>
              <w:jc w:val="both"/>
              <w:rPr>
                <w:rFonts w:eastAsia="Times New Roman" w:cstheme="minorHAnsi"/>
                <w:noProof/>
              </w:rPr>
            </w:pPr>
            <w:r>
              <w:rPr>
                <w:noProof/>
              </w:rPr>
              <w:t>Ett pant- och återbetalningssystem ska tas i drift och tillämpas för plastflaskor, järnmetaller och aluminium som inte kan återanvändas.</w:t>
            </w:r>
          </w:p>
        </w:tc>
      </w:tr>
      <w:tr w:rsidR="00E040FD" w14:paraId="32FCFF9B" w14:textId="77777777">
        <w:trPr>
          <w:trHeight w:val="640"/>
        </w:trPr>
        <w:tc>
          <w:tcPr>
            <w:tcW w:w="1135" w:type="dxa"/>
            <w:shd w:val="clear" w:color="auto" w:fill="C4EFCE"/>
            <w:vAlign w:val="center"/>
          </w:tcPr>
          <w:p w14:paraId="616AFCCE" w14:textId="0499EDB2" w:rsidR="00E040FD" w:rsidRDefault="00740D64">
            <w:pPr>
              <w:pStyle w:val="P68B1DB1-Normal11"/>
              <w:keepNext/>
              <w:spacing w:before="40" w:after="0" w:line="240" w:lineRule="auto"/>
              <w:jc w:val="center"/>
              <w:rPr>
                <w:rFonts w:eastAsia="Times New Roman" w:cstheme="minorHAnsi"/>
                <w:noProof/>
              </w:rPr>
            </w:pPr>
            <w:r>
              <w:rPr>
                <w:noProof/>
              </w:rPr>
              <w:t>12.9</w:t>
            </w:r>
          </w:p>
        </w:tc>
        <w:tc>
          <w:tcPr>
            <w:tcW w:w="1276" w:type="dxa"/>
            <w:shd w:val="clear" w:color="auto" w:fill="C4EFCE"/>
            <w:noWrap/>
            <w:vAlign w:val="center"/>
          </w:tcPr>
          <w:p w14:paraId="6071425A" w14:textId="403D2E54" w:rsidR="00E040FD" w:rsidRDefault="00740D64">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740B5687" w14:textId="64AAC94A" w:rsidR="00E040FD" w:rsidRDefault="00740D64">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72035F18" w14:textId="06F91A11" w:rsidR="00E040FD" w:rsidRDefault="00740D64">
            <w:pPr>
              <w:pStyle w:val="P68B1DB1-Normal12"/>
              <w:keepNext/>
              <w:spacing w:before="40" w:after="0" w:line="240" w:lineRule="auto"/>
              <w:jc w:val="center"/>
              <w:rPr>
                <w:rFonts w:eastAsia="Times New Roman" w:cstheme="minorHAnsi"/>
                <w:noProof/>
              </w:rPr>
            </w:pPr>
            <w:r>
              <w:rPr>
                <w:noProof/>
              </w:rPr>
              <w:t>System för återtagande av avfall som utgörs av eller innehåller elektriska eller elektroniska produkter</w:t>
            </w:r>
          </w:p>
        </w:tc>
        <w:tc>
          <w:tcPr>
            <w:tcW w:w="1275" w:type="dxa"/>
            <w:shd w:val="clear" w:color="auto" w:fill="C4EFCE"/>
            <w:noWrap/>
            <w:vAlign w:val="center"/>
          </w:tcPr>
          <w:p w14:paraId="066404D9" w14:textId="7C6AF3C2" w:rsidR="00E040FD" w:rsidRDefault="00740D64">
            <w:pPr>
              <w:pStyle w:val="P68B1DB1-Normal12"/>
              <w:keepNext/>
              <w:spacing w:before="40" w:after="0" w:line="240" w:lineRule="auto"/>
              <w:jc w:val="center"/>
              <w:rPr>
                <w:rFonts w:eastAsia="Times New Roman" w:cstheme="minorHAnsi"/>
                <w:noProof/>
              </w:rPr>
            </w:pPr>
            <w:r>
              <w:rPr>
                <w:noProof/>
              </w:rPr>
              <w:t>Bestämmelse i lagstiftningen som anger lagstiftningens ikraftträdande</w:t>
            </w:r>
          </w:p>
        </w:tc>
        <w:tc>
          <w:tcPr>
            <w:tcW w:w="993" w:type="dxa"/>
            <w:shd w:val="clear" w:color="auto" w:fill="C4EFCE"/>
            <w:noWrap/>
            <w:vAlign w:val="center"/>
          </w:tcPr>
          <w:p w14:paraId="461AA650" w14:textId="77777777" w:rsidR="00E040FD" w:rsidRDefault="00E040FD">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076B2EB9" w14:textId="77777777" w:rsidR="00E040FD" w:rsidRDefault="00E040FD">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5EC12A6" w14:textId="77777777" w:rsidR="00E040FD" w:rsidRDefault="00E040FD">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3C9440EC" w14:textId="7A24AD19" w:rsidR="00E040FD" w:rsidRDefault="00740D64">
            <w:pPr>
              <w:pStyle w:val="P68B1DB1-Normal12"/>
              <w:keepNext/>
              <w:spacing w:before="40"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1E8B76AD" w14:textId="6C11828E" w:rsidR="00E040FD" w:rsidRDefault="00740D64">
            <w:pPr>
              <w:pStyle w:val="P68B1DB1-Normal12"/>
              <w:keepNext/>
              <w:spacing w:before="40" w:after="0" w:line="240" w:lineRule="auto"/>
              <w:jc w:val="center"/>
              <w:rPr>
                <w:rFonts w:eastAsia="Times New Roman" w:cstheme="minorHAnsi"/>
                <w:noProof/>
              </w:rPr>
            </w:pPr>
            <w:r>
              <w:rPr>
                <w:noProof/>
              </w:rPr>
              <w:t>2025</w:t>
            </w:r>
          </w:p>
        </w:tc>
        <w:tc>
          <w:tcPr>
            <w:tcW w:w="3969" w:type="dxa"/>
            <w:shd w:val="clear" w:color="auto" w:fill="C4EFCE"/>
            <w:vAlign w:val="center"/>
          </w:tcPr>
          <w:p w14:paraId="675495A0" w14:textId="1CFE3794" w:rsidR="00E040FD" w:rsidRDefault="00740D64">
            <w:pPr>
              <w:pStyle w:val="P68B1DB1-Normal12"/>
              <w:keepNext/>
              <w:spacing w:before="40" w:after="0" w:line="240" w:lineRule="auto"/>
              <w:jc w:val="both"/>
              <w:rPr>
                <w:rFonts w:eastAsia="Times New Roman"/>
                <w:noProof/>
              </w:rPr>
            </w:pPr>
            <w:r>
              <w:rPr>
                <w:noProof/>
              </w:rPr>
              <w:t>Efter en oberoende genomförbarhetsstudie, och om studien är positiv, ska lagstiftning träda i kraft som fastställer den rättsliga ramen för införandet av ett system för återtagande av elektriskt och elektroniskt avfall.</w:t>
            </w:r>
          </w:p>
        </w:tc>
      </w:tr>
    </w:tbl>
    <w:p w14:paraId="2DA74A53"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 </w:t>
      </w:r>
    </w:p>
    <w:p w14:paraId="05DB275A"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11FB5CD6"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E040FD" w:rsidSect="00E00EDD">
          <w:headerReference w:type="even" r:id="rId252"/>
          <w:headerReference w:type="default" r:id="rId253"/>
          <w:footerReference w:type="even" r:id="rId254"/>
          <w:footerReference w:type="default" r:id="rId255"/>
          <w:headerReference w:type="first" r:id="rId256"/>
          <w:footerReference w:type="first" r:id="rId257"/>
          <w:pgSz w:w="16839" w:h="11907" w:orient="landscape"/>
          <w:pgMar w:top="1134" w:right="1134" w:bottom="1134" w:left="1134" w:header="567" w:footer="567" w:gutter="0"/>
          <w:cols w:space="720"/>
          <w:docGrid w:linePitch="360"/>
        </w:sectPr>
      </w:pPr>
    </w:p>
    <w:p w14:paraId="73252C7F" w14:textId="77777777" w:rsidR="00E040FD" w:rsidRDefault="00740D64">
      <w:pPr>
        <w:pStyle w:val="P68B1DB1-Normal3"/>
        <w:keepNext/>
        <w:spacing w:before="40" w:after="0" w:line="259" w:lineRule="auto"/>
        <w:ind w:left="130" w:firstLine="720"/>
        <w:jc w:val="both"/>
        <w:outlineLvl w:val="1"/>
        <w:rPr>
          <w:rFonts w:eastAsiaTheme="minorEastAsia" w:cs="Times New Roman"/>
          <w:smallCaps/>
          <w:noProof/>
        </w:rPr>
      </w:pPr>
      <w:r>
        <w:rPr>
          <w:noProof/>
        </w:rPr>
        <w:t>M.</w:t>
      </w:r>
      <w:r>
        <w:rPr>
          <w:smallCaps/>
          <w:noProof/>
        </w:rPr>
        <w:t xml:space="preserve"> KOMPONENT 1</w:t>
      </w:r>
      <w:r>
        <w:rPr>
          <w:noProof/>
        </w:rPr>
        <w:t>3</w:t>
      </w:r>
      <w:r>
        <w:rPr>
          <w:smallCaps/>
          <w:noProof/>
        </w:rPr>
        <w:t xml:space="preserve">: </w:t>
      </w:r>
      <w:r>
        <w:rPr>
          <w:noProof/>
        </w:rPr>
        <w:t>Energieffektivitet i byggnader</w:t>
      </w:r>
    </w:p>
    <w:p w14:paraId="7428EB29" w14:textId="77777777" w:rsidR="00E040FD" w:rsidRDefault="00740D64">
      <w:pPr>
        <w:pStyle w:val="P68B1DB1-Normal4"/>
        <w:keepNext/>
        <w:spacing w:beforeLines="40" w:before="96" w:after="0" w:line="22" w:lineRule="atLeast"/>
        <w:jc w:val="both"/>
        <w:rPr>
          <w:rFonts w:eastAsia="Times New Roman" w:cs="Times New Roman"/>
          <w:noProof/>
        </w:rPr>
      </w:pPr>
      <w:r>
        <w:rPr>
          <w:noProof/>
        </w:rPr>
        <w:t xml:space="preserve">Komponenten tar itu med följande utmaningar: Bostadssektorn står för 18 % av energiförbrukningen och tjänstesektorn för ytterligare 14 %. Byggnader spelar därför en viktig roll för att Portugal ska kunna uppnå sina koldioxidneutralitetsmål. Åtgärder på detta område, särskilt bostadssegmentet, kan också bidra till att lindra energifattigdomen, som fortfarande är ett stort problem i Portugal, där andelen hushåll som inte kan hålla bostäderna tillräckligt varma fortfarande låg på 19 % under 2019. Portugal har åtagit sig att uppnå koldioxidneutralitet senast 2050 och måste därför främja </w:t>
      </w:r>
      <w:r>
        <w:rPr>
          <w:noProof/>
          <w:shd w:val="clear" w:color="auto" w:fill="FFFFFF"/>
        </w:rPr>
        <w:t xml:space="preserve">utfasningen av fossila bränslen i sitt byggnadsbestånd och samtidigt </w:t>
      </w:r>
      <w:r>
        <w:rPr>
          <w:noProof/>
        </w:rPr>
        <w:t>förbättra boendeförhållandena (inomhuskomfort och kvalitet) och överkomliga priser. Detta ska uppnås genom att öka byggnaders energiprestanda, genom att kombinera energieffektivitet och förnybar energi med elektrifiering, och genom att särskilt inrikta sig på låginkomsthushåll för att ta itu med energifattigdom.</w:t>
      </w:r>
    </w:p>
    <w:p w14:paraId="60D27ACE" w14:textId="77777777" w:rsidR="00E040FD" w:rsidRDefault="00740D64">
      <w:pPr>
        <w:pStyle w:val="P68B1DB1-Normal4"/>
        <w:widowControl w:val="0"/>
        <w:spacing w:beforeLines="40" w:before="96" w:after="161" w:line="22" w:lineRule="atLeast"/>
        <w:jc w:val="both"/>
        <w:rPr>
          <w:rFonts w:eastAsia="Calibri" w:cs="Times New Roman"/>
          <w:noProof/>
        </w:rPr>
      </w:pPr>
      <w:r>
        <w:rPr>
          <w:noProof/>
        </w:rPr>
        <w:t>Ett antal ”marknadsmisslyckanden” identifieras och motsvarar ett antal problem som tenderar att försena omvandlingen av byggnadsbeståndet och utnyttjandet av potentiella energibesparingar, såsom</w:t>
      </w:r>
    </w:p>
    <w:p w14:paraId="05BE14DE" w14:textId="77777777" w:rsidR="00E040FD" w:rsidRDefault="00740D64">
      <w:pPr>
        <w:pStyle w:val="P68B1DB1-Normal4"/>
        <w:keepNext/>
        <w:widowControl w:val="0"/>
        <w:numPr>
          <w:ilvl w:val="0"/>
          <w:numId w:val="50"/>
        </w:numPr>
        <w:spacing w:beforeLines="40" w:before="96" w:after="161" w:line="22" w:lineRule="atLeast"/>
        <w:jc w:val="both"/>
        <w:rPr>
          <w:rFonts w:eastAsia="Calibri" w:cs="Times New Roman"/>
          <w:noProof/>
        </w:rPr>
      </w:pPr>
      <w:r>
        <w:rPr>
          <w:noProof/>
        </w:rPr>
        <w:t>bristande förståelse av energianvändning och potentiella besparingar.</w:t>
      </w:r>
    </w:p>
    <w:p w14:paraId="68334EEE" w14:textId="77777777" w:rsidR="00E040FD" w:rsidRDefault="00740D64">
      <w:pPr>
        <w:pStyle w:val="P68B1DB1-Normal4"/>
        <w:keepNext/>
        <w:widowControl w:val="0"/>
        <w:numPr>
          <w:ilvl w:val="0"/>
          <w:numId w:val="50"/>
        </w:numPr>
        <w:spacing w:beforeLines="40" w:before="96" w:after="161" w:line="22" w:lineRule="atLeast"/>
        <w:jc w:val="both"/>
        <w:rPr>
          <w:rFonts w:eastAsia="Calibri" w:cs="Times New Roman"/>
          <w:noProof/>
        </w:rPr>
      </w:pPr>
      <w:r>
        <w:rPr>
          <w:noProof/>
        </w:rPr>
        <w:t>begränsad renoverings- och byggverksamhet efter finanskrisen.</w:t>
      </w:r>
    </w:p>
    <w:p w14:paraId="1367E8D7" w14:textId="77777777" w:rsidR="00E040FD" w:rsidRDefault="00740D64">
      <w:pPr>
        <w:pStyle w:val="P68B1DB1-Normal4"/>
        <w:keepNext/>
        <w:widowControl w:val="0"/>
        <w:numPr>
          <w:ilvl w:val="0"/>
          <w:numId w:val="50"/>
        </w:numPr>
        <w:spacing w:beforeLines="40" w:before="96" w:after="161" w:line="22" w:lineRule="atLeast"/>
        <w:jc w:val="both"/>
        <w:rPr>
          <w:rFonts w:eastAsia="Calibri" w:cs="Times New Roman"/>
          <w:noProof/>
        </w:rPr>
      </w:pPr>
      <w:r>
        <w:rPr>
          <w:noProof/>
        </w:rPr>
        <w:t>brist på attraktiva finansieringsprodukter.</w:t>
      </w:r>
    </w:p>
    <w:p w14:paraId="145C348F" w14:textId="77777777" w:rsidR="00E040FD" w:rsidRDefault="00740D64">
      <w:pPr>
        <w:pStyle w:val="P68B1DB1-Normal4"/>
        <w:keepNext/>
        <w:widowControl w:val="0"/>
        <w:numPr>
          <w:ilvl w:val="0"/>
          <w:numId w:val="50"/>
        </w:numPr>
        <w:spacing w:beforeLines="40" w:before="96" w:after="161" w:line="22" w:lineRule="atLeast"/>
        <w:jc w:val="both"/>
        <w:rPr>
          <w:rFonts w:eastAsia="Calibri" w:cs="Times New Roman"/>
          <w:noProof/>
        </w:rPr>
      </w:pPr>
      <w:r>
        <w:rPr>
          <w:noProof/>
        </w:rPr>
        <w:t>begränsad information om byggnadsbeståndet. och</w:t>
      </w:r>
    </w:p>
    <w:p w14:paraId="30590B1F" w14:textId="77777777" w:rsidR="00E040FD" w:rsidRDefault="00740D64">
      <w:pPr>
        <w:pStyle w:val="P68B1DB1-Normal4"/>
        <w:keepNext/>
        <w:widowControl w:val="0"/>
        <w:numPr>
          <w:ilvl w:val="0"/>
          <w:numId w:val="50"/>
        </w:numPr>
        <w:spacing w:beforeLines="40" w:before="96" w:after="161" w:line="22" w:lineRule="atLeast"/>
        <w:jc w:val="both"/>
        <w:rPr>
          <w:rFonts w:eastAsia="Calibri" w:cs="Times New Roman"/>
          <w:noProof/>
        </w:rPr>
      </w:pPr>
      <w:r>
        <w:rPr>
          <w:noProof/>
        </w:rPr>
        <w:t>begränsad användning av effektiv och smart teknik.</w:t>
      </w:r>
    </w:p>
    <w:p w14:paraId="630C6E70" w14:textId="77777777" w:rsidR="00E040FD" w:rsidRDefault="00740D64">
      <w:pPr>
        <w:pStyle w:val="P68B1DB1-Normal4"/>
        <w:spacing w:beforeLines="40" w:before="96" w:after="0" w:line="22" w:lineRule="atLeast"/>
        <w:jc w:val="both"/>
        <w:rPr>
          <w:rFonts w:eastAsiaTheme="minorEastAsia" w:cs="Times New Roman"/>
          <w:noProof/>
        </w:rPr>
      </w:pPr>
      <w:r>
        <w:rPr>
          <w:noProof/>
        </w:rPr>
        <w:t xml:space="preserve">Syftet med komponenten är att renovera offentliga och privata byggnader för att förbättra deras energiprestanda och komfort och samtidigt minska landets energikostnader och energiberoende, växthusgasutsläpp och energiberoende, minska energifattigdomen och integrera förnybara energikällor i den bebyggda miljön. Detta bör ge många sociala, miljömässiga och ekonomiska fördelar för människor och företag, såsom att skapa lokala arbetstillfällen och minska luftföroreningarna. </w:t>
      </w:r>
    </w:p>
    <w:p w14:paraId="6EF5B825" w14:textId="77777777" w:rsidR="00E040FD" w:rsidRDefault="00740D64">
      <w:pPr>
        <w:pStyle w:val="P68B1DB1-Normal4"/>
        <w:spacing w:beforeLines="40" w:before="96" w:after="0" w:line="22" w:lineRule="atLeast"/>
        <w:jc w:val="both"/>
        <w:rPr>
          <w:rFonts w:eastAsiaTheme="minorEastAsia" w:cs="Times New Roman"/>
          <w:noProof/>
        </w:rPr>
      </w:pPr>
      <w:r>
        <w:rPr>
          <w:noProof/>
        </w:rPr>
        <w:t xml:space="preserve">Komponenten stöder genomförandet av den landsspecifika rekommendationen om investeringar i klimatomställningen, särskilt när det gäller ren och effektiv produktion och användning av energi (landsspecifik rekommendation 3 2020). Den är kopplad till flaggskeppsinitiativet Renovate och är också en del av den gröna omställningen. </w:t>
      </w:r>
    </w:p>
    <w:p w14:paraId="63A64E23" w14:textId="77777777" w:rsidR="00E040FD" w:rsidRDefault="00740D64">
      <w:pPr>
        <w:pStyle w:val="P68B1DB1-Normal4"/>
        <w:spacing w:beforeLines="40" w:before="96" w:after="0" w:line="22" w:lineRule="atLeast"/>
        <w:jc w:val="both"/>
        <w:rPr>
          <w:rFonts w:eastAsiaTheme="minorEastAsia" w:cs="Times New Roman"/>
          <w:noProof/>
        </w:rPr>
      </w:pPr>
      <w:r>
        <w:rPr>
          <w:noProof/>
        </w:rPr>
        <w:t>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w:t>
      </w:r>
    </w:p>
    <w:p w14:paraId="3504A60C" w14:textId="77777777" w:rsidR="00E040FD" w:rsidRDefault="00E040FD">
      <w:pPr>
        <w:spacing w:beforeLines="40" w:before="96" w:after="0" w:line="22" w:lineRule="atLeast"/>
        <w:jc w:val="both"/>
        <w:rPr>
          <w:rFonts w:ascii="Times New Roman" w:eastAsiaTheme="minorEastAsia" w:hAnsi="Times New Roman" w:cs="Times New Roman"/>
          <w:noProof/>
        </w:rPr>
      </w:pPr>
    </w:p>
    <w:p w14:paraId="7E1087BA"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M.1. Beskrivning av reformer och investeringar avseende icke återbetalningspliktigt ekonomiskt stöd</w:t>
      </w:r>
    </w:p>
    <w:p w14:paraId="5B33E3CE" w14:textId="77777777" w:rsidR="00E040FD" w:rsidRDefault="00740D64">
      <w:pPr>
        <w:pStyle w:val="P68B1DB1-Normal5"/>
        <w:spacing w:before="240" w:after="0" w:line="240" w:lineRule="auto"/>
        <w:ind w:left="851"/>
        <w:jc w:val="both"/>
        <w:outlineLvl w:val="2"/>
        <w:rPr>
          <w:rFonts w:eastAsiaTheme="minorEastAsia" w:cs="Times New Roman"/>
          <w:noProof/>
        </w:rPr>
      </w:pPr>
      <w:r>
        <w:rPr>
          <w:noProof/>
        </w:rPr>
        <w:t>Investeringar TC-C13-I01: Energieffektivitet i bostadshus</w:t>
      </w:r>
    </w:p>
    <w:p w14:paraId="70B72BC7"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investering är att främja</w:t>
      </w:r>
      <w:r>
        <w:rPr>
          <w:noProof/>
          <w:shd w:val="clear" w:color="auto" w:fill="FFFFFF"/>
        </w:rPr>
        <w:t xml:space="preserve"> energirenovering av privatägda bostadshus</w:t>
      </w:r>
      <w:r>
        <w:rPr>
          <w:noProof/>
        </w:rPr>
        <w:t xml:space="preserve">, anta energieffektiva lösningar, ersätta ineffektiv utrustning och öka den installerade kapaciteten för att främja energi- och resurseffektivitet, öka egenförbrukningen av förnybar energi och bekämpa energifattigdom. </w:t>
      </w:r>
    </w:p>
    <w:p w14:paraId="3E17583F"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bestå av följande åtgärder:</w:t>
      </w:r>
    </w:p>
    <w:p w14:paraId="20A1328B" w14:textId="77777777" w:rsidR="00E040FD" w:rsidRDefault="00740D64">
      <w:pPr>
        <w:pStyle w:val="P68B1DB1-Normal4"/>
        <w:keepNext/>
        <w:widowControl w:val="0"/>
        <w:numPr>
          <w:ilvl w:val="0"/>
          <w:numId w:val="59"/>
        </w:numPr>
        <w:spacing w:before="40" w:after="136" w:line="240" w:lineRule="auto"/>
        <w:jc w:val="both"/>
        <w:rPr>
          <w:rFonts w:ascii="Calibri" w:eastAsia="Calibri" w:hAnsi="Calibri" w:cs="Calibri"/>
          <w:noProof/>
          <w:sz w:val="21"/>
        </w:rPr>
      </w:pPr>
      <w:r>
        <w:rPr>
          <w:noProof/>
        </w:rPr>
        <w:t>Stödja kostnaderna för projekt (vanligtvis mellan 50 % och 70 % av den totala kostnaden) som främjar renovering, energieffektivitet, utfasning av fossila bränslen, vatteneffektivitet och cirkulär ekonomi i byggnader. Detta ska ske genom årliga tillkännagivanden.</w:t>
      </w:r>
    </w:p>
    <w:p w14:paraId="631CC72D" w14:textId="77777777" w:rsidR="00E040FD" w:rsidRDefault="00740D64">
      <w:pPr>
        <w:pStyle w:val="P68B1DB1-Normal4"/>
        <w:keepNext/>
        <w:widowControl w:val="0"/>
        <w:numPr>
          <w:ilvl w:val="0"/>
          <w:numId w:val="59"/>
        </w:numPr>
        <w:spacing w:before="40" w:after="136" w:line="240" w:lineRule="auto"/>
        <w:jc w:val="both"/>
        <w:rPr>
          <w:rFonts w:ascii="Calibri" w:eastAsia="Calibri" w:hAnsi="Calibri" w:cs="Calibri"/>
          <w:noProof/>
          <w:sz w:val="21"/>
        </w:rPr>
      </w:pPr>
      <w:r>
        <w:rPr>
          <w:noProof/>
        </w:rPr>
        <w:t xml:space="preserve">För låginkomsthushåll som lever i energifattigdom (där upp till 100 % av kostnaden får subventioneras) ska sådana åtgärder kräva ett närmare samarbete mellan centrala och lokala myndigheter och andra aktörer, såsom lokala sammanslutningar. </w:t>
      </w:r>
      <w:r>
        <w:rPr>
          <w:i/>
          <w:noProof/>
        </w:rPr>
        <w:t>Vales eficiência</w:t>
      </w:r>
      <w:r>
        <w:rPr>
          <w:noProof/>
        </w:rPr>
        <w:t>, eller energieffektivitetsvouchrar, till ett värde av i genomsnitt 1 300 EUR vardera, ska utfärdas och levereras till hushåll som lever i energifattigdom, vilket ska ge mottagaren rätt till vissa arbeten, energieffektiva lösningar, utrustning och elektrifiering av energianvändning.</w:t>
      </w:r>
    </w:p>
    <w:p w14:paraId="6211EA87" w14:textId="77777777" w:rsidR="00E040FD" w:rsidRDefault="00740D64">
      <w:pPr>
        <w:pStyle w:val="P68B1DB1-Normal4"/>
        <w:keepNext/>
        <w:numPr>
          <w:ilvl w:val="0"/>
          <w:numId w:val="60"/>
        </w:numPr>
        <w:spacing w:before="40" w:after="160" w:line="259" w:lineRule="auto"/>
        <w:contextualSpacing/>
        <w:jc w:val="both"/>
        <w:rPr>
          <w:rFonts w:eastAsiaTheme="minorEastAsia" w:cs="Times New Roman"/>
          <w:noProof/>
        </w:rPr>
      </w:pPr>
      <w:r>
        <w:rPr>
          <w:noProof/>
        </w:rPr>
        <w:t xml:space="preserve">Stödmaterial ska spridas för att underlätta beslut om de bästa energieffektivitetsåtgärder som ska vidtas. </w:t>
      </w:r>
    </w:p>
    <w:p w14:paraId="645F2D6F" w14:textId="77777777" w:rsidR="00E040FD" w:rsidRDefault="00740D64">
      <w:pPr>
        <w:pStyle w:val="P68B1DB1-Normal4"/>
        <w:keepNext/>
        <w:numPr>
          <w:ilvl w:val="0"/>
          <w:numId w:val="60"/>
        </w:numPr>
        <w:spacing w:before="40" w:after="160" w:line="259" w:lineRule="auto"/>
        <w:contextualSpacing/>
        <w:jc w:val="both"/>
        <w:rPr>
          <w:rFonts w:eastAsiaTheme="minorEastAsia" w:cs="Times New Roman"/>
          <w:noProof/>
        </w:rPr>
      </w:pPr>
      <w:r>
        <w:rPr>
          <w:noProof/>
        </w:rPr>
        <w:t>Kommunikationskanaler och gemensamma kontaktpunkter ska också finnas tillgängliga för att klargöra tvivel om hur detta stöd kan erhållas, i samordning med olika nationella och lokala enheter, så att konsumenterna kan fatta de bästa investeringsbesluten.</w:t>
      </w:r>
    </w:p>
    <w:p w14:paraId="325EE6D9" w14:textId="77777777" w:rsidR="00E040FD" w:rsidRDefault="00740D64">
      <w:pPr>
        <w:pStyle w:val="P68B1DB1-Normal4"/>
        <w:keepNext/>
        <w:spacing w:before="40" w:after="0" w:line="259" w:lineRule="auto"/>
        <w:jc w:val="both"/>
        <w:rPr>
          <w:rFonts w:eastAsiaTheme="minorEastAsia" w:cs="Times New Roman"/>
          <w:noProof/>
        </w:rPr>
      </w:pPr>
      <w:r>
        <w:rPr>
          <w:noProof/>
        </w:rPr>
        <w:t>Den planerade investeringen syftar till att uppnå en genomsnittlig besparing på cirka 200 ktoe primärenergi och en minskning med cirka 150 kt CO2-utsläpp.</w:t>
      </w:r>
    </w:p>
    <w:p w14:paraId="7DCADF68"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6AE98B0B" w14:textId="77777777" w:rsidR="00E040FD" w:rsidRDefault="00740D64">
      <w:pPr>
        <w:pStyle w:val="P68B1DB1-Normal5"/>
        <w:spacing w:before="240" w:after="0" w:line="240" w:lineRule="auto"/>
        <w:ind w:left="851"/>
        <w:jc w:val="both"/>
        <w:outlineLvl w:val="2"/>
        <w:rPr>
          <w:rFonts w:eastAsiaTheme="minorEastAsia" w:cs="Times New Roman"/>
          <w:noProof/>
        </w:rPr>
      </w:pPr>
      <w:r>
        <w:rPr>
          <w:noProof/>
        </w:rPr>
        <w:t>Investeringar TC-C13-I02: Energieffektivitet i statliga myndigheters byggnader</w:t>
      </w:r>
    </w:p>
    <w:p w14:paraId="1C88255A" w14:textId="77777777" w:rsidR="00E040FD" w:rsidRDefault="00740D64">
      <w:pPr>
        <w:pStyle w:val="P68B1DB1-Normal19"/>
        <w:keepNext/>
        <w:spacing w:before="40" w:after="0" w:line="259" w:lineRule="auto"/>
        <w:jc w:val="both"/>
        <w:rPr>
          <w:rFonts w:eastAsiaTheme="minorEastAsia" w:cs="Times New Roman"/>
          <w:noProof/>
          <w:sz w:val="16"/>
        </w:rPr>
      </w:pPr>
      <w:r>
        <w:rPr>
          <w:noProof/>
          <w:sz w:val="24"/>
        </w:rPr>
        <w:t>Syftet med denna investering är att främja</w:t>
      </w:r>
      <w:r>
        <w:rPr>
          <w:noProof/>
          <w:sz w:val="24"/>
          <w:shd w:val="clear" w:color="auto" w:fill="FFFFFF"/>
        </w:rPr>
        <w:t xml:space="preserve"> energirenovering av statliga myndigheters byggnader</w:t>
      </w:r>
      <w:r>
        <w:rPr>
          <w:noProof/>
          <w:sz w:val="24"/>
        </w:rPr>
        <w:t>, främja energi- och resurseffektivitet och öka egenförbrukningen av förnybar energi</w:t>
      </w:r>
      <w:r>
        <w:rPr>
          <w:noProof/>
          <w:sz w:val="16"/>
        </w:rPr>
        <w:t xml:space="preserve">. </w:t>
      </w:r>
    </w:p>
    <w:p w14:paraId="2E0DA704"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ska bestå av åtgärder som främjar renovering, energieffektivitet, utfasning av fossila bränslen, vatteneffektivitet och den cirkulära ekonomin i byggnader. </w:t>
      </w:r>
    </w:p>
    <w:p w14:paraId="5CCD1C91" w14:textId="77777777" w:rsidR="00E040FD" w:rsidRDefault="00740D64">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Meddelanden ska lanseras årligen för de olika typer av byggnadsinsatser som ska fastställas i de effektivitetsplaner som ska utarbetas inom ramen för den europeiska handlingsplanen för miljöinnovation ECO.AP 2030. ECO.AP 2030 ska också vara tillgängligt för att ge tekniskt stöd till centrala offentliga myndigheter när det gäller att identifiera projekt och främja deras genomförande. </w:t>
      </w:r>
    </w:p>
    <w:p w14:paraId="43CDD7E4" w14:textId="77777777" w:rsidR="00E040FD" w:rsidRDefault="00740D64">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Stödmaterial ska spridas till tjänstemän inom den offentliga förvaltningen för att hjälpa dem att besluta om de bästa energieffektivitetsåtgärder som ska vidtas. </w:t>
      </w:r>
    </w:p>
    <w:p w14:paraId="4AE03146" w14:textId="77777777" w:rsidR="00E040FD" w:rsidRDefault="00740D64">
      <w:pPr>
        <w:pStyle w:val="P68B1DB1-Normal4"/>
        <w:keepNext/>
        <w:spacing w:before="40" w:after="0" w:line="259" w:lineRule="auto"/>
        <w:jc w:val="both"/>
        <w:rPr>
          <w:rFonts w:eastAsiaTheme="minorEastAsia" w:cs="Times New Roman"/>
          <w:noProof/>
        </w:rPr>
      </w:pPr>
      <w:r>
        <w:rPr>
          <w:noProof/>
        </w:rPr>
        <w:t>Den planerade investeringen syftar till att uppnå en genomsnittlig besparing på cirka 185 ktoe primärenergi och en minskning med cirka 140</w:t>
      </w:r>
      <w:r>
        <w:rPr>
          <w:noProof/>
          <w:vertAlign w:val="subscript"/>
        </w:rPr>
        <w:t>kt</w:t>
      </w:r>
      <w:r>
        <w:rPr>
          <w:noProof/>
        </w:rPr>
        <w:t xml:space="preserve"> CO2-utsläpp.</w:t>
      </w:r>
    </w:p>
    <w:p w14:paraId="15CF3667"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4966DD71" w14:textId="77777777" w:rsidR="00E040FD" w:rsidRDefault="00740D64">
      <w:pPr>
        <w:pStyle w:val="P68B1DB1-Normal5"/>
        <w:spacing w:before="240" w:after="0" w:line="240" w:lineRule="auto"/>
        <w:ind w:left="851"/>
        <w:jc w:val="both"/>
        <w:outlineLvl w:val="2"/>
        <w:rPr>
          <w:rFonts w:eastAsiaTheme="minorEastAsia" w:cs="Times New Roman"/>
          <w:noProof/>
        </w:rPr>
      </w:pPr>
      <w:r>
        <w:rPr>
          <w:noProof/>
        </w:rPr>
        <w:t>Investeringar TC-C13-I03: Energieffektivitet i byggnader som används inom tjänstesektorn</w:t>
      </w:r>
    </w:p>
    <w:p w14:paraId="0A4A1198" w14:textId="77777777" w:rsidR="00E040FD" w:rsidRDefault="00740D64">
      <w:pPr>
        <w:pStyle w:val="P68B1DB1-Normal4"/>
        <w:spacing w:before="40" w:after="0" w:line="240" w:lineRule="auto"/>
        <w:jc w:val="both"/>
        <w:rPr>
          <w:rFonts w:eastAsiaTheme="minorEastAsia" w:cs="Times New Roman"/>
          <w:noProof/>
        </w:rPr>
      </w:pPr>
      <w:r>
        <w:rPr>
          <w:noProof/>
        </w:rPr>
        <w:t xml:space="preserve">Syftet med denna investering är att främja </w:t>
      </w:r>
      <w:r>
        <w:rPr>
          <w:noProof/>
          <w:shd w:val="clear" w:color="auto" w:fill="FFFFFF"/>
        </w:rPr>
        <w:t>energirenovering av byggnader som används inom tjänstesektorn</w:t>
      </w:r>
      <w:r>
        <w:rPr>
          <w:noProof/>
        </w:rPr>
        <w:t xml:space="preserve">, främja energi- och resurseffektivitet och öka egenförbrukningen av förnybar energi. </w:t>
      </w:r>
    </w:p>
    <w:p w14:paraId="5691AA04" w14:textId="77777777" w:rsidR="00E040FD" w:rsidRDefault="00740D64">
      <w:pPr>
        <w:pStyle w:val="P68B1DB1-Normal4"/>
        <w:spacing w:before="40" w:after="0" w:line="240" w:lineRule="auto"/>
        <w:jc w:val="both"/>
        <w:rPr>
          <w:rFonts w:eastAsiaTheme="minorEastAsia" w:cs="Times New Roman"/>
          <w:noProof/>
        </w:rPr>
      </w:pPr>
      <w:r>
        <w:rPr>
          <w:noProof/>
        </w:rPr>
        <w:t>Denna investering ska bestå av följande åtgärder:</w:t>
      </w:r>
    </w:p>
    <w:p w14:paraId="2D344554" w14:textId="77777777" w:rsidR="00E040FD" w:rsidRDefault="00740D64">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Meddelanden ska lanseras årligen för att ansöka om stöd (vanligtvis mellan 50 % och 70 % av den totala kostnaden) för att dela dessa kostnader i de olika typerna av byggnadsinsatser för att förbättra deras energi- och miljöprestanda. </w:t>
      </w:r>
    </w:p>
    <w:p w14:paraId="4954743E" w14:textId="77777777" w:rsidR="00E040FD" w:rsidRDefault="00740D64">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Stödmaterial ska spridas för att underlätta beslut om de bästa energieffektivitetsåtgärder som ska vidtas. </w:t>
      </w:r>
    </w:p>
    <w:p w14:paraId="47FC485D" w14:textId="77777777" w:rsidR="00E040FD" w:rsidRDefault="00740D64">
      <w:pPr>
        <w:pStyle w:val="P68B1DB1-Normal4"/>
        <w:keepNext/>
        <w:numPr>
          <w:ilvl w:val="0"/>
          <w:numId w:val="30"/>
        </w:numPr>
        <w:spacing w:before="40" w:after="160" w:line="240" w:lineRule="auto"/>
        <w:contextualSpacing/>
        <w:jc w:val="both"/>
        <w:rPr>
          <w:rFonts w:eastAsiaTheme="minorEastAsia" w:cs="Times New Roman"/>
          <w:noProof/>
        </w:rPr>
      </w:pPr>
      <w:r>
        <w:rPr>
          <w:noProof/>
        </w:rPr>
        <w:t>Kommunikationskanaler ska också finnas tillgängliga för att klargöra tvivel om hur detta stöd kan erhållas, i samordning med olika nationella och lokala enheter, så att konsumenterna kan fatta de bästa investeringsbesluten.</w:t>
      </w:r>
    </w:p>
    <w:p w14:paraId="3470E975" w14:textId="77777777" w:rsidR="00E040FD" w:rsidRDefault="00740D64">
      <w:pPr>
        <w:pStyle w:val="P68B1DB1-Normal4"/>
        <w:spacing w:before="40" w:after="0" w:line="240" w:lineRule="auto"/>
        <w:jc w:val="both"/>
        <w:rPr>
          <w:rFonts w:eastAsiaTheme="minorEastAsia" w:cs="Times New Roman"/>
          <w:noProof/>
        </w:rPr>
      </w:pPr>
      <w:r>
        <w:rPr>
          <w:noProof/>
        </w:rPr>
        <w:t>Den planerade investeringen syftar till att uppnå en genomsnittlig besparing på cirka 50 ktoe primärenergi och en minskning med cirka 30</w:t>
      </w:r>
      <w:r>
        <w:rPr>
          <w:noProof/>
          <w:vertAlign w:val="subscript"/>
        </w:rPr>
        <w:t>kt</w:t>
      </w:r>
      <w:r>
        <w:rPr>
          <w:noProof/>
        </w:rPr>
        <w:t xml:space="preserve"> CO2-utsläpp.</w:t>
      </w:r>
    </w:p>
    <w:p w14:paraId="55C9613B" w14:textId="77777777" w:rsidR="00E040FD" w:rsidRDefault="00740D64">
      <w:pPr>
        <w:pStyle w:val="P68B1DB1-Normal4"/>
        <w:spacing w:before="40" w:after="0" w:line="240" w:lineRule="auto"/>
        <w:jc w:val="both"/>
        <w:rPr>
          <w:rFonts w:eastAsiaTheme="minorEastAsia" w:cs="Times New Roman"/>
          <w:noProof/>
        </w:rPr>
        <w:sectPr w:rsidR="00E040FD" w:rsidSect="00E00EDD">
          <w:headerReference w:type="even" r:id="rId258"/>
          <w:headerReference w:type="default" r:id="rId259"/>
          <w:footerReference w:type="even" r:id="rId260"/>
          <w:footerReference w:type="default" r:id="rId261"/>
          <w:headerReference w:type="first" r:id="rId262"/>
          <w:footerReference w:type="first" r:id="rId263"/>
          <w:pgSz w:w="11907" w:h="16839"/>
          <w:pgMar w:top="1134" w:right="1134" w:bottom="1134" w:left="1134" w:header="567" w:footer="567" w:gutter="0"/>
          <w:cols w:space="720"/>
          <w:docGrid w:linePitch="360"/>
        </w:sectPr>
      </w:pPr>
      <w:r>
        <w:rPr>
          <w:noProof/>
        </w:rPr>
        <w:t>Investeringen ska vara genomförd senast den 31 december 2025.</w:t>
      </w:r>
    </w:p>
    <w:p w14:paraId="29A3F2EB"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M.2. Delmål, mål, indikatorer och tidsplan för övervakning och genomförande avseende icke återbetalningspliktigt ekonomiskt stöd</w:t>
      </w:r>
    </w:p>
    <w:p w14:paraId="11AAFD16"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850"/>
        <w:gridCol w:w="992"/>
        <w:gridCol w:w="426"/>
        <w:gridCol w:w="708"/>
        <w:gridCol w:w="3969"/>
      </w:tblGrid>
      <w:tr w:rsidR="00E040FD" w14:paraId="0E0C05EE" w14:textId="77777777">
        <w:trPr>
          <w:trHeight w:val="910"/>
          <w:tblHeader/>
        </w:trPr>
        <w:tc>
          <w:tcPr>
            <w:tcW w:w="1135" w:type="dxa"/>
            <w:vMerge w:val="restart"/>
            <w:shd w:val="clear" w:color="auto" w:fill="BDD6EE"/>
            <w:vAlign w:val="center"/>
            <w:hideMark/>
          </w:tcPr>
          <w:p w14:paraId="67BBF50E"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vAlign w:val="center"/>
            <w:hideMark/>
          </w:tcPr>
          <w:p w14:paraId="30B4FF8A"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vAlign w:val="center"/>
            <w:hideMark/>
          </w:tcPr>
          <w:p w14:paraId="2ABC28BA" w14:textId="6B49251B" w:rsidR="00E040FD" w:rsidRDefault="00740D64">
            <w:pPr>
              <w:pStyle w:val="P68B1DB1-Normal6"/>
              <w:spacing w:after="0" w:line="240" w:lineRule="auto"/>
              <w:jc w:val="center"/>
              <w:rPr>
                <w:rFonts w:eastAsia="Times New Roman" w:cs="Times New Roman"/>
                <w:noProof/>
                <w:sz w:val="14"/>
              </w:rPr>
            </w:pPr>
            <w:r>
              <w:rPr>
                <w:noProof/>
              </w:rPr>
              <w:t>Delmål/mål</w:t>
            </w:r>
          </w:p>
        </w:tc>
        <w:tc>
          <w:tcPr>
            <w:tcW w:w="1701" w:type="dxa"/>
            <w:vMerge w:val="restart"/>
            <w:shd w:val="clear" w:color="auto" w:fill="BDD6EE"/>
            <w:vAlign w:val="center"/>
            <w:hideMark/>
          </w:tcPr>
          <w:p w14:paraId="0F732803"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75" w:type="dxa"/>
            <w:vMerge w:val="restart"/>
            <w:shd w:val="clear" w:color="auto" w:fill="BDD6EE"/>
            <w:vAlign w:val="center"/>
            <w:hideMark/>
          </w:tcPr>
          <w:p w14:paraId="4FD2B6A8"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835" w:type="dxa"/>
            <w:gridSpan w:val="3"/>
            <w:shd w:val="clear" w:color="auto" w:fill="BDD6EE"/>
            <w:vAlign w:val="center"/>
            <w:hideMark/>
          </w:tcPr>
          <w:p w14:paraId="61B63461"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134" w:type="dxa"/>
            <w:gridSpan w:val="2"/>
            <w:shd w:val="clear" w:color="auto" w:fill="BDD6EE"/>
            <w:vAlign w:val="center"/>
            <w:hideMark/>
          </w:tcPr>
          <w:p w14:paraId="260455EA"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3969" w:type="dxa"/>
            <w:vMerge w:val="restart"/>
            <w:shd w:val="clear" w:color="auto" w:fill="BDD6EE"/>
            <w:vAlign w:val="center"/>
            <w:hideMark/>
          </w:tcPr>
          <w:p w14:paraId="0F60C256"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3FAB00E2" w14:textId="77777777">
        <w:trPr>
          <w:trHeight w:val="470"/>
          <w:tblHeader/>
        </w:trPr>
        <w:tc>
          <w:tcPr>
            <w:tcW w:w="1135" w:type="dxa"/>
            <w:vMerge/>
            <w:vAlign w:val="center"/>
            <w:hideMark/>
          </w:tcPr>
          <w:p w14:paraId="7E4C4723"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4F51F516"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shd w:val="clear" w:color="auto" w:fill="BDD6EE"/>
            <w:vAlign w:val="center"/>
            <w:hideMark/>
          </w:tcPr>
          <w:p w14:paraId="16343213" w14:textId="293593C9" w:rsidR="00E040FD" w:rsidRDefault="00E040FD">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6B71B7A6" w14:textId="77777777" w:rsidR="00E040FD" w:rsidRDefault="00E040FD">
            <w:pPr>
              <w:spacing w:after="0" w:line="240" w:lineRule="auto"/>
              <w:rPr>
                <w:rFonts w:ascii="Times New Roman" w:eastAsia="Times New Roman" w:hAnsi="Times New Roman" w:cs="Times New Roman"/>
                <w:b/>
                <w:noProof/>
                <w:sz w:val="18"/>
              </w:rPr>
            </w:pPr>
          </w:p>
        </w:tc>
        <w:tc>
          <w:tcPr>
            <w:tcW w:w="1275" w:type="dxa"/>
            <w:vMerge/>
            <w:vAlign w:val="center"/>
            <w:hideMark/>
          </w:tcPr>
          <w:p w14:paraId="049F56B7" w14:textId="77777777" w:rsidR="00E040FD" w:rsidRDefault="00E040FD">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6FCE643F"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850" w:type="dxa"/>
            <w:shd w:val="clear" w:color="auto" w:fill="BDD6EE"/>
            <w:vAlign w:val="center"/>
            <w:hideMark/>
          </w:tcPr>
          <w:p w14:paraId="5BE8C6D0" w14:textId="77777777" w:rsidR="00E040FD" w:rsidRDefault="00740D64">
            <w:pPr>
              <w:pStyle w:val="P68B1DB1-Normal6"/>
              <w:spacing w:after="0" w:line="240" w:lineRule="auto"/>
              <w:jc w:val="center"/>
              <w:rPr>
                <w:rFonts w:eastAsia="Times New Roman" w:cs="Times New Roman"/>
                <w:noProof/>
              </w:rPr>
            </w:pPr>
            <w:r>
              <w:rPr>
                <w:noProof/>
              </w:rPr>
              <w:t>Utgångsvärde</w:t>
            </w:r>
          </w:p>
        </w:tc>
        <w:tc>
          <w:tcPr>
            <w:tcW w:w="992" w:type="dxa"/>
            <w:shd w:val="clear" w:color="auto" w:fill="BDD6EE"/>
            <w:vAlign w:val="center"/>
            <w:hideMark/>
          </w:tcPr>
          <w:p w14:paraId="0C1FF235" w14:textId="77777777" w:rsidR="00E040FD" w:rsidRDefault="00740D64">
            <w:pPr>
              <w:pStyle w:val="P68B1DB1-Normal6"/>
              <w:spacing w:after="0" w:line="240" w:lineRule="auto"/>
              <w:jc w:val="center"/>
              <w:rPr>
                <w:rFonts w:eastAsia="Times New Roman" w:cs="Times New Roman"/>
                <w:noProof/>
              </w:rPr>
            </w:pPr>
            <w:r>
              <w:rPr>
                <w:noProof/>
              </w:rPr>
              <w:t>Mål</w:t>
            </w:r>
          </w:p>
        </w:tc>
        <w:tc>
          <w:tcPr>
            <w:tcW w:w="426" w:type="dxa"/>
            <w:shd w:val="clear" w:color="auto" w:fill="BDD6EE"/>
            <w:vAlign w:val="center"/>
            <w:hideMark/>
          </w:tcPr>
          <w:p w14:paraId="409B8A29"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2A10157F" w14:textId="77777777" w:rsidR="00E040FD" w:rsidRDefault="00740D64">
            <w:pPr>
              <w:pStyle w:val="P68B1DB1-Normal6"/>
              <w:spacing w:after="0" w:line="240" w:lineRule="auto"/>
              <w:jc w:val="center"/>
              <w:rPr>
                <w:rFonts w:eastAsia="Times New Roman" w:cs="Times New Roman"/>
                <w:noProof/>
              </w:rPr>
            </w:pPr>
            <w:r>
              <w:rPr>
                <w:noProof/>
              </w:rPr>
              <w:t>Året</w:t>
            </w:r>
          </w:p>
        </w:tc>
        <w:tc>
          <w:tcPr>
            <w:tcW w:w="3969" w:type="dxa"/>
            <w:vMerge/>
            <w:vAlign w:val="center"/>
            <w:hideMark/>
          </w:tcPr>
          <w:p w14:paraId="4615715E" w14:textId="77777777" w:rsidR="00E040FD" w:rsidRDefault="00E040FD">
            <w:pPr>
              <w:spacing w:after="0" w:line="240" w:lineRule="auto"/>
              <w:rPr>
                <w:rFonts w:ascii="Times New Roman" w:eastAsia="Times New Roman" w:hAnsi="Times New Roman" w:cs="Times New Roman"/>
                <w:b/>
                <w:noProof/>
                <w:sz w:val="18"/>
              </w:rPr>
            </w:pPr>
          </w:p>
        </w:tc>
      </w:tr>
      <w:tr w:rsidR="00E040FD" w14:paraId="606EC8F0" w14:textId="77777777">
        <w:trPr>
          <w:trHeight w:val="420"/>
        </w:trPr>
        <w:tc>
          <w:tcPr>
            <w:tcW w:w="1135" w:type="dxa"/>
            <w:shd w:val="clear" w:color="auto" w:fill="C4EFCE"/>
            <w:vAlign w:val="center"/>
            <w:hideMark/>
          </w:tcPr>
          <w:p w14:paraId="1E4DC0DC" w14:textId="77777777" w:rsidR="00E040FD" w:rsidRDefault="00740D64">
            <w:pPr>
              <w:pStyle w:val="P68B1DB1-Normal7"/>
              <w:spacing w:after="0" w:line="240" w:lineRule="auto"/>
              <w:jc w:val="center"/>
              <w:rPr>
                <w:rFonts w:eastAsia="Times New Roman" w:cs="Calibri"/>
                <w:noProof/>
              </w:rPr>
            </w:pPr>
            <w:r>
              <w:rPr>
                <w:noProof/>
              </w:rPr>
              <w:t>13.1</w:t>
            </w:r>
          </w:p>
        </w:tc>
        <w:tc>
          <w:tcPr>
            <w:tcW w:w="1276" w:type="dxa"/>
            <w:shd w:val="clear" w:color="auto" w:fill="C4EFCE"/>
            <w:noWrap/>
            <w:vAlign w:val="center"/>
            <w:hideMark/>
          </w:tcPr>
          <w:p w14:paraId="27EC7AD6" w14:textId="77777777" w:rsidR="00E040FD" w:rsidRDefault="00740D64">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36311F16" w14:textId="77777777" w:rsidR="00E040FD" w:rsidRDefault="00740D6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5826370" w14:textId="77777777" w:rsidR="00E040FD" w:rsidRDefault="00740D64">
            <w:pPr>
              <w:pStyle w:val="P68B1DB1-Normal8"/>
              <w:spacing w:after="0" w:line="240" w:lineRule="auto"/>
              <w:rPr>
                <w:rFonts w:eastAsia="Times New Roman" w:cs="Calibri"/>
                <w:noProof/>
              </w:rPr>
            </w:pPr>
            <w:r>
              <w:rPr>
                <w:noProof/>
              </w:rPr>
              <w:t>Energieffektivitetsrenovering av privata bostadshus</w:t>
            </w:r>
          </w:p>
        </w:tc>
        <w:tc>
          <w:tcPr>
            <w:tcW w:w="1275" w:type="dxa"/>
            <w:shd w:val="clear" w:color="auto" w:fill="C4EFCE"/>
            <w:noWrap/>
            <w:vAlign w:val="center"/>
            <w:hideMark/>
          </w:tcPr>
          <w:p w14:paraId="462D8E5D" w14:textId="77777777" w:rsidR="00E040FD" w:rsidRDefault="00740D6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CBB54FC" w14:textId="77777777" w:rsidR="00E040FD" w:rsidRDefault="00740D64">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9B8212A" w14:textId="77777777" w:rsidR="00E040FD" w:rsidRDefault="00740D6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47DD0506" w14:textId="77777777" w:rsidR="00E040FD" w:rsidRDefault="00740D64">
            <w:pPr>
              <w:pStyle w:val="P68B1DB1-Normal8"/>
              <w:spacing w:after="0" w:line="240" w:lineRule="auto"/>
              <w:jc w:val="both"/>
              <w:rPr>
                <w:rFonts w:eastAsia="Times New Roman" w:cs="Calibri"/>
                <w:noProof/>
              </w:rPr>
            </w:pPr>
            <w:r>
              <w:rPr>
                <w:noProof/>
              </w:rPr>
              <w:t>830 000</w:t>
            </w:r>
          </w:p>
        </w:tc>
        <w:tc>
          <w:tcPr>
            <w:tcW w:w="426" w:type="dxa"/>
            <w:shd w:val="clear" w:color="auto" w:fill="C4EFCE"/>
            <w:noWrap/>
            <w:vAlign w:val="center"/>
            <w:hideMark/>
          </w:tcPr>
          <w:p w14:paraId="05169CF0" w14:textId="77777777" w:rsidR="00E040FD" w:rsidRDefault="00740D64">
            <w:pPr>
              <w:pStyle w:val="P68B1DB1-Normal8"/>
              <w:spacing w:after="0" w:line="240" w:lineRule="auto"/>
              <w:jc w:val="both"/>
              <w:rPr>
                <w:rFonts w:eastAsia="Times New Roman" w:cs="Calibri"/>
                <w:noProof/>
              </w:rPr>
            </w:pPr>
            <w:r>
              <w:rPr>
                <w:noProof/>
              </w:rPr>
              <w:t>KVARTAL 2</w:t>
            </w:r>
          </w:p>
        </w:tc>
        <w:tc>
          <w:tcPr>
            <w:tcW w:w="708" w:type="dxa"/>
            <w:shd w:val="clear" w:color="auto" w:fill="C4EFCE"/>
            <w:noWrap/>
            <w:vAlign w:val="center"/>
            <w:hideMark/>
          </w:tcPr>
          <w:p w14:paraId="4F8F49ED" w14:textId="77777777" w:rsidR="00E040FD" w:rsidRDefault="00740D64">
            <w:pPr>
              <w:pStyle w:val="P68B1DB1-Normal8"/>
              <w:spacing w:after="0" w:line="240" w:lineRule="auto"/>
              <w:jc w:val="both"/>
              <w:rPr>
                <w:rFonts w:eastAsia="Times New Roman" w:cs="Calibri"/>
                <w:noProof/>
              </w:rPr>
            </w:pPr>
            <w:r>
              <w:rPr>
                <w:noProof/>
              </w:rPr>
              <w:t>2024</w:t>
            </w:r>
          </w:p>
        </w:tc>
        <w:tc>
          <w:tcPr>
            <w:tcW w:w="3969" w:type="dxa"/>
            <w:shd w:val="clear" w:color="auto" w:fill="C4EFCE"/>
            <w:vAlign w:val="center"/>
            <w:hideMark/>
          </w:tcPr>
          <w:p w14:paraId="4713DF6A" w14:textId="77777777" w:rsidR="00E040FD" w:rsidRDefault="00740D64">
            <w:pPr>
              <w:pStyle w:val="P68B1DB1-Normal8"/>
              <w:spacing w:after="0" w:line="240" w:lineRule="auto"/>
              <w:jc w:val="both"/>
              <w:rPr>
                <w:rFonts w:eastAsia="Times New Roman" w:cs="Calibri"/>
                <w:noProof/>
              </w:rPr>
            </w:pPr>
            <w:r>
              <w:rPr>
                <w:noProof/>
              </w:rPr>
              <w:t>Område för renoverade privata bostadshus. Energieffektivitetsrenoveringar ska i genomsnitt leda till en renovering av minst medelstor omfattning enligt definitionen i kommissionens rekommendation om byggnadsrenovering (EU) 2019/786.</w:t>
            </w:r>
          </w:p>
        </w:tc>
      </w:tr>
      <w:tr w:rsidR="00E040FD" w14:paraId="1017303B" w14:textId="77777777">
        <w:trPr>
          <w:trHeight w:val="420"/>
        </w:trPr>
        <w:tc>
          <w:tcPr>
            <w:tcW w:w="1135" w:type="dxa"/>
            <w:shd w:val="clear" w:color="auto" w:fill="C4EFCE"/>
            <w:vAlign w:val="center"/>
            <w:hideMark/>
          </w:tcPr>
          <w:p w14:paraId="10D598D6" w14:textId="77777777" w:rsidR="00E040FD" w:rsidRDefault="00740D64">
            <w:pPr>
              <w:pStyle w:val="P68B1DB1-Normal7"/>
              <w:spacing w:after="0" w:line="240" w:lineRule="auto"/>
              <w:jc w:val="center"/>
              <w:rPr>
                <w:rFonts w:eastAsia="Times New Roman" w:cs="Calibri"/>
                <w:noProof/>
              </w:rPr>
            </w:pPr>
            <w:r>
              <w:rPr>
                <w:noProof/>
              </w:rPr>
              <w:t>13.2</w:t>
            </w:r>
          </w:p>
        </w:tc>
        <w:tc>
          <w:tcPr>
            <w:tcW w:w="1276" w:type="dxa"/>
            <w:shd w:val="clear" w:color="auto" w:fill="C4EFCE"/>
            <w:noWrap/>
            <w:vAlign w:val="center"/>
            <w:hideMark/>
          </w:tcPr>
          <w:p w14:paraId="6D5511F8" w14:textId="77777777" w:rsidR="00E040FD" w:rsidRDefault="00740D64">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739F5B31" w14:textId="77777777" w:rsidR="00E040FD" w:rsidRDefault="00740D6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437A49A2" w14:textId="77777777" w:rsidR="00E040FD" w:rsidRDefault="00740D64">
            <w:pPr>
              <w:pStyle w:val="P68B1DB1-Normal8"/>
              <w:spacing w:after="0" w:line="240" w:lineRule="auto"/>
              <w:rPr>
                <w:rFonts w:eastAsia="Times New Roman" w:cs="Calibri"/>
                <w:noProof/>
              </w:rPr>
            </w:pPr>
            <w:r>
              <w:rPr>
                <w:noProof/>
              </w:rPr>
              <w:t xml:space="preserve">Energieffektivitetsrenovering av privata bostadshus </w:t>
            </w:r>
          </w:p>
        </w:tc>
        <w:tc>
          <w:tcPr>
            <w:tcW w:w="1275" w:type="dxa"/>
            <w:shd w:val="clear" w:color="auto" w:fill="C4EFCE"/>
            <w:noWrap/>
            <w:vAlign w:val="center"/>
            <w:hideMark/>
          </w:tcPr>
          <w:p w14:paraId="456795CE" w14:textId="77777777" w:rsidR="00E040FD" w:rsidRDefault="00740D6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1EAE464" w14:textId="77777777" w:rsidR="00E040FD" w:rsidRDefault="00740D64">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B48A107" w14:textId="77777777" w:rsidR="00E040FD" w:rsidRDefault="00740D64">
            <w:pPr>
              <w:pStyle w:val="P68B1DB1-Normal8"/>
              <w:spacing w:after="0" w:line="240" w:lineRule="auto"/>
              <w:jc w:val="center"/>
              <w:rPr>
                <w:rFonts w:eastAsia="Times New Roman" w:cs="Calibri"/>
                <w:noProof/>
              </w:rPr>
            </w:pPr>
            <w:r>
              <w:rPr>
                <w:noProof/>
              </w:rPr>
              <w:t>830 000</w:t>
            </w:r>
          </w:p>
        </w:tc>
        <w:tc>
          <w:tcPr>
            <w:tcW w:w="992" w:type="dxa"/>
            <w:shd w:val="clear" w:color="auto" w:fill="C4EFCE"/>
            <w:noWrap/>
            <w:vAlign w:val="center"/>
            <w:hideMark/>
          </w:tcPr>
          <w:p w14:paraId="4C565512" w14:textId="77777777" w:rsidR="00E040FD" w:rsidRDefault="00740D64">
            <w:pPr>
              <w:pStyle w:val="P68B1DB1-Normal8"/>
              <w:spacing w:after="0" w:line="240" w:lineRule="auto"/>
              <w:jc w:val="both"/>
              <w:rPr>
                <w:rFonts w:eastAsia="Times New Roman" w:cs="Calibri"/>
                <w:noProof/>
              </w:rPr>
            </w:pPr>
            <w:r>
              <w:rPr>
                <w:noProof/>
              </w:rPr>
              <w:t>1 020 000</w:t>
            </w:r>
          </w:p>
        </w:tc>
        <w:tc>
          <w:tcPr>
            <w:tcW w:w="426" w:type="dxa"/>
            <w:shd w:val="clear" w:color="auto" w:fill="C4EFCE"/>
            <w:noWrap/>
            <w:vAlign w:val="center"/>
            <w:hideMark/>
          </w:tcPr>
          <w:p w14:paraId="270A70FA" w14:textId="77777777" w:rsidR="00E040FD" w:rsidRDefault="00740D64">
            <w:pPr>
              <w:pStyle w:val="P68B1DB1-Normal8"/>
              <w:spacing w:after="0" w:line="240" w:lineRule="auto"/>
              <w:jc w:val="both"/>
              <w:rPr>
                <w:rFonts w:eastAsia="Times New Roman" w:cs="Calibri"/>
                <w:noProof/>
              </w:rPr>
            </w:pPr>
            <w:r>
              <w:rPr>
                <w:noProof/>
              </w:rPr>
              <w:t>KVARTAL 2</w:t>
            </w:r>
          </w:p>
        </w:tc>
        <w:tc>
          <w:tcPr>
            <w:tcW w:w="708" w:type="dxa"/>
            <w:shd w:val="clear" w:color="auto" w:fill="C4EFCE"/>
            <w:noWrap/>
            <w:vAlign w:val="center"/>
            <w:hideMark/>
          </w:tcPr>
          <w:p w14:paraId="569CEDB4" w14:textId="77777777" w:rsidR="00E040FD" w:rsidRDefault="00740D6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5D57E5C9" w14:textId="77777777" w:rsidR="00E040FD" w:rsidRDefault="00740D64">
            <w:pPr>
              <w:pStyle w:val="P68B1DB1-Normal8"/>
              <w:spacing w:after="0" w:line="240" w:lineRule="auto"/>
              <w:jc w:val="both"/>
              <w:rPr>
                <w:rFonts w:eastAsia="Times New Roman" w:cs="Calibri"/>
                <w:noProof/>
              </w:rPr>
            </w:pPr>
            <w:r>
              <w:rPr>
                <w:noProof/>
              </w:rPr>
              <w:t>Område för renoverade privata bostadshus. Energieffektivitetsrenoveringar ska i genomsnitt leda till en renovering av minst medelstor omfattning enligt definitionen i kommissionens rekommendation om byggnadsrenovering (EU) 2019/786.</w:t>
            </w:r>
          </w:p>
        </w:tc>
      </w:tr>
      <w:tr w:rsidR="00E040FD" w14:paraId="2393B3AE" w14:textId="77777777">
        <w:trPr>
          <w:trHeight w:val="1060"/>
        </w:trPr>
        <w:tc>
          <w:tcPr>
            <w:tcW w:w="1135" w:type="dxa"/>
            <w:shd w:val="clear" w:color="auto" w:fill="C4EFCE"/>
            <w:vAlign w:val="center"/>
            <w:hideMark/>
          </w:tcPr>
          <w:p w14:paraId="67D8B225" w14:textId="77777777" w:rsidR="00E040FD" w:rsidRDefault="00740D64">
            <w:pPr>
              <w:pStyle w:val="P68B1DB1-Normal7"/>
              <w:spacing w:after="0" w:line="240" w:lineRule="auto"/>
              <w:jc w:val="center"/>
              <w:rPr>
                <w:rFonts w:eastAsia="Times New Roman" w:cs="Calibri"/>
                <w:noProof/>
              </w:rPr>
            </w:pPr>
            <w:r>
              <w:rPr>
                <w:noProof/>
              </w:rPr>
              <w:t>13.3</w:t>
            </w:r>
          </w:p>
        </w:tc>
        <w:tc>
          <w:tcPr>
            <w:tcW w:w="1276" w:type="dxa"/>
            <w:shd w:val="clear" w:color="auto" w:fill="C4EFCE"/>
            <w:noWrap/>
            <w:vAlign w:val="center"/>
            <w:hideMark/>
          </w:tcPr>
          <w:p w14:paraId="7F372A8D" w14:textId="77777777" w:rsidR="00E040FD" w:rsidRDefault="00740D64">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02685FC2" w14:textId="77777777" w:rsidR="00E040FD" w:rsidRDefault="00740D6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792E44C1" w14:textId="77777777" w:rsidR="00E040FD" w:rsidRDefault="00740D64">
            <w:pPr>
              <w:pStyle w:val="P68B1DB1-Normal8"/>
              <w:spacing w:after="0" w:line="240" w:lineRule="auto"/>
              <w:rPr>
                <w:rFonts w:eastAsia="Times New Roman" w:cs="Calibri"/>
                <w:noProof/>
              </w:rPr>
            </w:pPr>
            <w:r>
              <w:rPr>
                <w:noProof/>
              </w:rPr>
              <w:t>”Effektivitetsvouchrar” som delas ut till hushåll som lever i energifattigdom för att ersätta gammal utrustning och anta energieffektiva lösningar</w:t>
            </w:r>
          </w:p>
        </w:tc>
        <w:tc>
          <w:tcPr>
            <w:tcW w:w="1275" w:type="dxa"/>
            <w:shd w:val="clear" w:color="auto" w:fill="C4EFCE"/>
            <w:noWrap/>
            <w:vAlign w:val="center"/>
            <w:hideMark/>
          </w:tcPr>
          <w:p w14:paraId="7F10918E" w14:textId="77777777" w:rsidR="00E040FD" w:rsidRDefault="00740D6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9ACE5A7" w14:textId="77777777" w:rsidR="00E040FD" w:rsidRDefault="00740D64">
            <w:pPr>
              <w:pStyle w:val="P68B1DB1-Normal8"/>
              <w:spacing w:after="0" w:line="240" w:lineRule="auto"/>
              <w:jc w:val="center"/>
              <w:rPr>
                <w:rFonts w:eastAsia="Times New Roman" w:cs="Calibri"/>
                <w:noProof/>
              </w:rPr>
            </w:pPr>
            <w:r>
              <w:rPr>
                <w:noProof/>
              </w:rPr>
              <w:t>Antal</w:t>
            </w:r>
          </w:p>
        </w:tc>
        <w:tc>
          <w:tcPr>
            <w:tcW w:w="850" w:type="dxa"/>
            <w:shd w:val="clear" w:color="auto" w:fill="C4EFCE"/>
            <w:noWrap/>
            <w:vAlign w:val="center"/>
            <w:hideMark/>
          </w:tcPr>
          <w:p w14:paraId="38F31541" w14:textId="77777777" w:rsidR="00E040FD" w:rsidRDefault="00740D6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6083336E" w14:textId="77777777" w:rsidR="00E040FD" w:rsidRDefault="00740D64">
            <w:pPr>
              <w:pStyle w:val="P68B1DB1-Normal8"/>
              <w:spacing w:after="0" w:line="240" w:lineRule="auto"/>
              <w:jc w:val="both"/>
              <w:rPr>
                <w:rFonts w:eastAsia="Times New Roman" w:cs="Calibri"/>
                <w:noProof/>
              </w:rPr>
            </w:pPr>
            <w:r>
              <w:rPr>
                <w:noProof/>
              </w:rPr>
              <w:t>100 000</w:t>
            </w:r>
          </w:p>
        </w:tc>
        <w:tc>
          <w:tcPr>
            <w:tcW w:w="426" w:type="dxa"/>
            <w:shd w:val="clear" w:color="auto" w:fill="C4EFCE"/>
            <w:noWrap/>
            <w:vAlign w:val="center"/>
            <w:hideMark/>
          </w:tcPr>
          <w:p w14:paraId="2458F47B" w14:textId="77777777" w:rsidR="00E040FD" w:rsidRDefault="00740D64">
            <w:pPr>
              <w:pStyle w:val="P68B1DB1-Normal8"/>
              <w:spacing w:after="0" w:line="240" w:lineRule="auto"/>
              <w:jc w:val="both"/>
              <w:rPr>
                <w:rFonts w:eastAsia="Times New Roman" w:cs="Calibri"/>
                <w:noProof/>
              </w:rPr>
            </w:pPr>
            <w:r>
              <w:rPr>
                <w:noProof/>
              </w:rPr>
              <w:t>KVARTAL 3</w:t>
            </w:r>
          </w:p>
        </w:tc>
        <w:tc>
          <w:tcPr>
            <w:tcW w:w="708" w:type="dxa"/>
            <w:shd w:val="clear" w:color="auto" w:fill="C4EFCE"/>
            <w:noWrap/>
            <w:vAlign w:val="center"/>
            <w:hideMark/>
          </w:tcPr>
          <w:p w14:paraId="03A7CD48" w14:textId="77777777" w:rsidR="00E040FD" w:rsidRDefault="00740D6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577AF848" w14:textId="77777777" w:rsidR="00E040FD" w:rsidRDefault="00740D64">
            <w:pPr>
              <w:pStyle w:val="P68B1DB1-Normal8"/>
              <w:spacing w:after="0" w:line="240" w:lineRule="auto"/>
              <w:jc w:val="both"/>
              <w:rPr>
                <w:rFonts w:eastAsia="Times New Roman" w:cs="Calibri"/>
                <w:noProof/>
              </w:rPr>
            </w:pPr>
            <w:r>
              <w:rPr>
                <w:noProof/>
              </w:rPr>
              <w:t>Antal ”effektivitetsvouchrar” värda i genomsnitt 1300/voucher EUR, fördelat till hushåll som lever i energifattigdom (av alla hushåll som omfattas av den sociala energiskatten), för inköp av energieffektiv utrustning, såsom värmepumpar, samt för att utföra arbeten för att förbättra hushållets energiprestanda. Det omfattar installationstjänster och insamling av tidigare utrustning (vidarebefordran till en miljömässigt ansvarsfull slutdestination).</w:t>
            </w:r>
          </w:p>
        </w:tc>
      </w:tr>
      <w:tr w:rsidR="00E040FD" w14:paraId="0B0E361D" w14:textId="77777777">
        <w:trPr>
          <w:trHeight w:val="640"/>
        </w:trPr>
        <w:tc>
          <w:tcPr>
            <w:tcW w:w="1135" w:type="dxa"/>
            <w:shd w:val="clear" w:color="auto" w:fill="C4EFCE"/>
            <w:vAlign w:val="center"/>
            <w:hideMark/>
          </w:tcPr>
          <w:p w14:paraId="7460E5A9" w14:textId="77777777" w:rsidR="00E040FD" w:rsidRDefault="00740D64">
            <w:pPr>
              <w:pStyle w:val="P68B1DB1-Normal7"/>
              <w:spacing w:after="0" w:line="240" w:lineRule="auto"/>
              <w:jc w:val="center"/>
              <w:rPr>
                <w:rFonts w:eastAsia="Times New Roman" w:cs="Calibri"/>
                <w:noProof/>
              </w:rPr>
            </w:pPr>
            <w:r>
              <w:rPr>
                <w:noProof/>
              </w:rPr>
              <w:t>13.4</w:t>
            </w:r>
          </w:p>
        </w:tc>
        <w:tc>
          <w:tcPr>
            <w:tcW w:w="1276" w:type="dxa"/>
            <w:shd w:val="clear" w:color="auto" w:fill="C4EFCE"/>
            <w:noWrap/>
            <w:vAlign w:val="center"/>
            <w:hideMark/>
          </w:tcPr>
          <w:p w14:paraId="4457813A" w14:textId="77777777" w:rsidR="00E040FD" w:rsidRDefault="00740D64">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6C055939" w14:textId="77777777" w:rsidR="00E040FD" w:rsidRDefault="00740D6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243CC0AB" w14:textId="77777777" w:rsidR="00E040FD" w:rsidRDefault="00740D64">
            <w:pPr>
              <w:pStyle w:val="P68B1DB1-Normal8"/>
              <w:spacing w:after="0" w:line="240" w:lineRule="auto"/>
              <w:rPr>
                <w:rFonts w:eastAsia="Times New Roman" w:cs="Calibri"/>
                <w:noProof/>
              </w:rPr>
            </w:pPr>
            <w:r>
              <w:rPr>
                <w:noProof/>
              </w:rPr>
              <w:t>Ytterligare produktionskapacitet för förnybar energi för egenförbrukning och för användning i lokalsamhällen som satsar på förnybar energi i den privata bostadssektorn</w:t>
            </w:r>
          </w:p>
        </w:tc>
        <w:tc>
          <w:tcPr>
            <w:tcW w:w="1275" w:type="dxa"/>
            <w:shd w:val="clear" w:color="auto" w:fill="C4EFCE"/>
            <w:noWrap/>
            <w:vAlign w:val="center"/>
            <w:hideMark/>
          </w:tcPr>
          <w:p w14:paraId="49B81565" w14:textId="77777777" w:rsidR="00E040FD" w:rsidRDefault="00740D6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619A327" w14:textId="77777777" w:rsidR="00E040FD" w:rsidRDefault="00740D64">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1094D262" w14:textId="77777777" w:rsidR="00E040FD" w:rsidRDefault="00740D6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3857AA75" w14:textId="77777777" w:rsidR="00E040FD" w:rsidRDefault="00740D64">
            <w:pPr>
              <w:pStyle w:val="P68B1DB1-Normal8"/>
              <w:spacing w:after="0" w:line="240" w:lineRule="auto"/>
              <w:jc w:val="both"/>
              <w:rPr>
                <w:rFonts w:eastAsia="Times New Roman" w:cs="Calibri"/>
                <w:noProof/>
              </w:rPr>
            </w:pPr>
            <w:r>
              <w:rPr>
                <w:noProof/>
              </w:rPr>
              <w:t>35</w:t>
            </w:r>
          </w:p>
        </w:tc>
        <w:tc>
          <w:tcPr>
            <w:tcW w:w="426" w:type="dxa"/>
            <w:shd w:val="clear" w:color="auto" w:fill="C4EFCE"/>
            <w:noWrap/>
            <w:vAlign w:val="center"/>
            <w:hideMark/>
          </w:tcPr>
          <w:p w14:paraId="16330E77" w14:textId="77777777" w:rsidR="00E040FD" w:rsidRDefault="00740D64">
            <w:pPr>
              <w:pStyle w:val="P68B1DB1-Normal8"/>
              <w:spacing w:after="0" w:line="240" w:lineRule="auto"/>
              <w:jc w:val="both"/>
              <w:rPr>
                <w:rFonts w:eastAsia="Times New Roman" w:cs="Calibri"/>
                <w:noProof/>
              </w:rPr>
            </w:pPr>
            <w:r>
              <w:rPr>
                <w:noProof/>
              </w:rPr>
              <w:t>KVARTAL 4</w:t>
            </w:r>
          </w:p>
        </w:tc>
        <w:tc>
          <w:tcPr>
            <w:tcW w:w="708" w:type="dxa"/>
            <w:shd w:val="clear" w:color="auto" w:fill="C4EFCE"/>
            <w:noWrap/>
            <w:vAlign w:val="center"/>
            <w:hideMark/>
          </w:tcPr>
          <w:p w14:paraId="3FBEBB67" w14:textId="77777777" w:rsidR="00E040FD" w:rsidRDefault="00740D6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132845E6" w14:textId="77777777" w:rsidR="00E040FD" w:rsidRDefault="00740D64">
            <w:pPr>
              <w:pStyle w:val="P68B1DB1-Normal8"/>
              <w:spacing w:after="0" w:line="240" w:lineRule="auto"/>
              <w:jc w:val="both"/>
              <w:rPr>
                <w:rFonts w:eastAsia="Times New Roman" w:cs="Calibri"/>
                <w:noProof/>
              </w:rPr>
            </w:pPr>
            <w:r>
              <w:rPr>
                <w:noProof/>
              </w:rPr>
              <w:t>Ytterligare produktionskapacitet för förnybar energi (såsom solcellspaneler och batterier i takt med att den senare tekniken mognar) installerad för egenförbrukning och för användning i lokalsamhällen som satsar på förnybar energi i den privata bostadssektorn.</w:t>
            </w:r>
          </w:p>
        </w:tc>
      </w:tr>
      <w:tr w:rsidR="00E040FD" w14:paraId="72822A32" w14:textId="77777777">
        <w:trPr>
          <w:trHeight w:val="420"/>
        </w:trPr>
        <w:tc>
          <w:tcPr>
            <w:tcW w:w="1135" w:type="dxa"/>
            <w:shd w:val="clear" w:color="auto" w:fill="C4EFCE"/>
            <w:vAlign w:val="center"/>
            <w:hideMark/>
          </w:tcPr>
          <w:p w14:paraId="3B3EBACC" w14:textId="77777777" w:rsidR="00E040FD" w:rsidRDefault="00740D64">
            <w:pPr>
              <w:pStyle w:val="P68B1DB1-Normal7"/>
              <w:spacing w:after="0" w:line="240" w:lineRule="auto"/>
              <w:jc w:val="center"/>
              <w:rPr>
                <w:rFonts w:eastAsia="Times New Roman" w:cs="Calibri"/>
                <w:noProof/>
              </w:rPr>
            </w:pPr>
            <w:r>
              <w:rPr>
                <w:noProof/>
              </w:rPr>
              <w:t>13.5</w:t>
            </w:r>
          </w:p>
        </w:tc>
        <w:tc>
          <w:tcPr>
            <w:tcW w:w="1276" w:type="dxa"/>
            <w:shd w:val="clear" w:color="auto" w:fill="C4EFCE"/>
            <w:noWrap/>
            <w:vAlign w:val="center"/>
            <w:hideMark/>
          </w:tcPr>
          <w:p w14:paraId="7090E9CA" w14:textId="77777777" w:rsidR="00E040FD" w:rsidRDefault="00740D64">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0265E7BE" w14:textId="77777777" w:rsidR="00E040FD" w:rsidRDefault="00740D6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A781328" w14:textId="77777777" w:rsidR="00E040FD" w:rsidRDefault="00740D64">
            <w:pPr>
              <w:pStyle w:val="P68B1DB1-Normal8"/>
              <w:spacing w:after="0" w:line="240" w:lineRule="auto"/>
              <w:jc w:val="both"/>
              <w:rPr>
                <w:rFonts w:eastAsia="Times New Roman" w:cs="Calibri"/>
                <w:noProof/>
              </w:rPr>
            </w:pPr>
            <w:r>
              <w:rPr>
                <w:noProof/>
              </w:rPr>
              <w:t>Energieffektiv renovering av statliga myndigheters byggnader</w:t>
            </w:r>
          </w:p>
        </w:tc>
        <w:tc>
          <w:tcPr>
            <w:tcW w:w="1275" w:type="dxa"/>
            <w:shd w:val="clear" w:color="auto" w:fill="C4EFCE"/>
            <w:noWrap/>
            <w:vAlign w:val="center"/>
            <w:hideMark/>
          </w:tcPr>
          <w:p w14:paraId="0B83A2AE" w14:textId="77777777" w:rsidR="00E040FD" w:rsidRDefault="00740D6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40499B8" w14:textId="77777777" w:rsidR="00E040FD" w:rsidRDefault="00740D64">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4F89FDA3" w14:textId="77777777" w:rsidR="00E040FD" w:rsidRDefault="00740D6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7BD42F3A" w14:textId="77777777" w:rsidR="00E040FD" w:rsidRDefault="00740D64">
            <w:pPr>
              <w:pStyle w:val="P68B1DB1-Normal8"/>
              <w:spacing w:after="0" w:line="240" w:lineRule="auto"/>
              <w:jc w:val="both"/>
              <w:rPr>
                <w:rFonts w:eastAsia="Times New Roman" w:cs="Calibri"/>
                <w:noProof/>
              </w:rPr>
            </w:pPr>
            <w:r>
              <w:rPr>
                <w:noProof/>
              </w:rPr>
              <w:t>1 065 000</w:t>
            </w:r>
          </w:p>
        </w:tc>
        <w:tc>
          <w:tcPr>
            <w:tcW w:w="426" w:type="dxa"/>
            <w:shd w:val="clear" w:color="auto" w:fill="C4EFCE"/>
            <w:noWrap/>
            <w:vAlign w:val="center"/>
            <w:hideMark/>
          </w:tcPr>
          <w:p w14:paraId="1624BC2F" w14:textId="77777777" w:rsidR="00E040FD" w:rsidRDefault="00740D64">
            <w:pPr>
              <w:pStyle w:val="P68B1DB1-Normal8"/>
              <w:spacing w:after="0" w:line="240" w:lineRule="auto"/>
              <w:jc w:val="both"/>
              <w:rPr>
                <w:rFonts w:eastAsia="Times New Roman" w:cs="Calibri"/>
                <w:noProof/>
              </w:rPr>
            </w:pPr>
            <w:r>
              <w:rPr>
                <w:noProof/>
              </w:rPr>
              <w:t>KVARTAL 1</w:t>
            </w:r>
          </w:p>
        </w:tc>
        <w:tc>
          <w:tcPr>
            <w:tcW w:w="708" w:type="dxa"/>
            <w:shd w:val="clear" w:color="auto" w:fill="C4EFCE"/>
            <w:noWrap/>
            <w:vAlign w:val="center"/>
            <w:hideMark/>
          </w:tcPr>
          <w:p w14:paraId="1A541125" w14:textId="77777777" w:rsidR="00E040FD" w:rsidRDefault="00740D6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26228984" w14:textId="77777777" w:rsidR="00E040FD" w:rsidRDefault="00E040FD">
            <w:pPr>
              <w:spacing w:after="0" w:line="240" w:lineRule="auto"/>
              <w:jc w:val="both"/>
              <w:rPr>
                <w:rFonts w:ascii="Calibri" w:eastAsia="Times New Roman" w:hAnsi="Calibri" w:cs="Calibri"/>
                <w:noProof/>
                <w:sz w:val="16"/>
              </w:rPr>
            </w:pPr>
          </w:p>
          <w:p w14:paraId="160254F6" w14:textId="77777777" w:rsidR="00E040FD" w:rsidRDefault="00740D64">
            <w:pPr>
              <w:pStyle w:val="P68B1DB1-Normal8"/>
              <w:spacing w:after="0" w:line="240" w:lineRule="auto"/>
              <w:jc w:val="both"/>
              <w:rPr>
                <w:rFonts w:eastAsia="Times New Roman" w:cs="Calibri"/>
                <w:noProof/>
              </w:rPr>
            </w:pPr>
            <w:r>
              <w:rPr>
                <w:noProof/>
              </w:rPr>
              <w:t>Område med renoverade statliga byggnader. Energieffektivitetsrenoveringar ska i genomsnitt leda till en renovering av minst medelstor omfattning enligt definitionen i kommissionens rekommendation om byggnadsrenovering (EU) 2019/786.</w:t>
            </w:r>
          </w:p>
        </w:tc>
      </w:tr>
      <w:tr w:rsidR="00E040FD" w14:paraId="3AB1A080" w14:textId="77777777">
        <w:trPr>
          <w:trHeight w:val="420"/>
        </w:trPr>
        <w:tc>
          <w:tcPr>
            <w:tcW w:w="1135" w:type="dxa"/>
            <w:shd w:val="clear" w:color="auto" w:fill="C4EFCE"/>
            <w:vAlign w:val="center"/>
            <w:hideMark/>
          </w:tcPr>
          <w:p w14:paraId="60E0C01F" w14:textId="77777777" w:rsidR="00E040FD" w:rsidRDefault="00740D64">
            <w:pPr>
              <w:pStyle w:val="P68B1DB1-Normal7"/>
              <w:spacing w:after="0" w:line="240" w:lineRule="auto"/>
              <w:jc w:val="center"/>
              <w:rPr>
                <w:rFonts w:eastAsia="Times New Roman" w:cs="Calibri"/>
                <w:noProof/>
              </w:rPr>
            </w:pPr>
            <w:r>
              <w:rPr>
                <w:noProof/>
              </w:rPr>
              <w:t>13.6</w:t>
            </w:r>
          </w:p>
        </w:tc>
        <w:tc>
          <w:tcPr>
            <w:tcW w:w="1276" w:type="dxa"/>
            <w:shd w:val="clear" w:color="auto" w:fill="C4EFCE"/>
            <w:noWrap/>
            <w:vAlign w:val="center"/>
            <w:hideMark/>
          </w:tcPr>
          <w:p w14:paraId="293744CC" w14:textId="77777777" w:rsidR="00E040FD" w:rsidRDefault="00740D64">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4857104A" w14:textId="77777777" w:rsidR="00E040FD" w:rsidRDefault="00740D6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4F18B9FA" w14:textId="77777777" w:rsidR="00E040FD" w:rsidRDefault="00740D64">
            <w:pPr>
              <w:pStyle w:val="P68B1DB1-Normal8"/>
              <w:spacing w:after="0" w:line="240" w:lineRule="auto"/>
              <w:jc w:val="both"/>
              <w:rPr>
                <w:rFonts w:eastAsia="Times New Roman" w:cs="Calibri"/>
                <w:noProof/>
              </w:rPr>
            </w:pPr>
            <w:r>
              <w:rPr>
                <w:noProof/>
              </w:rPr>
              <w:t xml:space="preserve">Energieffektiv renovering av statliga myndigheters byggnader </w:t>
            </w:r>
          </w:p>
        </w:tc>
        <w:tc>
          <w:tcPr>
            <w:tcW w:w="1275" w:type="dxa"/>
            <w:shd w:val="clear" w:color="auto" w:fill="C4EFCE"/>
            <w:noWrap/>
            <w:vAlign w:val="center"/>
            <w:hideMark/>
          </w:tcPr>
          <w:p w14:paraId="02A39686" w14:textId="77777777" w:rsidR="00E040FD" w:rsidRDefault="00740D6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8D238F8" w14:textId="77777777" w:rsidR="00E040FD" w:rsidRDefault="00740D64">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3E054F8" w14:textId="62C82D65" w:rsidR="00E040FD" w:rsidRDefault="00740D64">
            <w:pPr>
              <w:pStyle w:val="P68B1DB1-Normal8"/>
              <w:spacing w:after="0" w:line="240" w:lineRule="auto"/>
              <w:jc w:val="center"/>
              <w:rPr>
                <w:rFonts w:eastAsia="Times New Roman" w:cs="Calibri"/>
                <w:noProof/>
              </w:rPr>
            </w:pPr>
            <w:r>
              <w:rPr>
                <w:noProof/>
              </w:rPr>
              <w:t>1 065 000</w:t>
            </w:r>
          </w:p>
        </w:tc>
        <w:tc>
          <w:tcPr>
            <w:tcW w:w="992" w:type="dxa"/>
            <w:shd w:val="clear" w:color="auto" w:fill="C4EFCE"/>
            <w:noWrap/>
            <w:vAlign w:val="center"/>
            <w:hideMark/>
          </w:tcPr>
          <w:p w14:paraId="20287487" w14:textId="77777777" w:rsidR="00E040FD" w:rsidRDefault="00740D64">
            <w:pPr>
              <w:pStyle w:val="P68B1DB1-Normal8"/>
              <w:spacing w:after="0" w:line="240" w:lineRule="auto"/>
              <w:jc w:val="both"/>
              <w:rPr>
                <w:rFonts w:eastAsia="Times New Roman" w:cs="Calibri"/>
                <w:noProof/>
              </w:rPr>
            </w:pPr>
            <w:r>
              <w:rPr>
                <w:noProof/>
              </w:rPr>
              <w:t>1 255 000</w:t>
            </w:r>
          </w:p>
        </w:tc>
        <w:tc>
          <w:tcPr>
            <w:tcW w:w="426" w:type="dxa"/>
            <w:shd w:val="clear" w:color="auto" w:fill="C4EFCE"/>
            <w:noWrap/>
            <w:vAlign w:val="center"/>
            <w:hideMark/>
          </w:tcPr>
          <w:p w14:paraId="4B0B2EFE" w14:textId="77777777" w:rsidR="00E040FD" w:rsidRDefault="00740D64">
            <w:pPr>
              <w:pStyle w:val="P68B1DB1-Normal8"/>
              <w:spacing w:after="0" w:line="240" w:lineRule="auto"/>
              <w:jc w:val="both"/>
              <w:rPr>
                <w:rFonts w:eastAsia="Times New Roman" w:cs="Calibri"/>
                <w:noProof/>
              </w:rPr>
            </w:pPr>
            <w:r>
              <w:rPr>
                <w:noProof/>
              </w:rPr>
              <w:t>KVARTAL 4</w:t>
            </w:r>
          </w:p>
        </w:tc>
        <w:tc>
          <w:tcPr>
            <w:tcW w:w="708" w:type="dxa"/>
            <w:shd w:val="clear" w:color="auto" w:fill="C4EFCE"/>
            <w:noWrap/>
            <w:vAlign w:val="center"/>
            <w:hideMark/>
          </w:tcPr>
          <w:p w14:paraId="071698D9" w14:textId="77777777" w:rsidR="00E040FD" w:rsidRDefault="00740D6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08F276C1" w14:textId="77777777" w:rsidR="00E040FD" w:rsidRDefault="00E040FD">
            <w:pPr>
              <w:spacing w:after="0" w:line="240" w:lineRule="auto"/>
              <w:jc w:val="both"/>
              <w:rPr>
                <w:rFonts w:ascii="Calibri" w:eastAsia="Times New Roman" w:hAnsi="Calibri" w:cs="Calibri"/>
                <w:noProof/>
                <w:sz w:val="16"/>
              </w:rPr>
            </w:pPr>
          </w:p>
          <w:p w14:paraId="58C28D3F" w14:textId="77777777" w:rsidR="00E040FD" w:rsidRDefault="00740D64">
            <w:pPr>
              <w:pStyle w:val="P68B1DB1-Normal8"/>
              <w:spacing w:after="0" w:line="240" w:lineRule="auto"/>
              <w:jc w:val="both"/>
              <w:rPr>
                <w:rFonts w:eastAsia="Times New Roman" w:cs="Calibri"/>
                <w:noProof/>
              </w:rPr>
            </w:pPr>
            <w:r>
              <w:rPr>
                <w:noProof/>
              </w:rPr>
              <w:t>Område med renoverade statliga byggnader. Energieffektivitetsrenoveringar ska i genomsnitt leda till en renovering av minst medelstor omfattning enligt definitionen i kommissionens rekommendation om byggnadsrenovering (EU) 2019/786.</w:t>
            </w:r>
          </w:p>
        </w:tc>
      </w:tr>
      <w:tr w:rsidR="00E040FD" w14:paraId="6107EFB2" w14:textId="77777777">
        <w:trPr>
          <w:trHeight w:val="1791"/>
        </w:trPr>
        <w:tc>
          <w:tcPr>
            <w:tcW w:w="1135" w:type="dxa"/>
            <w:shd w:val="clear" w:color="auto" w:fill="C4EFCE"/>
            <w:vAlign w:val="center"/>
            <w:hideMark/>
          </w:tcPr>
          <w:p w14:paraId="6E63D5C7" w14:textId="77777777" w:rsidR="00E040FD" w:rsidRDefault="00740D64">
            <w:pPr>
              <w:pStyle w:val="P68B1DB1-Normal7"/>
              <w:spacing w:after="0" w:line="240" w:lineRule="auto"/>
              <w:jc w:val="center"/>
              <w:rPr>
                <w:rFonts w:eastAsia="Times New Roman" w:cs="Calibri"/>
                <w:noProof/>
              </w:rPr>
            </w:pPr>
            <w:r>
              <w:rPr>
                <w:noProof/>
              </w:rPr>
              <w:t>13.7</w:t>
            </w:r>
          </w:p>
        </w:tc>
        <w:tc>
          <w:tcPr>
            <w:tcW w:w="1276" w:type="dxa"/>
            <w:shd w:val="clear" w:color="auto" w:fill="C4EFCE"/>
            <w:noWrap/>
            <w:vAlign w:val="center"/>
            <w:hideMark/>
          </w:tcPr>
          <w:p w14:paraId="070D1DC5" w14:textId="77777777" w:rsidR="00E040FD" w:rsidRDefault="00740D64">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1D3BC664" w14:textId="77777777" w:rsidR="00E040FD" w:rsidRDefault="00740D6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936AA2B" w14:textId="77777777" w:rsidR="00E040FD" w:rsidRDefault="00740D64">
            <w:pPr>
              <w:pStyle w:val="P68B1DB1-Normal8"/>
              <w:spacing w:after="0" w:line="240" w:lineRule="auto"/>
              <w:jc w:val="both"/>
              <w:rPr>
                <w:rFonts w:eastAsia="Times New Roman" w:cs="Calibri"/>
                <w:noProof/>
              </w:rPr>
            </w:pPr>
            <w:r>
              <w:rPr>
                <w:noProof/>
              </w:rPr>
              <w:t xml:space="preserve">Ytterligare produktionskapacitet för förnybar energi för egenförbrukning och för användning i gemenskaper för förnybar energi i statliga byggnader </w:t>
            </w:r>
          </w:p>
        </w:tc>
        <w:tc>
          <w:tcPr>
            <w:tcW w:w="1275" w:type="dxa"/>
            <w:shd w:val="clear" w:color="auto" w:fill="C4EFCE"/>
            <w:noWrap/>
            <w:vAlign w:val="center"/>
            <w:hideMark/>
          </w:tcPr>
          <w:p w14:paraId="612B042B" w14:textId="77777777" w:rsidR="00E040FD" w:rsidRDefault="00740D6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4A4BC993" w14:textId="77777777" w:rsidR="00E040FD" w:rsidRDefault="00740D64">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5880F214" w14:textId="77777777" w:rsidR="00E040FD" w:rsidRDefault="00740D6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65D3D5C3" w14:textId="77777777" w:rsidR="00E040FD" w:rsidRDefault="00740D64">
            <w:pPr>
              <w:pStyle w:val="P68B1DB1-Normal8"/>
              <w:spacing w:after="0" w:line="240" w:lineRule="auto"/>
              <w:jc w:val="both"/>
              <w:rPr>
                <w:rFonts w:eastAsia="Times New Roman" w:cs="Calibri"/>
                <w:noProof/>
              </w:rPr>
            </w:pPr>
            <w:r>
              <w:rPr>
                <w:noProof/>
              </w:rPr>
              <w:t>28</w:t>
            </w:r>
          </w:p>
        </w:tc>
        <w:tc>
          <w:tcPr>
            <w:tcW w:w="426" w:type="dxa"/>
            <w:shd w:val="clear" w:color="auto" w:fill="C4EFCE"/>
            <w:noWrap/>
            <w:vAlign w:val="center"/>
            <w:hideMark/>
          </w:tcPr>
          <w:p w14:paraId="0ABC7448" w14:textId="77777777" w:rsidR="00E040FD" w:rsidRDefault="00740D64">
            <w:pPr>
              <w:pStyle w:val="P68B1DB1-Normal8"/>
              <w:spacing w:after="0" w:line="240" w:lineRule="auto"/>
              <w:jc w:val="both"/>
              <w:rPr>
                <w:rFonts w:eastAsia="Times New Roman" w:cs="Calibri"/>
                <w:noProof/>
              </w:rPr>
            </w:pPr>
            <w:r>
              <w:rPr>
                <w:noProof/>
              </w:rPr>
              <w:t>KVARTAL 4</w:t>
            </w:r>
          </w:p>
        </w:tc>
        <w:tc>
          <w:tcPr>
            <w:tcW w:w="708" w:type="dxa"/>
            <w:shd w:val="clear" w:color="auto" w:fill="C4EFCE"/>
            <w:noWrap/>
            <w:vAlign w:val="center"/>
            <w:hideMark/>
          </w:tcPr>
          <w:p w14:paraId="7AC5AAD8" w14:textId="77777777" w:rsidR="00E040FD" w:rsidRDefault="00740D6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0C38259F" w14:textId="77777777" w:rsidR="00E040FD" w:rsidRDefault="00740D64">
            <w:pPr>
              <w:pStyle w:val="P68B1DB1-Normal8"/>
              <w:spacing w:after="0" w:line="240" w:lineRule="auto"/>
              <w:jc w:val="both"/>
              <w:rPr>
                <w:rFonts w:eastAsia="Times New Roman" w:cs="Calibri"/>
                <w:noProof/>
              </w:rPr>
            </w:pPr>
            <w:r>
              <w:rPr>
                <w:noProof/>
              </w:rPr>
              <w:t xml:space="preserve">Ytterligare produktionskapacitet för förnybar energi (såsom solcellspaneler och batterier i takt med att den senare tekniken mognar) för egenförbrukning och för användning i lokalsamhällen som satsar på förnybar energi i statliga myndigheters byggnader. </w:t>
            </w:r>
          </w:p>
        </w:tc>
      </w:tr>
      <w:tr w:rsidR="00E040FD" w14:paraId="315A0896" w14:textId="77777777">
        <w:trPr>
          <w:trHeight w:val="630"/>
        </w:trPr>
        <w:tc>
          <w:tcPr>
            <w:tcW w:w="1135" w:type="dxa"/>
            <w:shd w:val="clear" w:color="auto" w:fill="C4EFCE"/>
            <w:vAlign w:val="center"/>
            <w:hideMark/>
          </w:tcPr>
          <w:p w14:paraId="08835C94" w14:textId="77777777" w:rsidR="00E040FD" w:rsidRDefault="00740D64">
            <w:pPr>
              <w:pStyle w:val="P68B1DB1-Normal7"/>
              <w:spacing w:after="0" w:line="240" w:lineRule="auto"/>
              <w:jc w:val="center"/>
              <w:rPr>
                <w:rFonts w:eastAsia="Times New Roman" w:cs="Calibri"/>
                <w:noProof/>
              </w:rPr>
            </w:pPr>
            <w:r>
              <w:rPr>
                <w:noProof/>
              </w:rPr>
              <w:t>13.8</w:t>
            </w:r>
          </w:p>
        </w:tc>
        <w:tc>
          <w:tcPr>
            <w:tcW w:w="1276" w:type="dxa"/>
            <w:shd w:val="clear" w:color="auto" w:fill="C4EFCE"/>
            <w:noWrap/>
            <w:vAlign w:val="center"/>
            <w:hideMark/>
          </w:tcPr>
          <w:p w14:paraId="3283563C" w14:textId="77777777" w:rsidR="00E040FD" w:rsidRDefault="00740D64">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739005AC" w14:textId="77777777" w:rsidR="00E040FD" w:rsidRDefault="00740D6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77369B6E" w14:textId="77777777" w:rsidR="00E040FD" w:rsidRDefault="00740D64">
            <w:pPr>
              <w:pStyle w:val="P68B1DB1-Normal8"/>
              <w:spacing w:after="0" w:line="240" w:lineRule="auto"/>
              <w:jc w:val="both"/>
              <w:rPr>
                <w:rFonts w:eastAsia="Times New Roman" w:cs="Calibri"/>
                <w:noProof/>
              </w:rPr>
            </w:pPr>
            <w:r>
              <w:rPr>
                <w:noProof/>
              </w:rPr>
              <w:t>Energieffektiv renovering av byggnader för privata tjänster</w:t>
            </w:r>
          </w:p>
        </w:tc>
        <w:tc>
          <w:tcPr>
            <w:tcW w:w="1275" w:type="dxa"/>
            <w:shd w:val="clear" w:color="auto" w:fill="C4EFCE"/>
            <w:noWrap/>
            <w:vAlign w:val="center"/>
            <w:hideMark/>
          </w:tcPr>
          <w:p w14:paraId="04F5C639" w14:textId="77777777" w:rsidR="00E040FD" w:rsidRDefault="00740D6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63C2248A" w14:textId="77777777" w:rsidR="00E040FD" w:rsidRDefault="00740D64">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2A00A5F0" w14:textId="77777777" w:rsidR="00E040FD" w:rsidRDefault="00740D6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75EABFED" w14:textId="77777777" w:rsidR="00E040FD" w:rsidRDefault="00740D64">
            <w:pPr>
              <w:pStyle w:val="P68B1DB1-Normal8"/>
              <w:spacing w:after="0" w:line="240" w:lineRule="auto"/>
              <w:jc w:val="both"/>
              <w:rPr>
                <w:rFonts w:eastAsia="Times New Roman" w:cs="Calibri"/>
                <w:noProof/>
              </w:rPr>
            </w:pPr>
            <w:r>
              <w:rPr>
                <w:noProof/>
              </w:rPr>
              <w:t>315 000</w:t>
            </w:r>
          </w:p>
        </w:tc>
        <w:tc>
          <w:tcPr>
            <w:tcW w:w="426" w:type="dxa"/>
            <w:shd w:val="clear" w:color="auto" w:fill="C4EFCE"/>
            <w:noWrap/>
            <w:vAlign w:val="center"/>
            <w:hideMark/>
          </w:tcPr>
          <w:p w14:paraId="49D1DBD6" w14:textId="77777777" w:rsidR="00E040FD" w:rsidRDefault="00740D64">
            <w:pPr>
              <w:pStyle w:val="P68B1DB1-Normal8"/>
              <w:spacing w:after="0" w:line="240" w:lineRule="auto"/>
              <w:jc w:val="both"/>
              <w:rPr>
                <w:rFonts w:eastAsia="Times New Roman" w:cs="Calibri"/>
                <w:noProof/>
              </w:rPr>
            </w:pPr>
            <w:r>
              <w:rPr>
                <w:noProof/>
              </w:rPr>
              <w:t>KVARTAL 1</w:t>
            </w:r>
          </w:p>
        </w:tc>
        <w:tc>
          <w:tcPr>
            <w:tcW w:w="708" w:type="dxa"/>
            <w:shd w:val="clear" w:color="auto" w:fill="C4EFCE"/>
            <w:noWrap/>
            <w:vAlign w:val="center"/>
            <w:hideMark/>
          </w:tcPr>
          <w:p w14:paraId="12EB7A96" w14:textId="77777777" w:rsidR="00E040FD" w:rsidRDefault="00740D6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6ECA77CC" w14:textId="77777777" w:rsidR="00E040FD" w:rsidRDefault="00E040FD">
            <w:pPr>
              <w:spacing w:after="0" w:line="240" w:lineRule="auto"/>
              <w:jc w:val="both"/>
              <w:rPr>
                <w:rFonts w:ascii="Calibri" w:eastAsia="Times New Roman" w:hAnsi="Calibri" w:cs="Calibri"/>
                <w:noProof/>
                <w:sz w:val="16"/>
              </w:rPr>
            </w:pPr>
          </w:p>
          <w:p w14:paraId="6862CCDC" w14:textId="77777777" w:rsidR="00E040FD" w:rsidRDefault="00740D64">
            <w:pPr>
              <w:pStyle w:val="P68B1DB1-Normal8"/>
              <w:spacing w:after="0" w:line="240" w:lineRule="auto"/>
              <w:jc w:val="both"/>
              <w:rPr>
                <w:rFonts w:eastAsia="Times New Roman" w:cs="Calibri"/>
                <w:noProof/>
              </w:rPr>
            </w:pPr>
            <w:r>
              <w:rPr>
                <w:noProof/>
              </w:rPr>
              <w:t>Område med renoverade byggnader som används av de privata tjänsterna. Energieffektivitetsrenoveringar ska i genomsnitt leda till en renovering av minst medelstor omfattning enligt definitionen i kommissionens rekommendation om byggnadsrenovering (EU) 2019/786.</w:t>
            </w:r>
          </w:p>
        </w:tc>
      </w:tr>
      <w:tr w:rsidR="00E040FD" w14:paraId="7CEEEEA3" w14:textId="77777777">
        <w:trPr>
          <w:trHeight w:val="630"/>
        </w:trPr>
        <w:tc>
          <w:tcPr>
            <w:tcW w:w="1135" w:type="dxa"/>
            <w:shd w:val="clear" w:color="auto" w:fill="C4EFCE"/>
            <w:vAlign w:val="center"/>
            <w:hideMark/>
          </w:tcPr>
          <w:p w14:paraId="1558A3B7" w14:textId="77777777" w:rsidR="00E040FD" w:rsidRDefault="00740D64">
            <w:pPr>
              <w:pStyle w:val="P68B1DB1-Normal7"/>
              <w:spacing w:after="0" w:line="240" w:lineRule="auto"/>
              <w:jc w:val="center"/>
              <w:rPr>
                <w:rFonts w:eastAsia="Times New Roman" w:cs="Calibri"/>
                <w:noProof/>
              </w:rPr>
            </w:pPr>
            <w:r>
              <w:rPr>
                <w:noProof/>
              </w:rPr>
              <w:t>13.9</w:t>
            </w:r>
          </w:p>
        </w:tc>
        <w:tc>
          <w:tcPr>
            <w:tcW w:w="1276" w:type="dxa"/>
            <w:shd w:val="clear" w:color="auto" w:fill="C4EFCE"/>
            <w:noWrap/>
            <w:vAlign w:val="center"/>
            <w:hideMark/>
          </w:tcPr>
          <w:p w14:paraId="048D644C" w14:textId="77777777" w:rsidR="00E040FD" w:rsidRDefault="00740D64">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3F4D6FA8" w14:textId="77777777" w:rsidR="00E040FD" w:rsidRDefault="00740D6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8C154C7" w14:textId="77777777" w:rsidR="00E040FD" w:rsidRDefault="00740D64">
            <w:pPr>
              <w:pStyle w:val="P68B1DB1-Normal8"/>
              <w:spacing w:after="0" w:line="240" w:lineRule="auto"/>
              <w:jc w:val="both"/>
              <w:rPr>
                <w:rFonts w:eastAsia="Times New Roman" w:cs="Calibri"/>
                <w:noProof/>
              </w:rPr>
            </w:pPr>
            <w:r>
              <w:rPr>
                <w:noProof/>
              </w:rPr>
              <w:t>Energieffektiv renovering av byggnader för privata tjänster</w:t>
            </w:r>
          </w:p>
        </w:tc>
        <w:tc>
          <w:tcPr>
            <w:tcW w:w="1275" w:type="dxa"/>
            <w:shd w:val="clear" w:color="auto" w:fill="C4EFCE"/>
            <w:noWrap/>
            <w:vAlign w:val="center"/>
            <w:hideMark/>
          </w:tcPr>
          <w:p w14:paraId="4BDE1A7A" w14:textId="77777777" w:rsidR="00E040FD" w:rsidRDefault="00740D6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22AA9F67" w14:textId="77777777" w:rsidR="00E040FD" w:rsidRDefault="00740D64">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06B1E72C" w14:textId="77777777" w:rsidR="00E040FD" w:rsidRDefault="00740D64">
            <w:pPr>
              <w:pStyle w:val="P68B1DB1-Normal8"/>
              <w:spacing w:after="0" w:line="240" w:lineRule="auto"/>
              <w:jc w:val="center"/>
              <w:rPr>
                <w:rFonts w:eastAsia="Times New Roman" w:cs="Calibri"/>
                <w:noProof/>
              </w:rPr>
            </w:pPr>
            <w:r>
              <w:rPr>
                <w:noProof/>
              </w:rPr>
              <w:t>315 000</w:t>
            </w:r>
          </w:p>
        </w:tc>
        <w:tc>
          <w:tcPr>
            <w:tcW w:w="992" w:type="dxa"/>
            <w:shd w:val="clear" w:color="auto" w:fill="C4EFCE"/>
            <w:noWrap/>
            <w:vAlign w:val="center"/>
            <w:hideMark/>
          </w:tcPr>
          <w:p w14:paraId="71FE31A9" w14:textId="77777777" w:rsidR="00E040FD" w:rsidRDefault="00740D64">
            <w:pPr>
              <w:pStyle w:val="P68B1DB1-Normal8"/>
              <w:spacing w:after="0" w:line="240" w:lineRule="auto"/>
              <w:jc w:val="both"/>
              <w:rPr>
                <w:rFonts w:eastAsia="Times New Roman" w:cs="Calibri"/>
                <w:noProof/>
              </w:rPr>
            </w:pPr>
            <w:r>
              <w:rPr>
                <w:noProof/>
              </w:rPr>
              <w:t>360 000</w:t>
            </w:r>
          </w:p>
        </w:tc>
        <w:tc>
          <w:tcPr>
            <w:tcW w:w="426" w:type="dxa"/>
            <w:shd w:val="clear" w:color="auto" w:fill="C4EFCE"/>
            <w:noWrap/>
            <w:vAlign w:val="center"/>
            <w:hideMark/>
          </w:tcPr>
          <w:p w14:paraId="3FC426D1" w14:textId="77777777" w:rsidR="00E040FD" w:rsidRDefault="00740D64">
            <w:pPr>
              <w:pStyle w:val="P68B1DB1-Normal8"/>
              <w:spacing w:after="0" w:line="240" w:lineRule="auto"/>
              <w:jc w:val="both"/>
              <w:rPr>
                <w:rFonts w:eastAsia="Times New Roman" w:cs="Calibri"/>
                <w:noProof/>
              </w:rPr>
            </w:pPr>
            <w:r>
              <w:rPr>
                <w:noProof/>
              </w:rPr>
              <w:t>KVARTAL 4</w:t>
            </w:r>
          </w:p>
        </w:tc>
        <w:tc>
          <w:tcPr>
            <w:tcW w:w="708" w:type="dxa"/>
            <w:shd w:val="clear" w:color="auto" w:fill="C4EFCE"/>
            <w:noWrap/>
            <w:vAlign w:val="center"/>
            <w:hideMark/>
          </w:tcPr>
          <w:p w14:paraId="6311F4AB" w14:textId="77777777" w:rsidR="00E040FD" w:rsidRDefault="00740D6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42E42EAB" w14:textId="77777777" w:rsidR="00E040FD" w:rsidRDefault="00E040FD">
            <w:pPr>
              <w:spacing w:after="0" w:line="240" w:lineRule="auto"/>
              <w:jc w:val="both"/>
              <w:rPr>
                <w:rFonts w:ascii="Calibri" w:eastAsia="Times New Roman" w:hAnsi="Calibri" w:cs="Calibri"/>
                <w:noProof/>
                <w:sz w:val="16"/>
              </w:rPr>
            </w:pPr>
          </w:p>
          <w:p w14:paraId="46DF3B33" w14:textId="77777777" w:rsidR="00E040FD" w:rsidRDefault="00740D64">
            <w:pPr>
              <w:pStyle w:val="P68B1DB1-Normal8"/>
              <w:spacing w:after="0" w:line="240" w:lineRule="auto"/>
              <w:jc w:val="both"/>
              <w:rPr>
                <w:rFonts w:eastAsia="Times New Roman" w:cs="Calibri"/>
                <w:noProof/>
              </w:rPr>
            </w:pPr>
            <w:r>
              <w:rPr>
                <w:noProof/>
              </w:rPr>
              <w:t>Område med renoverade byggnader som används av den privata tjänstesektorn. Energieffektivitetsrenoveringar ska i genomsnitt leda till en renovering av minst medelstor omfattning enligt definitionen i kommissionens rekommendation om byggnadsrenovering (EU) 2019/786.</w:t>
            </w:r>
          </w:p>
        </w:tc>
      </w:tr>
      <w:tr w:rsidR="00E040FD" w14:paraId="5F36D45E" w14:textId="77777777">
        <w:trPr>
          <w:trHeight w:val="1995"/>
        </w:trPr>
        <w:tc>
          <w:tcPr>
            <w:tcW w:w="1135" w:type="dxa"/>
            <w:shd w:val="clear" w:color="auto" w:fill="C4EFCE"/>
            <w:vAlign w:val="center"/>
            <w:hideMark/>
          </w:tcPr>
          <w:p w14:paraId="4985012C" w14:textId="77777777" w:rsidR="00E040FD" w:rsidRDefault="00740D64">
            <w:pPr>
              <w:pStyle w:val="P68B1DB1-Normal7"/>
              <w:spacing w:after="0" w:line="240" w:lineRule="auto"/>
              <w:jc w:val="center"/>
              <w:rPr>
                <w:rFonts w:eastAsia="Times New Roman" w:cs="Calibri"/>
                <w:noProof/>
              </w:rPr>
            </w:pPr>
            <w:r>
              <w:rPr>
                <w:noProof/>
              </w:rPr>
              <w:t>13.10</w:t>
            </w:r>
          </w:p>
        </w:tc>
        <w:tc>
          <w:tcPr>
            <w:tcW w:w="1276" w:type="dxa"/>
            <w:shd w:val="clear" w:color="auto" w:fill="C4EFCE"/>
            <w:noWrap/>
            <w:vAlign w:val="center"/>
            <w:hideMark/>
          </w:tcPr>
          <w:p w14:paraId="0E8ACC47" w14:textId="77777777" w:rsidR="00E040FD" w:rsidRDefault="00740D64">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7DCB8AB8" w14:textId="77777777" w:rsidR="00E040FD" w:rsidRDefault="00740D6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0495A743" w14:textId="77777777" w:rsidR="00E040FD" w:rsidRDefault="00740D64">
            <w:pPr>
              <w:pStyle w:val="P68B1DB1-Normal8"/>
              <w:spacing w:after="0" w:line="240" w:lineRule="auto"/>
              <w:jc w:val="both"/>
              <w:rPr>
                <w:rFonts w:eastAsia="Times New Roman" w:cs="Calibri"/>
                <w:noProof/>
              </w:rPr>
            </w:pPr>
            <w:r>
              <w:rPr>
                <w:noProof/>
              </w:rPr>
              <w:t xml:space="preserve">Ytterligare produktionskapacitet för förnybar energi för egenförbrukning och för användning i gemenskaper för förnybar energi i den privata tjänstesektorn </w:t>
            </w:r>
          </w:p>
        </w:tc>
        <w:tc>
          <w:tcPr>
            <w:tcW w:w="1275" w:type="dxa"/>
            <w:shd w:val="clear" w:color="auto" w:fill="C4EFCE"/>
            <w:noWrap/>
            <w:vAlign w:val="center"/>
            <w:hideMark/>
          </w:tcPr>
          <w:p w14:paraId="7C3E76E6" w14:textId="77777777" w:rsidR="00E040FD" w:rsidRDefault="00740D6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0364534A" w14:textId="77777777" w:rsidR="00E040FD" w:rsidRDefault="00740D64">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3ADBE991" w14:textId="77777777" w:rsidR="00E040FD" w:rsidRDefault="00740D64">
            <w:pPr>
              <w:pStyle w:val="P68B1DB1-Normal8"/>
              <w:spacing w:after="0" w:line="240" w:lineRule="auto"/>
              <w:jc w:val="both"/>
              <w:rPr>
                <w:rFonts w:eastAsia="Times New Roman" w:cs="Calibri"/>
                <w:noProof/>
              </w:rPr>
            </w:pPr>
            <w:r>
              <w:rPr>
                <w:noProof/>
              </w:rPr>
              <w:t>0</w:t>
            </w:r>
          </w:p>
        </w:tc>
        <w:tc>
          <w:tcPr>
            <w:tcW w:w="992" w:type="dxa"/>
            <w:shd w:val="clear" w:color="auto" w:fill="C4EFCE"/>
            <w:noWrap/>
            <w:vAlign w:val="center"/>
            <w:hideMark/>
          </w:tcPr>
          <w:p w14:paraId="219C358C" w14:textId="77777777" w:rsidR="00E040FD" w:rsidRDefault="00740D64">
            <w:pPr>
              <w:pStyle w:val="P68B1DB1-Normal8"/>
              <w:spacing w:after="0" w:line="240" w:lineRule="auto"/>
              <w:jc w:val="both"/>
              <w:rPr>
                <w:rFonts w:eastAsia="Times New Roman" w:cs="Calibri"/>
                <w:noProof/>
              </w:rPr>
            </w:pPr>
            <w:r>
              <w:rPr>
                <w:noProof/>
              </w:rPr>
              <w:t>30</w:t>
            </w:r>
          </w:p>
        </w:tc>
        <w:tc>
          <w:tcPr>
            <w:tcW w:w="426" w:type="dxa"/>
            <w:shd w:val="clear" w:color="auto" w:fill="C4EFCE"/>
            <w:noWrap/>
            <w:vAlign w:val="center"/>
            <w:hideMark/>
          </w:tcPr>
          <w:p w14:paraId="00BEF57C" w14:textId="77777777" w:rsidR="00E040FD" w:rsidRDefault="00740D64">
            <w:pPr>
              <w:pStyle w:val="P68B1DB1-Normal8"/>
              <w:spacing w:after="0" w:line="240" w:lineRule="auto"/>
              <w:jc w:val="both"/>
              <w:rPr>
                <w:rFonts w:eastAsia="Times New Roman" w:cs="Calibri"/>
                <w:noProof/>
              </w:rPr>
            </w:pPr>
            <w:r>
              <w:rPr>
                <w:noProof/>
              </w:rPr>
              <w:t>KVARTAL 4</w:t>
            </w:r>
          </w:p>
        </w:tc>
        <w:tc>
          <w:tcPr>
            <w:tcW w:w="708" w:type="dxa"/>
            <w:shd w:val="clear" w:color="auto" w:fill="C4EFCE"/>
            <w:noWrap/>
            <w:vAlign w:val="center"/>
            <w:hideMark/>
          </w:tcPr>
          <w:p w14:paraId="38DC3D4F" w14:textId="77777777" w:rsidR="00E040FD" w:rsidRDefault="00740D6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7428E06E" w14:textId="77777777" w:rsidR="00E040FD" w:rsidRDefault="00740D64">
            <w:pPr>
              <w:pStyle w:val="P68B1DB1-Normal8"/>
              <w:spacing w:after="0" w:line="240" w:lineRule="auto"/>
              <w:jc w:val="both"/>
              <w:rPr>
                <w:rFonts w:eastAsia="Times New Roman" w:cs="Calibri"/>
                <w:noProof/>
              </w:rPr>
            </w:pPr>
            <w:r>
              <w:rPr>
                <w:noProof/>
              </w:rPr>
              <w:t>Ytterligare produktionskapacitet för förnybar energi (såsom solcellspaneler och batterier i takt med att den senare tekniken mognar) för egenförbrukning och för användning i lokalsamhällen som satsar på förnybar energi inom den privata tjänstesektorn.</w:t>
            </w:r>
          </w:p>
        </w:tc>
      </w:tr>
    </w:tbl>
    <w:p w14:paraId="557E1674" w14:textId="77777777" w:rsidR="00E040FD" w:rsidRDefault="00E040FD">
      <w:pPr>
        <w:spacing w:before="40" w:after="0" w:line="259" w:lineRule="auto"/>
        <w:jc w:val="both"/>
        <w:rPr>
          <w:rFonts w:ascii="Times New Roman" w:eastAsiaTheme="minorEastAsia" w:hAnsi="Times New Roman" w:cs="Times New Roman"/>
          <w:noProof/>
          <w:sz w:val="24"/>
        </w:rPr>
      </w:pPr>
    </w:p>
    <w:p w14:paraId="61304717" w14:textId="77777777" w:rsidR="00E040FD" w:rsidRDefault="00E040FD">
      <w:pPr>
        <w:spacing w:before="40" w:after="0" w:line="259" w:lineRule="auto"/>
        <w:jc w:val="both"/>
        <w:rPr>
          <w:rFonts w:ascii="Times New Roman" w:eastAsiaTheme="minorEastAsia" w:hAnsi="Times New Roman" w:cs="Times New Roman"/>
          <w:noProof/>
          <w:sz w:val="24"/>
        </w:rPr>
      </w:pPr>
    </w:p>
    <w:p w14:paraId="2EA2F20F" w14:textId="77777777" w:rsidR="00E040FD" w:rsidRDefault="00E040FD">
      <w:pPr>
        <w:spacing w:before="40" w:after="0" w:line="259" w:lineRule="auto"/>
        <w:ind w:left="130" w:firstLine="720"/>
        <w:jc w:val="both"/>
        <w:outlineLvl w:val="1"/>
        <w:rPr>
          <w:rFonts w:ascii="Times New Roman" w:eastAsiaTheme="minorEastAsia" w:hAnsi="Times New Roman" w:cs="Times New Roman"/>
          <w:b/>
          <w:noProof/>
          <w:sz w:val="24"/>
          <w:u w:val="single"/>
        </w:rPr>
        <w:sectPr w:rsidR="00E040FD" w:rsidSect="00E00EDD">
          <w:headerReference w:type="even" r:id="rId264"/>
          <w:headerReference w:type="default" r:id="rId265"/>
          <w:footerReference w:type="even" r:id="rId266"/>
          <w:footerReference w:type="default" r:id="rId267"/>
          <w:headerReference w:type="first" r:id="rId268"/>
          <w:footerReference w:type="first" r:id="rId269"/>
          <w:pgSz w:w="16839" w:h="11907" w:orient="landscape"/>
          <w:pgMar w:top="1134" w:right="1134" w:bottom="1134" w:left="1134" w:header="567" w:footer="567" w:gutter="0"/>
          <w:cols w:space="720"/>
          <w:docGrid w:linePitch="360"/>
        </w:sectPr>
      </w:pPr>
    </w:p>
    <w:p w14:paraId="3C2CFB1F"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N. KOMPONENT 14: Vätgas och förnybara energikällor</w:t>
      </w:r>
    </w:p>
    <w:p w14:paraId="24AAADA7" w14:textId="77777777" w:rsidR="00E040FD" w:rsidRDefault="00740D64">
      <w:pPr>
        <w:pStyle w:val="P68B1DB1-Normal4"/>
        <w:spacing w:before="40" w:after="0" w:line="259" w:lineRule="auto"/>
        <w:jc w:val="both"/>
        <w:rPr>
          <w:rFonts w:eastAsiaTheme="minorEastAsia" w:cs="Times New Roman"/>
          <w:noProof/>
        </w:rPr>
      </w:pPr>
      <w:r>
        <w:rPr>
          <w:noProof/>
        </w:rPr>
        <w:t>Portugal har åtagit sig att uppnå koldioxidneutralitet senast 2050 och placera landet bland dem som tar ledningen i kampen mot klimatförändringarna enligt Parisavtalet. I färdplanen för koldioxidneutralitet 2050 (RNC 2050) fastställs som mål för minskade koldioxidutsläpp en utsläppsminskning på mer än 85 % jämfört med 2005 års utsläpp och en kapacitet för koldioxidbindning på 13 000 000 ton. Komponenten är inriktad på sektorer där det är svårt att minska utsläppen genom att främja utbyggnaden av förnybar vätgas.</w:t>
      </w:r>
    </w:p>
    <w:p w14:paraId="42D4ADE5" w14:textId="77777777" w:rsidR="00E040FD" w:rsidRDefault="00740D64">
      <w:pPr>
        <w:pStyle w:val="P68B1DB1-Normal4"/>
        <w:spacing w:before="40" w:after="0" w:line="259" w:lineRule="auto"/>
        <w:jc w:val="both"/>
        <w:rPr>
          <w:rFonts w:eastAsiaTheme="minorEastAsia" w:cs="Times New Roman"/>
          <w:noProof/>
        </w:rPr>
      </w:pPr>
      <w:r>
        <w:rPr>
          <w:noProof/>
        </w:rPr>
        <w:t>Målen för komponenten är att främja energiomställningen och utfasningen av fossila bränslen inom industrin och transportsektorn, med ett starkt fokus på produktion av förnybar vätgas och andra förnybara gaser. När det gäller de autonoma regionerna ligger fokus på utbyggnad av förnybar energi (geotermisk energi, vindkraft, solceller och vattenkraft) och lagring. Denna komponent är avgörande för att minska det nationella energiberoendet genom produktion av energi från lokala källor, förbättra handelsbalansen och stärka den inhemska ekonomins motståndskraft.</w:t>
      </w:r>
    </w:p>
    <w:p w14:paraId="741FF5F1" w14:textId="77777777" w:rsidR="00E040FD" w:rsidRDefault="00740D64">
      <w:pPr>
        <w:pStyle w:val="P68B1DB1-Normal4"/>
        <w:spacing w:before="40" w:after="0" w:line="259" w:lineRule="auto"/>
        <w:jc w:val="both"/>
        <w:rPr>
          <w:rFonts w:eastAsiaTheme="minorEastAsia" w:cs="Times New Roman"/>
          <w:noProof/>
        </w:rPr>
      </w:pPr>
      <w:r>
        <w:rPr>
          <w:noProof/>
        </w:rPr>
        <w:t>Komponenten stöder genomförandet av den landsspecifika rekommendationen om att inrikta investeringarna på klimatomställningen, med fokus på produktion av förnybar energi (de landsspecifika rekommendationerna 3 2019 och 2020).</w:t>
      </w:r>
    </w:p>
    <w:p w14:paraId="092B10E5"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 </w:t>
      </w:r>
    </w:p>
    <w:p w14:paraId="5433DBDC"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NR 1 Beskrivning av reformer och investeringar avseende icke återbetalningspliktigt ekonomiskt stöd</w:t>
      </w:r>
    </w:p>
    <w:p w14:paraId="64866960" w14:textId="77777777" w:rsidR="00E040FD" w:rsidRDefault="00740D64">
      <w:pPr>
        <w:pStyle w:val="P68B1DB1-Normal5"/>
        <w:spacing w:before="240" w:after="0" w:line="259" w:lineRule="auto"/>
        <w:ind w:left="851"/>
        <w:jc w:val="both"/>
        <w:outlineLvl w:val="2"/>
        <w:rPr>
          <w:rFonts w:eastAsiaTheme="minorEastAsia" w:cs="Times New Roman"/>
          <w:noProof/>
        </w:rPr>
      </w:pPr>
      <w:r>
        <w:rPr>
          <w:noProof/>
        </w:rPr>
        <w:t>Reform TC-r29: Nationell vätgasstrategi (EN-H2)</w:t>
      </w:r>
    </w:p>
    <w:p w14:paraId="13857BA4" w14:textId="77777777" w:rsidR="00E040FD" w:rsidRDefault="00740D64">
      <w:pPr>
        <w:pStyle w:val="P68B1DB1-Normal4"/>
        <w:spacing w:before="40" w:after="0" w:line="259" w:lineRule="auto"/>
        <w:jc w:val="both"/>
        <w:rPr>
          <w:rFonts w:eastAsiaTheme="minorEastAsia" w:cs="Times New Roman"/>
          <w:noProof/>
        </w:rPr>
      </w:pPr>
      <w:r>
        <w:rPr>
          <w:noProof/>
        </w:rPr>
        <w:t>Syftet med åtgärden är att införa ett inslag av incitament och stabilitet för energisektorn och främja ett gradvis införande av förnybar vätgas som en hållbar pelare i en mer övergripande strategi för övergången till en koldioxidsnål ekonomi. I denna strategi fastställs vätgasens nuvarande och framtida roll i energisystemet och föreslås en uppsättning åtgärder och mål för integreringen av vätgas i de olika ekonomiska sektorerna. Detta ska även inbegripa att skapa de nödvändiga förutsättningarna för denna övergång, bland annat lagstiftning och reglering, säkerhet, standarder, innovation och utveckling samt finansiering. Åtgärden avser den ändrade förordningen om det nationella gasöverföringsnätet och förordningen om det nationella gasdistributionsnätet, som ska godkännas av generaldirektoratet för energi och geologi. Den ändrade förordningen ska göra det möjligt att fastställa villkoren för anslutning till infrastruktur för överföring av gas, särskilt för injektion av gaser av förnybart ursprung, inbegripet förnybar vätgas och gaser med låg kolhalt, samt att fastställa den lägsta och högsta andelen injektion av dessa gaser i näten. Dessutom ska den ändrade förordningen innehålla nödvändiga ändringar av de tekniska standarder som säkerställer tjänstens kvalitet och en säker användning av dessa infrastrukturer för alla användare.</w:t>
      </w:r>
    </w:p>
    <w:p w14:paraId="02E50E69" w14:textId="77777777" w:rsidR="00E040FD" w:rsidRDefault="00740D64">
      <w:pPr>
        <w:pStyle w:val="P68B1DB1-Normal4"/>
        <w:spacing w:before="40" w:after="0" w:line="259" w:lineRule="auto"/>
        <w:jc w:val="both"/>
        <w:rPr>
          <w:rFonts w:eastAsiaTheme="minorEastAsia" w:cs="Times New Roman"/>
          <w:noProof/>
        </w:rPr>
      </w:pPr>
      <w:r>
        <w:rPr>
          <w:noProof/>
        </w:rPr>
        <w:t>Genomförandet av reformen ska vara slutfört senast den 30 september 2021.</w:t>
      </w:r>
    </w:p>
    <w:p w14:paraId="28667EBB" w14:textId="77777777" w:rsidR="00E040FD" w:rsidRDefault="00740D64">
      <w:pPr>
        <w:pStyle w:val="P68B1DB1-Normal5"/>
        <w:spacing w:before="240" w:after="0" w:line="259" w:lineRule="auto"/>
        <w:ind w:left="851"/>
        <w:jc w:val="both"/>
        <w:outlineLvl w:val="2"/>
        <w:rPr>
          <w:rFonts w:eastAsiaTheme="minorEastAsia" w:cs="Times New Roman"/>
          <w:noProof/>
        </w:rPr>
      </w:pPr>
      <w:r>
        <w:rPr>
          <w:noProof/>
        </w:rPr>
        <w:t>Investeringar TC-C14-I01: Vätgas och förnybara gaser</w:t>
      </w:r>
    </w:p>
    <w:p w14:paraId="7F188255" w14:textId="77777777" w:rsidR="00E040FD" w:rsidRDefault="00740D64">
      <w:pPr>
        <w:pStyle w:val="P68B1DB1-Normal4"/>
        <w:spacing w:before="40" w:after="0" w:line="259" w:lineRule="auto"/>
        <w:jc w:val="both"/>
        <w:rPr>
          <w:rFonts w:eastAsiaTheme="minorEastAsia" w:cs="Times New Roman"/>
          <w:noProof/>
        </w:rPr>
      </w:pPr>
      <w:r>
        <w:rPr>
          <w:noProof/>
        </w:rPr>
        <w:t>Syftet med åtgärden är att stödja privata projekt för produktion av förnybar vätgas och andra gaser av förnybart ursprung för egen förbrukning eller inmatning i nätet.</w:t>
      </w:r>
    </w:p>
    <w:p w14:paraId="6A4CE2C6" w14:textId="77777777" w:rsidR="00E040FD" w:rsidRDefault="00740D64">
      <w:pPr>
        <w:pStyle w:val="P68B1DB1-Normal4"/>
        <w:spacing w:before="40" w:after="0" w:line="259" w:lineRule="auto"/>
        <w:jc w:val="both"/>
        <w:rPr>
          <w:rFonts w:eastAsiaTheme="minorEastAsia" w:cs="Times New Roman"/>
          <w:noProof/>
        </w:rPr>
      </w:pPr>
      <w:r>
        <w:rPr>
          <w:noProof/>
        </w:rPr>
        <w:t xml:space="preserve">Investeringen ska bestå av åtgärder för att främja produktion, lagring, transport och distribution av förnybara gaser som syftar till att öka de förnybara gasernas bidrag till energiförbrukningen, minska växthusgasutsläppen, minska energiberoendet och förbättra energiförsörjningstryggheten. Olika tillämpningar stöds, såsom användning av förnybara gaser för transport och injektion av förnybara gaser i naturgasnätet. </w:t>
      </w:r>
    </w:p>
    <w:p w14:paraId="22A4B55A" w14:textId="77777777" w:rsidR="00E040FD" w:rsidRDefault="00740D64">
      <w:pPr>
        <w:pStyle w:val="P68B1DB1-Normal4"/>
        <w:spacing w:before="40" w:after="0" w:line="259" w:lineRule="auto"/>
        <w:jc w:val="both"/>
        <w:rPr>
          <w:rFonts w:eastAsiaTheme="minorEastAsia" w:cs="Times New Roman"/>
          <w:noProof/>
        </w:rPr>
      </w:pPr>
      <w:r>
        <w:rPr>
          <w:noProof/>
        </w:rPr>
        <w:t>Produktionen av förnybara gaser, såsom förnybar vätgas eller biometan, uteslutande från förnybara energikällor, får använda en rad tekniker såsom Elektrolys. Termokemiska och hydrotermiska processer. Biologiska processer (bifotolys och fermentering). Biogasanrikning genom anaerob nedbrytning av biomassabasmaterial (exklusive biogasproduktion). och metanation (förnybar vätgas i kombination med återvunnen koldioxid).</w:t>
      </w:r>
    </w:p>
    <w:p w14:paraId="23CDF4FF" w14:textId="348261AB" w:rsidR="00E040FD" w:rsidRDefault="00740D64">
      <w:pPr>
        <w:pStyle w:val="P68B1DB1-Normal4"/>
        <w:spacing w:before="40" w:after="0" w:line="259" w:lineRule="auto"/>
        <w:jc w:val="both"/>
        <w:rPr>
          <w:rFonts w:eastAsiaTheme="minorEastAsia" w:cs="Times New Roman"/>
          <w:noProof/>
        </w:rPr>
      </w:pPr>
      <w:r>
        <w:rPr>
          <w:noProof/>
        </w:rPr>
        <w:t>Investeringarna ska ha ett mycket specifikt fokus och syfta till att öka den installerade kapaciteten för produktion av förnybar vätgas och andra förnybara gaser, inbegripet installerad kapacitet i elektrolysanläggningar för produktion av förnybar vätgas. Projektet ska genomföras genom öppna och icke-diskriminerande anbudsinfordringar i syfte att stödja projekt med högst 15 000 000 EUR per projekt.</w:t>
      </w:r>
    </w:p>
    <w:p w14:paraId="2F3C9010" w14:textId="0A561EF2" w:rsidR="00E040FD" w:rsidRDefault="00740D64">
      <w:pPr>
        <w:pStyle w:val="P68B1DB1-Normal4"/>
        <w:spacing w:before="40" w:after="0" w:line="259" w:lineRule="auto"/>
        <w:jc w:val="both"/>
        <w:rPr>
          <w:rFonts w:eastAsiaTheme="minorEastAsia" w:cs="Times New Roman"/>
          <w:noProof/>
        </w:rPr>
      </w:pPr>
      <w:r>
        <w:rPr>
          <w:noProof/>
        </w:rPr>
        <w:t>Investeringen ska vara genomförd senast den 31 mars 2026.</w:t>
      </w:r>
    </w:p>
    <w:p w14:paraId="416F7CD8" w14:textId="77777777" w:rsidR="00E040FD" w:rsidRDefault="00740D64">
      <w:pPr>
        <w:pStyle w:val="P68B1DB1-Normal5"/>
        <w:spacing w:before="240" w:after="0" w:line="259" w:lineRule="auto"/>
        <w:ind w:left="851"/>
        <w:jc w:val="both"/>
        <w:outlineLvl w:val="2"/>
        <w:rPr>
          <w:rFonts w:eastAsiaTheme="minorEastAsia" w:cs="Times New Roman"/>
          <w:noProof/>
        </w:rPr>
      </w:pPr>
      <w:r>
        <w:rPr>
          <w:noProof/>
        </w:rPr>
        <w:t>Investeringar TC-C14-i02-RAM: Potential för förnybar el i ögruppen Madeira</w:t>
      </w:r>
    </w:p>
    <w:p w14:paraId="6D154BCC" w14:textId="77777777" w:rsidR="00E040FD" w:rsidRDefault="00740D64">
      <w:pPr>
        <w:pStyle w:val="P68B1DB1-Normal4"/>
        <w:spacing w:before="40" w:after="0" w:line="259" w:lineRule="auto"/>
        <w:jc w:val="both"/>
        <w:rPr>
          <w:rFonts w:eastAsiaTheme="minorEastAsia" w:cs="Times New Roman"/>
          <w:noProof/>
        </w:rPr>
      </w:pPr>
      <w:r>
        <w:rPr>
          <w:noProof/>
        </w:rPr>
        <w:t xml:space="preserve">Syftet med åtgärden är att stödja produktion, lagring, överföring och distribution av förnybar energi. De projekt som ingår i denna investering ska göra det möjligt att öka den andel el från förnybara energikällor som ska finnas tillgänglig på varje ö. Denna investering bidrar till strategin för utfasning av fossila bränslen i elproduktionen och stärker den inhemska ekonomins motståndskraft. </w:t>
      </w:r>
    </w:p>
    <w:p w14:paraId="6509CF70" w14:textId="77777777" w:rsidR="00E040FD" w:rsidRDefault="00740D64">
      <w:pPr>
        <w:pStyle w:val="P68B1DB1-Normal4"/>
        <w:spacing w:before="40" w:after="0" w:line="259" w:lineRule="auto"/>
        <w:jc w:val="both"/>
        <w:rPr>
          <w:rFonts w:eastAsiaTheme="minorEastAsia" w:cs="Times New Roman"/>
          <w:noProof/>
        </w:rPr>
      </w:pPr>
      <w:r>
        <w:rPr>
          <w:noProof/>
        </w:rPr>
        <w:t xml:space="preserve">Investeringen ska bestå av följande delinvesteringar: </w:t>
      </w:r>
    </w:p>
    <w:p w14:paraId="4467DF1E" w14:textId="77777777" w:rsidR="00E040FD" w:rsidRDefault="00740D64">
      <w:pPr>
        <w:pStyle w:val="P68B1DB1-Normal4"/>
        <w:keepNext/>
        <w:numPr>
          <w:ilvl w:val="0"/>
          <w:numId w:val="31"/>
        </w:numPr>
        <w:spacing w:before="40" w:after="160" w:line="259" w:lineRule="auto"/>
        <w:contextualSpacing/>
        <w:jc w:val="both"/>
        <w:rPr>
          <w:rFonts w:eastAsiaTheme="minorEastAsia" w:cs="Times New Roman"/>
          <w:noProof/>
        </w:rPr>
      </w:pPr>
      <w:r>
        <w:rPr>
          <w:noProof/>
        </w:rPr>
        <w:t>Fullständig renovering och renovering av vattenkraftverket Serra och vattenkraftverket Calheta I för att blåsa nytt liv i 6,2 MW installerad effekt och öka den installerade kapaciteten genom att lägga till 4 MW.</w:t>
      </w:r>
    </w:p>
    <w:p w14:paraId="5FE75D29" w14:textId="77777777" w:rsidR="00E040FD" w:rsidRDefault="00740D64">
      <w:pPr>
        <w:pStyle w:val="P68B1DB1-Normal4"/>
        <w:keepNext/>
        <w:numPr>
          <w:ilvl w:val="0"/>
          <w:numId w:val="31"/>
        </w:numPr>
        <w:spacing w:before="40" w:after="160" w:line="259" w:lineRule="auto"/>
        <w:contextualSpacing/>
        <w:jc w:val="both"/>
        <w:rPr>
          <w:rFonts w:eastAsiaTheme="minorEastAsia" w:cs="Times New Roman"/>
          <w:noProof/>
        </w:rPr>
      </w:pPr>
      <w:r>
        <w:rPr>
          <w:noProof/>
        </w:rPr>
        <w:t>Öka den installerade kapaciteten i batterilagringssystem genom att lägga till en lagringskapacitet på minst 21 MW/27MWh.</w:t>
      </w:r>
    </w:p>
    <w:p w14:paraId="49EDD0E0" w14:textId="77777777" w:rsidR="00E040FD" w:rsidRDefault="00740D64">
      <w:pPr>
        <w:pStyle w:val="P68B1DB1-Normal4"/>
        <w:keepNext/>
        <w:numPr>
          <w:ilvl w:val="0"/>
          <w:numId w:val="31"/>
        </w:numPr>
        <w:spacing w:before="40" w:after="160" w:line="259" w:lineRule="auto"/>
        <w:contextualSpacing/>
        <w:jc w:val="both"/>
        <w:rPr>
          <w:rFonts w:eastAsiaTheme="minorEastAsia" w:cs="Times New Roman"/>
          <w:noProof/>
        </w:rPr>
      </w:pPr>
      <w:r>
        <w:rPr>
          <w:noProof/>
        </w:rPr>
        <w:t>Installera en ny synkronkompensator med en effekt på minst 15 MVAr.</w:t>
      </w:r>
    </w:p>
    <w:p w14:paraId="4372F931" w14:textId="77777777" w:rsidR="00E040FD" w:rsidRDefault="00740D64">
      <w:pPr>
        <w:pStyle w:val="P68B1DB1-Normal4"/>
        <w:keepNext/>
        <w:numPr>
          <w:ilvl w:val="0"/>
          <w:numId w:val="31"/>
        </w:numPr>
        <w:spacing w:before="40" w:after="160" w:line="259" w:lineRule="auto"/>
        <w:contextualSpacing/>
        <w:jc w:val="both"/>
        <w:rPr>
          <w:rFonts w:eastAsiaTheme="minorEastAsia" w:cs="Times New Roman"/>
          <w:noProof/>
        </w:rPr>
      </w:pPr>
      <w:r>
        <w:rPr>
          <w:noProof/>
        </w:rPr>
        <w:t>Öka elnätets kapacitet att integrera ny installerad effekt på minst 48 MW i förnybara energikällor i elsystemen (40 MW Madeira + 8 MW Porto Santo).</w:t>
      </w:r>
    </w:p>
    <w:p w14:paraId="2CCEA225" w14:textId="77777777" w:rsidR="00E040FD" w:rsidRDefault="00740D64">
      <w:pPr>
        <w:pStyle w:val="P68B1DB1-Normal4"/>
        <w:keepNext/>
        <w:numPr>
          <w:ilvl w:val="0"/>
          <w:numId w:val="31"/>
        </w:numPr>
        <w:spacing w:before="40" w:after="160" w:line="259" w:lineRule="auto"/>
        <w:contextualSpacing/>
        <w:jc w:val="both"/>
        <w:rPr>
          <w:rFonts w:eastAsiaTheme="minorEastAsia" w:cs="Times New Roman"/>
          <w:noProof/>
        </w:rPr>
      </w:pPr>
      <w:r>
        <w:rPr>
          <w:noProof/>
        </w:rPr>
        <w:t>Installation av 130 000 anslutna smarta mätare och utbyte av 8 750 gatubelysningsstationer med lösningar med låg energiförbrukning (inklusive uppgradering av hanteringen av gatubelysning).</w:t>
      </w:r>
    </w:p>
    <w:p w14:paraId="0E2F3B03" w14:textId="77777777" w:rsidR="00E040FD" w:rsidRDefault="00740D64">
      <w:pPr>
        <w:pStyle w:val="P68B1DB1-Normal4"/>
        <w:spacing w:before="40" w:after="0" w:line="259" w:lineRule="auto"/>
        <w:jc w:val="both"/>
        <w:rPr>
          <w:rFonts w:eastAsiaTheme="minorEastAsia" w:cs="Times New Roman"/>
          <w:noProof/>
        </w:rPr>
      </w:pPr>
      <w:r>
        <w:rPr>
          <w:noProof/>
        </w:rPr>
        <w:t>Investeringen ska vara genomförd senast den 31 december 2025.</w:t>
      </w:r>
    </w:p>
    <w:p w14:paraId="44F7A633" w14:textId="77777777" w:rsidR="00E040FD" w:rsidRDefault="00740D64">
      <w:pPr>
        <w:pStyle w:val="P68B1DB1-Normal5"/>
        <w:spacing w:before="240" w:after="0" w:line="259" w:lineRule="auto"/>
        <w:ind w:left="851"/>
        <w:jc w:val="both"/>
        <w:outlineLvl w:val="2"/>
        <w:rPr>
          <w:rFonts w:eastAsiaTheme="minorEastAsia" w:cs="Times New Roman"/>
          <w:noProof/>
        </w:rPr>
      </w:pPr>
      <w:r>
        <w:rPr>
          <w:noProof/>
        </w:rPr>
        <w:t>Investeringar TC-C14-i03-RAA: Energiomställningen på Azorerna</w:t>
      </w:r>
    </w:p>
    <w:p w14:paraId="6BAFD0A3" w14:textId="77777777" w:rsidR="00E040FD" w:rsidRDefault="00740D64">
      <w:pPr>
        <w:pStyle w:val="P68B1DB1-Normal4"/>
        <w:spacing w:before="40" w:after="0" w:line="259" w:lineRule="auto"/>
        <w:jc w:val="both"/>
        <w:rPr>
          <w:rFonts w:eastAsiaTheme="minorEastAsia" w:cs="Times New Roman"/>
          <w:noProof/>
        </w:rPr>
      </w:pPr>
      <w:r>
        <w:rPr>
          <w:noProof/>
        </w:rPr>
        <w:t>Syftet med åtgärden är att utveckla en modern elinfrastruktur och att genomföra projekt med innovativa tekniska lösningar för att öka självförsörjningen på energiområdet. På Azorerna står elproduktion från förnybara källor för närvarande för omkring 40 % av regionens totala värde, varav cirka 24 % kommer från geotermisk energi på de två största öarna i ögruppen. Återstående 60 % av elen produceras från fossila bränslen, eldningsolja och diesel, som utgör en hög årskostnad, inte bara på grund av bränslenas inköpsvärde, utan också på grund av att de transporteras sjövägen från fastlandet till öarna och distributionen mellan öarna. Denna typ av produktion utgör, utöver de höga kostnader som den medför, ett starkt externt beroende som, vid nationella eller internationella kriser, kan äventyra kapaciteten att tillgodose ögruppens energibehov.</w:t>
      </w:r>
    </w:p>
    <w:p w14:paraId="52E3DC73" w14:textId="77777777" w:rsidR="00E040FD" w:rsidRDefault="00740D64">
      <w:pPr>
        <w:pStyle w:val="P68B1DB1-Normal4"/>
        <w:spacing w:before="40" w:after="0" w:line="259" w:lineRule="auto"/>
        <w:jc w:val="both"/>
        <w:rPr>
          <w:rFonts w:eastAsiaTheme="minorEastAsia" w:cs="Times New Roman"/>
          <w:noProof/>
        </w:rPr>
      </w:pPr>
      <w:r>
        <w:rPr>
          <w:noProof/>
        </w:rPr>
        <w:t>Investeringen ska bestå av följande delinvesteringar:</w:t>
      </w:r>
    </w:p>
    <w:p w14:paraId="0A8CFC86" w14:textId="77777777" w:rsidR="00E040FD" w:rsidRDefault="00740D64">
      <w:pPr>
        <w:pStyle w:val="P68B1DB1-Normal4"/>
        <w:keepNext/>
        <w:numPr>
          <w:ilvl w:val="0"/>
          <w:numId w:val="31"/>
        </w:numPr>
        <w:spacing w:before="40" w:after="160" w:line="259" w:lineRule="auto"/>
        <w:contextualSpacing/>
        <w:jc w:val="both"/>
        <w:rPr>
          <w:rFonts w:eastAsiaTheme="minorEastAsia" w:cs="Times New Roman"/>
          <w:noProof/>
        </w:rPr>
      </w:pPr>
      <w:r>
        <w:rPr>
          <w:noProof/>
        </w:rPr>
        <w:t>Öka den installerade produktionskapaciteten för förnybar energi, främst geotermisk energi, med 12 MW och blåsa nytt liv i det redan installerade geotermiska kraftverket med 5 MW.</w:t>
      </w:r>
    </w:p>
    <w:p w14:paraId="5DC064DD" w14:textId="24EDE81B" w:rsidR="00E040FD" w:rsidRDefault="00740D64">
      <w:pPr>
        <w:pStyle w:val="P68B1DB1-Normal4"/>
        <w:keepNext/>
        <w:numPr>
          <w:ilvl w:val="0"/>
          <w:numId w:val="31"/>
        </w:numPr>
        <w:spacing w:before="40" w:after="160" w:line="259" w:lineRule="auto"/>
        <w:contextualSpacing/>
        <w:jc w:val="both"/>
        <w:rPr>
          <w:rFonts w:eastAsiaTheme="minorEastAsia" w:cs="Times New Roman"/>
          <w:noProof/>
        </w:rPr>
      </w:pPr>
      <w:r>
        <w:rPr>
          <w:noProof/>
        </w:rPr>
        <w:t>Ökning av den installerade kapaciteten för produktion av el från förnybara energikällor på ön Corvo genom installation av en solcells- och vindkraftpark med 850 kW.</w:t>
      </w:r>
    </w:p>
    <w:p w14:paraId="38EA575D" w14:textId="77777777" w:rsidR="00E040FD" w:rsidRDefault="00740D64">
      <w:pPr>
        <w:pStyle w:val="P68B1DB1-Normal4"/>
        <w:keepNext/>
        <w:numPr>
          <w:ilvl w:val="0"/>
          <w:numId w:val="31"/>
        </w:numPr>
        <w:spacing w:before="40" w:after="160" w:line="259" w:lineRule="auto"/>
        <w:contextualSpacing/>
        <w:jc w:val="both"/>
        <w:rPr>
          <w:rFonts w:eastAsiaTheme="minorEastAsia" w:cs="Times New Roman"/>
          <w:noProof/>
        </w:rPr>
      </w:pPr>
      <w:r>
        <w:rPr>
          <w:noProof/>
        </w:rPr>
        <w:t>Installation av nya system för lagring av elenergi på öarna Santa Maria, São Jorge, Pico, Faial, Flores och Corvo med minst 20 MW.</w:t>
      </w:r>
    </w:p>
    <w:p w14:paraId="112665E7" w14:textId="55EE2481" w:rsidR="00E040FD" w:rsidRDefault="00740D64">
      <w:pPr>
        <w:pStyle w:val="P68B1DB1-Normal4"/>
        <w:keepNext/>
        <w:numPr>
          <w:ilvl w:val="0"/>
          <w:numId w:val="31"/>
        </w:numPr>
        <w:spacing w:before="40" w:after="160" w:line="259" w:lineRule="auto"/>
        <w:contextualSpacing/>
        <w:jc w:val="both"/>
        <w:rPr>
          <w:rFonts w:eastAsiaTheme="minorEastAsia" w:cs="Times New Roman"/>
          <w:noProof/>
        </w:rPr>
      </w:pPr>
      <w:r>
        <w:rPr>
          <w:noProof/>
        </w:rPr>
        <w:t>Installera nya små produktionsenheter för solcellsenergi för decentraliserad produktion och förbrukning för totalt 11,2 MW.</w:t>
      </w:r>
    </w:p>
    <w:p w14:paraId="091FFD9A" w14:textId="64D57B8C" w:rsidR="00E040FD" w:rsidRDefault="00740D64">
      <w:pPr>
        <w:pStyle w:val="P68B1DB1-Normal4"/>
        <w:spacing w:before="40" w:after="0" w:line="259" w:lineRule="auto"/>
        <w:jc w:val="both"/>
        <w:rPr>
          <w:rFonts w:eastAsiaTheme="minorEastAsia" w:cs="Times New Roman"/>
          <w:noProof/>
        </w:rPr>
      </w:pPr>
      <w:r>
        <w:rPr>
          <w:noProof/>
        </w:rPr>
        <w:t>Investeringen ska vara genomförd senast den 30 juni 2026.</w:t>
      </w:r>
    </w:p>
    <w:p w14:paraId="151D3F34" w14:textId="77777777" w:rsidR="00E040FD" w:rsidRDefault="00E040FD">
      <w:pPr>
        <w:spacing w:before="40" w:after="0" w:line="259" w:lineRule="auto"/>
        <w:jc w:val="both"/>
        <w:rPr>
          <w:rFonts w:ascii="Times New Roman" w:eastAsiaTheme="minorEastAsia" w:hAnsi="Times New Roman" w:cs="Times New Roman"/>
          <w:noProof/>
          <w:sz w:val="24"/>
        </w:rPr>
        <w:sectPr w:rsidR="00E040FD" w:rsidSect="00E00EDD">
          <w:headerReference w:type="even" r:id="rId270"/>
          <w:headerReference w:type="default" r:id="rId271"/>
          <w:footerReference w:type="even" r:id="rId272"/>
          <w:footerReference w:type="default" r:id="rId273"/>
          <w:headerReference w:type="first" r:id="rId274"/>
          <w:footerReference w:type="first" r:id="rId275"/>
          <w:pgSz w:w="11907" w:h="16839"/>
          <w:pgMar w:top="1134" w:right="1134" w:bottom="1134" w:left="1134" w:header="567" w:footer="567" w:gutter="0"/>
          <w:cols w:space="720"/>
          <w:docGrid w:linePitch="360"/>
        </w:sectPr>
      </w:pPr>
    </w:p>
    <w:p w14:paraId="1E0E5F58"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NR 2 Delmål, mål, indikatorer och tidsplan för övervakning och genomförande avseende icke återbetalningspliktigt ekonomiskt stöd</w:t>
      </w:r>
    </w:p>
    <w:p w14:paraId="286C8850" w14:textId="77777777" w:rsidR="00E040FD" w:rsidRDefault="00E040FD">
      <w:pPr>
        <w:spacing w:before="40" w:after="0" w:line="259" w:lineRule="auto"/>
        <w:ind w:left="130" w:firstLine="720"/>
        <w:jc w:val="both"/>
        <w:outlineLvl w:val="1"/>
        <w:rPr>
          <w:rFonts w:ascii="Times New Roman" w:eastAsiaTheme="minorEastAsia" w:hAnsi="Times New Roman" w:cs="Times New Roman"/>
          <w:b/>
          <w:noProof/>
          <w:sz w:val="24"/>
          <w:u w:val="single"/>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E040FD" w14:paraId="3CFBE898" w14:textId="77777777">
        <w:trPr>
          <w:trHeight w:val="830"/>
          <w:tblHeader/>
        </w:trPr>
        <w:tc>
          <w:tcPr>
            <w:tcW w:w="1135" w:type="dxa"/>
            <w:vMerge w:val="restart"/>
            <w:shd w:val="clear" w:color="auto" w:fill="BDD6EE"/>
            <w:vAlign w:val="center"/>
            <w:hideMark/>
          </w:tcPr>
          <w:p w14:paraId="66B63AA1"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vAlign w:val="center"/>
            <w:hideMark/>
          </w:tcPr>
          <w:p w14:paraId="77F41CF5"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vAlign w:val="center"/>
            <w:hideMark/>
          </w:tcPr>
          <w:p w14:paraId="05EA6259" w14:textId="77777777" w:rsidR="00E040FD" w:rsidRDefault="00740D64">
            <w:pPr>
              <w:pStyle w:val="P68B1DB1-Normal6"/>
              <w:spacing w:after="0" w:line="240" w:lineRule="auto"/>
              <w:jc w:val="center"/>
              <w:rPr>
                <w:rFonts w:ascii="Calibri" w:eastAsia="Times New Roman" w:hAnsi="Calibri" w:cs="Calibri"/>
                <w:noProof/>
                <w:sz w:val="16"/>
              </w:rPr>
            </w:pPr>
            <w:r>
              <w:rPr>
                <w:noProof/>
              </w:rPr>
              <w:t>Milementon/</w:t>
            </w:r>
          </w:p>
          <w:p w14:paraId="6B07E77A" w14:textId="0BCBAF46" w:rsidR="00E040FD" w:rsidRDefault="00740D64">
            <w:pPr>
              <w:pStyle w:val="P68B1DB1-Normal6"/>
              <w:spacing w:after="0" w:line="240" w:lineRule="auto"/>
              <w:jc w:val="center"/>
              <w:rPr>
                <w:rFonts w:ascii="Calibri" w:eastAsia="Times New Roman" w:hAnsi="Calibri" w:cs="Calibri"/>
                <w:noProof/>
                <w:sz w:val="16"/>
              </w:rPr>
            </w:pPr>
            <w:r>
              <w:rPr>
                <w:noProof/>
              </w:rPr>
              <w:t>Mål</w:t>
            </w:r>
          </w:p>
        </w:tc>
        <w:tc>
          <w:tcPr>
            <w:tcW w:w="1701" w:type="dxa"/>
            <w:vMerge w:val="restart"/>
            <w:shd w:val="clear" w:color="auto" w:fill="BDD6EE"/>
            <w:vAlign w:val="center"/>
            <w:hideMark/>
          </w:tcPr>
          <w:p w14:paraId="2948128E" w14:textId="77777777" w:rsidR="00E040FD" w:rsidRDefault="00740D64">
            <w:pPr>
              <w:pStyle w:val="P68B1DB1-Normal6"/>
              <w:spacing w:after="0" w:line="240" w:lineRule="auto"/>
              <w:jc w:val="center"/>
              <w:rPr>
                <w:rFonts w:ascii="Calibri" w:eastAsia="Times New Roman" w:hAnsi="Calibri" w:cs="Calibri"/>
                <w:noProof/>
                <w:sz w:val="16"/>
              </w:rPr>
            </w:pPr>
            <w:r>
              <w:rPr>
                <w:noProof/>
              </w:rPr>
              <w:t>Namn</w:t>
            </w:r>
          </w:p>
        </w:tc>
        <w:tc>
          <w:tcPr>
            <w:tcW w:w="1275" w:type="dxa"/>
            <w:vMerge w:val="restart"/>
            <w:shd w:val="clear" w:color="auto" w:fill="BDD6EE"/>
            <w:vAlign w:val="center"/>
            <w:hideMark/>
          </w:tcPr>
          <w:p w14:paraId="4CFCA654" w14:textId="77777777" w:rsidR="00E040FD" w:rsidRDefault="00740D64">
            <w:pPr>
              <w:pStyle w:val="P68B1DB1-Normal6"/>
              <w:spacing w:after="0" w:line="240" w:lineRule="auto"/>
              <w:jc w:val="center"/>
              <w:rPr>
                <w:rFonts w:ascii="Calibri" w:eastAsia="Times New Roman" w:hAnsi="Calibri" w:cs="Calibri"/>
                <w:noProof/>
                <w:sz w:val="16"/>
              </w:rPr>
            </w:pPr>
            <w:r>
              <w:rPr>
                <w:noProof/>
              </w:rPr>
              <w:t>Kvalitativa indikatorer (för delmål)</w:t>
            </w:r>
          </w:p>
        </w:tc>
        <w:tc>
          <w:tcPr>
            <w:tcW w:w="2694" w:type="dxa"/>
            <w:gridSpan w:val="3"/>
            <w:shd w:val="clear" w:color="auto" w:fill="BDD6EE"/>
            <w:vAlign w:val="center"/>
            <w:hideMark/>
          </w:tcPr>
          <w:p w14:paraId="1385CF11"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vAlign w:val="center"/>
            <w:hideMark/>
          </w:tcPr>
          <w:p w14:paraId="0F657DE5"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3969" w:type="dxa"/>
            <w:vMerge w:val="restart"/>
            <w:shd w:val="clear" w:color="auto" w:fill="BDD6EE"/>
            <w:vAlign w:val="center"/>
            <w:hideMark/>
          </w:tcPr>
          <w:p w14:paraId="439B6EF1" w14:textId="77777777" w:rsidR="00E040FD" w:rsidRDefault="00740D64">
            <w:pPr>
              <w:pStyle w:val="P68B1DB1-Normal6"/>
              <w:spacing w:after="0" w:line="240" w:lineRule="auto"/>
              <w:jc w:val="center"/>
              <w:rPr>
                <w:rFonts w:ascii="Calibri" w:eastAsia="Times New Roman" w:hAnsi="Calibri" w:cs="Calibri"/>
                <w:noProof/>
                <w:sz w:val="16"/>
              </w:rPr>
            </w:pPr>
            <w:r>
              <w:rPr>
                <w:noProof/>
              </w:rPr>
              <w:t>Beskrivning och tydlig definition av varje delmål och mål</w:t>
            </w:r>
          </w:p>
        </w:tc>
      </w:tr>
      <w:tr w:rsidR="00E040FD" w14:paraId="55300FC2" w14:textId="77777777">
        <w:trPr>
          <w:trHeight w:val="430"/>
          <w:tblHeader/>
        </w:trPr>
        <w:tc>
          <w:tcPr>
            <w:tcW w:w="1135" w:type="dxa"/>
            <w:vMerge/>
            <w:vAlign w:val="center"/>
            <w:hideMark/>
          </w:tcPr>
          <w:p w14:paraId="2716EF47"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35E64B63" w14:textId="77777777" w:rsidR="00E040FD" w:rsidRDefault="00E040FD">
            <w:pPr>
              <w:spacing w:after="0" w:line="240" w:lineRule="auto"/>
              <w:rPr>
                <w:rFonts w:ascii="Calibri" w:eastAsia="Times New Roman" w:hAnsi="Calibri" w:cs="Calibri"/>
                <w:b/>
                <w:noProof/>
                <w:sz w:val="16"/>
              </w:rPr>
            </w:pPr>
          </w:p>
        </w:tc>
        <w:tc>
          <w:tcPr>
            <w:tcW w:w="1134" w:type="dxa"/>
            <w:vMerge/>
            <w:shd w:val="clear" w:color="auto" w:fill="BDD6EE"/>
            <w:vAlign w:val="center"/>
            <w:hideMark/>
          </w:tcPr>
          <w:p w14:paraId="5EE6F193" w14:textId="4E289509" w:rsidR="00E040FD" w:rsidRDefault="00E040FD">
            <w:pPr>
              <w:spacing w:after="0" w:line="240" w:lineRule="auto"/>
              <w:jc w:val="center"/>
              <w:rPr>
                <w:rFonts w:ascii="Calibri" w:eastAsia="Times New Roman" w:hAnsi="Calibri" w:cs="Calibri"/>
                <w:b/>
                <w:noProof/>
                <w:sz w:val="16"/>
              </w:rPr>
            </w:pPr>
          </w:p>
        </w:tc>
        <w:tc>
          <w:tcPr>
            <w:tcW w:w="1701" w:type="dxa"/>
            <w:vMerge/>
            <w:vAlign w:val="center"/>
            <w:hideMark/>
          </w:tcPr>
          <w:p w14:paraId="5CCE81B9" w14:textId="77777777" w:rsidR="00E040FD" w:rsidRDefault="00E040FD">
            <w:pPr>
              <w:spacing w:after="0" w:line="240" w:lineRule="auto"/>
              <w:rPr>
                <w:rFonts w:ascii="Calibri" w:eastAsia="Times New Roman" w:hAnsi="Calibri" w:cs="Calibri"/>
                <w:b/>
                <w:noProof/>
                <w:sz w:val="16"/>
              </w:rPr>
            </w:pPr>
          </w:p>
        </w:tc>
        <w:tc>
          <w:tcPr>
            <w:tcW w:w="1275" w:type="dxa"/>
            <w:vMerge/>
            <w:vAlign w:val="center"/>
            <w:hideMark/>
          </w:tcPr>
          <w:p w14:paraId="79537091" w14:textId="77777777" w:rsidR="00E040FD" w:rsidRDefault="00E040FD">
            <w:pPr>
              <w:spacing w:after="0" w:line="240" w:lineRule="auto"/>
              <w:rPr>
                <w:rFonts w:ascii="Calibri" w:eastAsia="Times New Roman" w:hAnsi="Calibri" w:cs="Calibri"/>
                <w:b/>
                <w:noProof/>
                <w:sz w:val="16"/>
              </w:rPr>
            </w:pPr>
          </w:p>
        </w:tc>
        <w:tc>
          <w:tcPr>
            <w:tcW w:w="993" w:type="dxa"/>
            <w:shd w:val="clear" w:color="auto" w:fill="BDD6EE"/>
            <w:vAlign w:val="center"/>
            <w:hideMark/>
          </w:tcPr>
          <w:p w14:paraId="11126D21"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vAlign w:val="center"/>
            <w:hideMark/>
          </w:tcPr>
          <w:p w14:paraId="0AF1479C"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709" w:type="dxa"/>
            <w:shd w:val="clear" w:color="auto" w:fill="BDD6EE"/>
            <w:vAlign w:val="center"/>
            <w:hideMark/>
          </w:tcPr>
          <w:p w14:paraId="6554DD1F"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7" w:type="dxa"/>
            <w:shd w:val="clear" w:color="auto" w:fill="BDD6EE"/>
            <w:vAlign w:val="center"/>
            <w:hideMark/>
          </w:tcPr>
          <w:p w14:paraId="03B3E9F9"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2823A4AA" w14:textId="77777777" w:rsidR="00E040FD" w:rsidRDefault="00740D64">
            <w:pPr>
              <w:pStyle w:val="P68B1DB1-Normal6"/>
              <w:spacing w:after="0" w:line="240" w:lineRule="auto"/>
              <w:jc w:val="center"/>
              <w:rPr>
                <w:rFonts w:eastAsia="Times New Roman" w:cs="Times New Roman"/>
                <w:noProof/>
              </w:rPr>
            </w:pPr>
            <w:r>
              <w:rPr>
                <w:noProof/>
              </w:rPr>
              <w:t>Året</w:t>
            </w:r>
          </w:p>
        </w:tc>
        <w:tc>
          <w:tcPr>
            <w:tcW w:w="3969" w:type="dxa"/>
            <w:vMerge/>
            <w:vAlign w:val="center"/>
            <w:hideMark/>
          </w:tcPr>
          <w:p w14:paraId="7A70D1DD" w14:textId="77777777" w:rsidR="00E040FD" w:rsidRDefault="00E040FD">
            <w:pPr>
              <w:spacing w:after="0" w:line="240" w:lineRule="auto"/>
              <w:rPr>
                <w:rFonts w:ascii="Calibri" w:eastAsia="Times New Roman" w:hAnsi="Calibri" w:cs="Calibri"/>
                <w:b/>
                <w:noProof/>
                <w:sz w:val="16"/>
              </w:rPr>
            </w:pPr>
          </w:p>
        </w:tc>
      </w:tr>
      <w:tr w:rsidR="00E040FD" w14:paraId="152A9A27" w14:textId="77777777">
        <w:trPr>
          <w:trHeight w:val="840"/>
        </w:trPr>
        <w:tc>
          <w:tcPr>
            <w:tcW w:w="1135" w:type="dxa"/>
            <w:shd w:val="clear" w:color="auto" w:fill="C4EFCE"/>
            <w:vAlign w:val="center"/>
            <w:hideMark/>
          </w:tcPr>
          <w:p w14:paraId="2FD964B6" w14:textId="77777777" w:rsidR="00E040FD" w:rsidRDefault="00740D64">
            <w:pPr>
              <w:pStyle w:val="P68B1DB1-Normal7"/>
              <w:spacing w:after="0" w:line="240" w:lineRule="auto"/>
              <w:jc w:val="center"/>
              <w:rPr>
                <w:rFonts w:eastAsia="Times New Roman" w:cs="Calibri"/>
                <w:noProof/>
              </w:rPr>
            </w:pPr>
            <w:r>
              <w:rPr>
                <w:noProof/>
              </w:rPr>
              <w:t>14.1</w:t>
            </w:r>
          </w:p>
        </w:tc>
        <w:tc>
          <w:tcPr>
            <w:tcW w:w="1276" w:type="dxa"/>
            <w:shd w:val="clear" w:color="auto" w:fill="C4EFCE"/>
            <w:noWrap/>
            <w:vAlign w:val="center"/>
            <w:hideMark/>
          </w:tcPr>
          <w:p w14:paraId="41F96EC9" w14:textId="77777777" w:rsidR="00E040FD" w:rsidRDefault="00740D64">
            <w:pPr>
              <w:pStyle w:val="P68B1DB1-Normal8"/>
              <w:spacing w:after="0" w:line="240" w:lineRule="auto"/>
              <w:jc w:val="center"/>
              <w:rPr>
                <w:rFonts w:eastAsia="Times New Roman" w:cs="Calibri"/>
                <w:noProof/>
              </w:rPr>
            </w:pPr>
            <w:r>
              <w:rPr>
                <w:noProof/>
              </w:rPr>
              <w:t>TC-C14-r29</w:t>
            </w:r>
          </w:p>
        </w:tc>
        <w:tc>
          <w:tcPr>
            <w:tcW w:w="1134" w:type="dxa"/>
            <w:shd w:val="clear" w:color="auto" w:fill="C4EFCE"/>
            <w:noWrap/>
            <w:vAlign w:val="center"/>
            <w:hideMark/>
          </w:tcPr>
          <w:p w14:paraId="191BF89A"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11CEEC8" w14:textId="77777777" w:rsidR="00E040FD" w:rsidRDefault="00740D64">
            <w:pPr>
              <w:pStyle w:val="P68B1DB1-Normal8"/>
              <w:spacing w:after="0" w:line="240" w:lineRule="auto"/>
              <w:jc w:val="center"/>
              <w:rPr>
                <w:rFonts w:eastAsia="Times New Roman" w:cs="Calibri"/>
                <w:noProof/>
              </w:rPr>
            </w:pPr>
            <w:r>
              <w:rPr>
                <w:noProof/>
              </w:rPr>
              <w:t>Ikraftträdande av förordningen om det nationella gasöverföringsnätet och förordningen om det nationella gasdistributionsnätet</w:t>
            </w:r>
          </w:p>
        </w:tc>
        <w:tc>
          <w:tcPr>
            <w:tcW w:w="1275" w:type="dxa"/>
            <w:shd w:val="clear" w:color="auto" w:fill="C4EFCE"/>
            <w:noWrap/>
            <w:vAlign w:val="center"/>
            <w:hideMark/>
          </w:tcPr>
          <w:p w14:paraId="2E014965" w14:textId="77777777" w:rsidR="00E040FD" w:rsidRDefault="00740D64">
            <w:pPr>
              <w:pStyle w:val="P68B1DB1-Normal8"/>
              <w:spacing w:after="0" w:line="240" w:lineRule="auto"/>
              <w:jc w:val="center"/>
              <w:rPr>
                <w:rFonts w:eastAsia="Times New Roman" w:cs="Calibri"/>
                <w:noProof/>
              </w:rPr>
            </w:pPr>
            <w:r>
              <w:rPr>
                <w:noProof/>
              </w:rPr>
              <w:t>Ikraftträdande av förordningen om det nationella gasöverföringsnätet och förordningen om det nationella gasdistributionsnätet</w:t>
            </w:r>
          </w:p>
        </w:tc>
        <w:tc>
          <w:tcPr>
            <w:tcW w:w="993" w:type="dxa"/>
            <w:shd w:val="clear" w:color="auto" w:fill="C4EFCE"/>
            <w:noWrap/>
            <w:vAlign w:val="center"/>
            <w:hideMark/>
          </w:tcPr>
          <w:p w14:paraId="02698043"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46A3247" w14:textId="77777777" w:rsidR="00E040FD" w:rsidRDefault="00740D6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917A085"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A75C6D0"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5358F1C1" w14:textId="77777777" w:rsidR="00E040FD" w:rsidRDefault="00740D6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004872AD" w14:textId="77777777" w:rsidR="00E040FD" w:rsidRDefault="00740D64">
            <w:pPr>
              <w:pStyle w:val="P68B1DB1-Normal8"/>
              <w:spacing w:after="0" w:line="240" w:lineRule="auto"/>
              <w:jc w:val="both"/>
              <w:rPr>
                <w:rFonts w:eastAsia="Times New Roman" w:cs="Calibri"/>
                <w:noProof/>
              </w:rPr>
            </w:pPr>
            <w:r>
              <w:rPr>
                <w:noProof/>
              </w:rPr>
              <w:t xml:space="preserve">Ikraftträdande av den ändrade förordningen om det nationella gasöverföringsnätet och förordningen om det nationella gasdistributionsnätet. Ändringarna av förordningen om det nationella gasöverföringsnätet och förordningen om det nationella gasdistributionsnätet ska godkännas av generaldirektoratet för energi och geologi. </w:t>
            </w:r>
          </w:p>
          <w:p w14:paraId="163F4AF0" w14:textId="0CC86E9F" w:rsidR="00E040FD" w:rsidRDefault="00740D64">
            <w:pPr>
              <w:pStyle w:val="P68B1DB1-Normal8"/>
              <w:spacing w:after="0" w:line="240" w:lineRule="auto"/>
              <w:jc w:val="both"/>
              <w:rPr>
                <w:rFonts w:eastAsia="Times New Roman" w:cs="Calibri"/>
                <w:noProof/>
              </w:rPr>
            </w:pPr>
            <w:r>
              <w:rPr>
                <w:noProof/>
              </w:rPr>
              <w:t>Förordningarna ska göra det möjligt att fastställa villkoren för anslutning till infrastruktur för överföring av gas, särskilt för injektion av gaser av förnybart ursprung, inbegripet förnybar vätgas, samt att fastställa den lägsta och högsta andelen injektion av dessa gaser i näten. Dessutom omfattar de nödvändiga revideringarna av de tekniska standarder som säkerställer tjänstens kvalitet och en säker användning av dessa infrastrukturer för alla användare.</w:t>
            </w:r>
          </w:p>
        </w:tc>
      </w:tr>
      <w:tr w:rsidR="00E040FD" w14:paraId="67119968" w14:textId="77777777">
        <w:trPr>
          <w:trHeight w:val="430"/>
        </w:trPr>
        <w:tc>
          <w:tcPr>
            <w:tcW w:w="1135" w:type="dxa"/>
            <w:shd w:val="clear" w:color="auto" w:fill="C4EFCE"/>
            <w:vAlign w:val="center"/>
            <w:hideMark/>
          </w:tcPr>
          <w:p w14:paraId="57E1192A" w14:textId="77777777" w:rsidR="00E040FD" w:rsidRDefault="00740D64">
            <w:pPr>
              <w:pStyle w:val="P68B1DB1-Normal7"/>
              <w:spacing w:after="0" w:line="240" w:lineRule="auto"/>
              <w:jc w:val="center"/>
              <w:rPr>
                <w:rFonts w:eastAsia="Times New Roman" w:cs="Calibri"/>
                <w:noProof/>
              </w:rPr>
            </w:pPr>
            <w:r>
              <w:rPr>
                <w:noProof/>
              </w:rPr>
              <w:t>14.2</w:t>
            </w:r>
          </w:p>
        </w:tc>
        <w:tc>
          <w:tcPr>
            <w:tcW w:w="1276" w:type="dxa"/>
            <w:shd w:val="clear" w:color="auto" w:fill="C4EFCE"/>
            <w:noWrap/>
            <w:vAlign w:val="center"/>
            <w:hideMark/>
          </w:tcPr>
          <w:p w14:paraId="718F4CD4" w14:textId="77777777" w:rsidR="00E040FD" w:rsidRDefault="00740D64">
            <w:pPr>
              <w:pStyle w:val="P68B1DB1-Normal8"/>
              <w:spacing w:after="0" w:line="240" w:lineRule="auto"/>
              <w:jc w:val="center"/>
              <w:rPr>
                <w:rFonts w:eastAsia="Times New Roman" w:cs="Calibri"/>
                <w:noProof/>
              </w:rPr>
            </w:pPr>
            <w:r>
              <w:rPr>
                <w:noProof/>
              </w:rPr>
              <w:t>TC-C14-I01</w:t>
            </w:r>
          </w:p>
        </w:tc>
        <w:tc>
          <w:tcPr>
            <w:tcW w:w="1134" w:type="dxa"/>
            <w:shd w:val="clear" w:color="auto" w:fill="C4EFCE"/>
            <w:noWrap/>
            <w:vAlign w:val="center"/>
            <w:hideMark/>
          </w:tcPr>
          <w:p w14:paraId="2183426D"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4398082B" w14:textId="77777777" w:rsidR="00E040FD" w:rsidRDefault="00740D64">
            <w:pPr>
              <w:pStyle w:val="P68B1DB1-Normal8"/>
              <w:spacing w:after="0" w:line="240" w:lineRule="auto"/>
              <w:jc w:val="center"/>
              <w:rPr>
                <w:rFonts w:eastAsia="Times New Roman" w:cs="Calibri"/>
                <w:noProof/>
              </w:rPr>
            </w:pPr>
            <w:r>
              <w:rPr>
                <w:noProof/>
              </w:rPr>
              <w:t>Första anbudsinfordran för projekt för produktion av förnybar gas</w:t>
            </w:r>
          </w:p>
        </w:tc>
        <w:tc>
          <w:tcPr>
            <w:tcW w:w="1275" w:type="dxa"/>
            <w:shd w:val="clear" w:color="auto" w:fill="C4EFCE"/>
            <w:noWrap/>
            <w:vAlign w:val="center"/>
            <w:hideMark/>
          </w:tcPr>
          <w:p w14:paraId="3A7E38C8" w14:textId="77777777" w:rsidR="00E040FD" w:rsidRDefault="00740D64">
            <w:pPr>
              <w:pStyle w:val="P68B1DB1-Normal8"/>
              <w:spacing w:after="0" w:line="240" w:lineRule="auto"/>
              <w:jc w:val="center"/>
              <w:rPr>
                <w:rFonts w:eastAsia="Times New Roman" w:cs="Calibri"/>
                <w:noProof/>
              </w:rPr>
            </w:pPr>
            <w:r>
              <w:rPr>
                <w:noProof/>
              </w:rPr>
              <w:t>Den första anbudsinfordran inleddes</w:t>
            </w:r>
          </w:p>
        </w:tc>
        <w:tc>
          <w:tcPr>
            <w:tcW w:w="993" w:type="dxa"/>
            <w:shd w:val="clear" w:color="auto" w:fill="C4EFCE"/>
            <w:noWrap/>
            <w:vAlign w:val="center"/>
            <w:hideMark/>
          </w:tcPr>
          <w:p w14:paraId="17551E5C"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77A70C3" w14:textId="77777777" w:rsidR="00E040FD" w:rsidRDefault="00740D6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6F44AB4C"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86C873C"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368CCFC1" w14:textId="77777777" w:rsidR="00E040FD" w:rsidRDefault="00740D6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530AF97A" w14:textId="77777777" w:rsidR="00E040FD" w:rsidRDefault="00740D64">
            <w:pPr>
              <w:pStyle w:val="P68B1DB1-Normal8"/>
              <w:spacing w:after="0" w:line="240" w:lineRule="auto"/>
              <w:jc w:val="both"/>
              <w:rPr>
                <w:rFonts w:eastAsia="Times New Roman" w:cs="Calibri"/>
                <w:noProof/>
              </w:rPr>
            </w:pPr>
            <w:r>
              <w:rPr>
                <w:noProof/>
              </w:rPr>
              <w:t>Inledande av den första ansökningsomgången för urval av projekt som ska stödjas för minst 88 MW ny installerad kapacitet för förnybar vätgas och förnybar gas med noll eller nära noll växthusgasutsläpp under hela livscykeln.</w:t>
            </w:r>
          </w:p>
        </w:tc>
      </w:tr>
      <w:tr w:rsidR="00E040FD" w14:paraId="54E877CC" w14:textId="77777777">
        <w:trPr>
          <w:trHeight w:val="430"/>
        </w:trPr>
        <w:tc>
          <w:tcPr>
            <w:tcW w:w="1135" w:type="dxa"/>
            <w:shd w:val="clear" w:color="auto" w:fill="C4EFCE"/>
            <w:vAlign w:val="center"/>
            <w:hideMark/>
          </w:tcPr>
          <w:p w14:paraId="29370DB0" w14:textId="77777777" w:rsidR="00E040FD" w:rsidRDefault="00740D64">
            <w:pPr>
              <w:pStyle w:val="P68B1DB1-Normal7"/>
              <w:spacing w:after="0" w:line="240" w:lineRule="auto"/>
              <w:jc w:val="center"/>
              <w:rPr>
                <w:rFonts w:eastAsia="Times New Roman" w:cs="Calibri"/>
                <w:noProof/>
              </w:rPr>
            </w:pPr>
            <w:r>
              <w:rPr>
                <w:noProof/>
              </w:rPr>
              <w:t>14.3</w:t>
            </w:r>
          </w:p>
        </w:tc>
        <w:tc>
          <w:tcPr>
            <w:tcW w:w="1276" w:type="dxa"/>
            <w:shd w:val="clear" w:color="auto" w:fill="C4EFCE"/>
            <w:noWrap/>
            <w:vAlign w:val="center"/>
            <w:hideMark/>
          </w:tcPr>
          <w:p w14:paraId="4014E9C9" w14:textId="77777777" w:rsidR="00E040FD" w:rsidRDefault="00740D64">
            <w:pPr>
              <w:pStyle w:val="P68B1DB1-Normal8"/>
              <w:spacing w:after="0" w:line="240" w:lineRule="auto"/>
              <w:jc w:val="center"/>
              <w:rPr>
                <w:rFonts w:eastAsia="Times New Roman" w:cs="Calibri"/>
                <w:noProof/>
              </w:rPr>
            </w:pPr>
            <w:r>
              <w:rPr>
                <w:noProof/>
              </w:rPr>
              <w:t>TC-C14-I01</w:t>
            </w:r>
          </w:p>
        </w:tc>
        <w:tc>
          <w:tcPr>
            <w:tcW w:w="1134" w:type="dxa"/>
            <w:shd w:val="clear" w:color="auto" w:fill="C4EFCE"/>
            <w:noWrap/>
            <w:vAlign w:val="center"/>
            <w:hideMark/>
          </w:tcPr>
          <w:p w14:paraId="7D599D7B"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1FB733D" w14:textId="77777777" w:rsidR="00E040FD" w:rsidRDefault="00740D64">
            <w:pPr>
              <w:pStyle w:val="P68B1DB1-Normal8"/>
              <w:spacing w:after="0" w:line="240" w:lineRule="auto"/>
              <w:jc w:val="center"/>
              <w:rPr>
                <w:rFonts w:eastAsia="Times New Roman" w:cs="Calibri"/>
                <w:noProof/>
              </w:rPr>
            </w:pPr>
            <w:r>
              <w:rPr>
                <w:noProof/>
              </w:rPr>
              <w:t>Ytterligare produktionskapacitet för förnybar vätgas och förnybar gas</w:t>
            </w:r>
          </w:p>
        </w:tc>
        <w:tc>
          <w:tcPr>
            <w:tcW w:w="1275" w:type="dxa"/>
            <w:shd w:val="clear" w:color="auto" w:fill="C4EFCE"/>
            <w:noWrap/>
            <w:vAlign w:val="center"/>
            <w:hideMark/>
          </w:tcPr>
          <w:p w14:paraId="5680D93B"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81A7FD5" w14:textId="77777777" w:rsidR="00E040FD" w:rsidRDefault="00740D64">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1BA6C83A"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85C153C" w14:textId="6CF1971A" w:rsidR="00E040FD" w:rsidRDefault="00740D64">
            <w:pPr>
              <w:pStyle w:val="P68B1DB1-Normal8"/>
              <w:spacing w:after="0" w:line="240" w:lineRule="auto"/>
              <w:jc w:val="center"/>
              <w:rPr>
                <w:rFonts w:eastAsia="Times New Roman" w:cs="Calibri"/>
                <w:noProof/>
              </w:rPr>
            </w:pPr>
            <w:r>
              <w:rPr>
                <w:noProof/>
              </w:rPr>
              <w:t>200</w:t>
            </w:r>
          </w:p>
        </w:tc>
        <w:tc>
          <w:tcPr>
            <w:tcW w:w="567" w:type="dxa"/>
            <w:shd w:val="clear" w:color="auto" w:fill="C4EFCE"/>
            <w:noWrap/>
            <w:vAlign w:val="center"/>
            <w:hideMark/>
          </w:tcPr>
          <w:p w14:paraId="2FA79988" w14:textId="0B3EBA35" w:rsidR="00E040FD" w:rsidRDefault="00740D64">
            <w:pPr>
              <w:pStyle w:val="P68B1DB1-Normal8"/>
              <w:spacing w:after="0" w:line="240" w:lineRule="auto"/>
              <w:jc w:val="center"/>
              <w:rPr>
                <w:rFonts w:eastAsia="Times New Roman" w:cs="Calibri"/>
                <w:noProof/>
              </w:rPr>
            </w:pPr>
            <w:r>
              <w:rPr>
                <w:noProof/>
              </w:rPr>
              <w:t>KVARTAL 1</w:t>
            </w:r>
          </w:p>
        </w:tc>
        <w:tc>
          <w:tcPr>
            <w:tcW w:w="708" w:type="dxa"/>
            <w:shd w:val="clear" w:color="auto" w:fill="C4EFCE"/>
            <w:noWrap/>
            <w:vAlign w:val="center"/>
            <w:hideMark/>
          </w:tcPr>
          <w:p w14:paraId="4BB9BE1D" w14:textId="007A3D2D" w:rsidR="00E040FD" w:rsidRDefault="00740D6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2FBF31DB" w14:textId="77777777" w:rsidR="00E040FD" w:rsidRDefault="00740D64">
            <w:pPr>
              <w:pStyle w:val="P68B1DB1-Normal8"/>
              <w:spacing w:after="0" w:line="240" w:lineRule="auto"/>
              <w:jc w:val="both"/>
              <w:rPr>
                <w:rFonts w:eastAsia="Times New Roman" w:cs="Calibri"/>
                <w:noProof/>
              </w:rPr>
            </w:pPr>
            <w:r>
              <w:rPr>
                <w:noProof/>
              </w:rPr>
              <w:t xml:space="preserve">Ytterligare produktionskapacitet för förnybar vätgas och förnybara gaser installerad med noll eller nära noll växthusgasutsläpp under hela livscykeln. </w:t>
            </w:r>
          </w:p>
        </w:tc>
      </w:tr>
      <w:tr w:rsidR="00E040FD" w14:paraId="4E5061F1" w14:textId="77777777">
        <w:trPr>
          <w:trHeight w:val="473"/>
        </w:trPr>
        <w:tc>
          <w:tcPr>
            <w:tcW w:w="1135" w:type="dxa"/>
            <w:shd w:val="clear" w:color="auto" w:fill="C4EFCE"/>
            <w:vAlign w:val="center"/>
            <w:hideMark/>
          </w:tcPr>
          <w:p w14:paraId="7548B3C2" w14:textId="77777777" w:rsidR="00E040FD" w:rsidRDefault="00740D64">
            <w:pPr>
              <w:pStyle w:val="P68B1DB1-Normal7"/>
              <w:spacing w:after="0" w:line="240" w:lineRule="auto"/>
              <w:jc w:val="center"/>
              <w:rPr>
                <w:rFonts w:eastAsia="Times New Roman" w:cs="Calibri"/>
                <w:noProof/>
              </w:rPr>
            </w:pPr>
            <w:r>
              <w:rPr>
                <w:noProof/>
              </w:rPr>
              <w:t>14.4</w:t>
            </w:r>
          </w:p>
        </w:tc>
        <w:tc>
          <w:tcPr>
            <w:tcW w:w="1276" w:type="dxa"/>
            <w:shd w:val="clear" w:color="auto" w:fill="C4EFCE"/>
            <w:noWrap/>
            <w:vAlign w:val="center"/>
            <w:hideMark/>
          </w:tcPr>
          <w:p w14:paraId="012513D7" w14:textId="77777777" w:rsidR="00E040FD" w:rsidRDefault="00740D64">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0676C40D"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54BC8E5" w14:textId="77777777" w:rsidR="00E040FD" w:rsidRDefault="00740D64">
            <w:pPr>
              <w:pStyle w:val="P68B1DB1-Normal8"/>
              <w:spacing w:after="0" w:line="240" w:lineRule="auto"/>
              <w:jc w:val="center"/>
              <w:rPr>
                <w:rFonts w:eastAsia="Times New Roman" w:cs="Calibri"/>
                <w:noProof/>
              </w:rPr>
            </w:pPr>
            <w:r>
              <w:rPr>
                <w:noProof/>
              </w:rPr>
              <w:t xml:space="preserve">Installation av ny synkronkompensator </w:t>
            </w:r>
          </w:p>
        </w:tc>
        <w:tc>
          <w:tcPr>
            <w:tcW w:w="1275" w:type="dxa"/>
            <w:shd w:val="clear" w:color="auto" w:fill="C4EFCE"/>
            <w:noWrap/>
            <w:vAlign w:val="center"/>
            <w:hideMark/>
          </w:tcPr>
          <w:p w14:paraId="1766B193" w14:textId="6C89AA7B" w:rsidR="00E040FD" w:rsidRDefault="00740D64">
            <w:pPr>
              <w:pStyle w:val="P68B1DB1-Normal8"/>
              <w:spacing w:after="0" w:line="240" w:lineRule="auto"/>
              <w:jc w:val="center"/>
              <w:rPr>
                <w:rFonts w:eastAsia="Times New Roman" w:cs="Calibri"/>
                <w:noProof/>
              </w:rPr>
            </w:pPr>
            <w:r>
              <w:rPr>
                <w:noProof/>
              </w:rPr>
              <w:t>Installation av ny synkronkompensator</w:t>
            </w:r>
          </w:p>
        </w:tc>
        <w:tc>
          <w:tcPr>
            <w:tcW w:w="993" w:type="dxa"/>
            <w:shd w:val="clear" w:color="auto" w:fill="C4EFCE"/>
            <w:noWrap/>
            <w:vAlign w:val="center"/>
            <w:hideMark/>
          </w:tcPr>
          <w:p w14:paraId="59B70755" w14:textId="77777777" w:rsidR="00E040FD" w:rsidRDefault="00740D64">
            <w:pPr>
              <w:pStyle w:val="P68B1DB1-Normal9"/>
              <w:spacing w:after="0" w:line="240" w:lineRule="auto"/>
              <w:rPr>
                <w:rFonts w:eastAsia="Times New Roman" w:cs="Calibri"/>
                <w:noProof/>
              </w:rPr>
            </w:pPr>
            <w:r>
              <w:rPr>
                <w:noProof/>
              </w:rPr>
              <w:t> </w:t>
            </w:r>
          </w:p>
        </w:tc>
        <w:tc>
          <w:tcPr>
            <w:tcW w:w="992" w:type="dxa"/>
            <w:shd w:val="clear" w:color="auto" w:fill="C4EFCE"/>
            <w:noWrap/>
            <w:vAlign w:val="center"/>
            <w:hideMark/>
          </w:tcPr>
          <w:p w14:paraId="5DA13D59" w14:textId="77777777" w:rsidR="00E040FD" w:rsidRDefault="00740D64">
            <w:pPr>
              <w:pStyle w:val="P68B1DB1-Normal9"/>
              <w:spacing w:after="0" w:line="240" w:lineRule="auto"/>
              <w:rPr>
                <w:rFonts w:eastAsia="Times New Roman" w:cs="Calibri"/>
                <w:noProof/>
              </w:rPr>
            </w:pPr>
            <w:r>
              <w:rPr>
                <w:noProof/>
              </w:rPr>
              <w:t> </w:t>
            </w:r>
          </w:p>
        </w:tc>
        <w:tc>
          <w:tcPr>
            <w:tcW w:w="709" w:type="dxa"/>
            <w:shd w:val="clear" w:color="auto" w:fill="C4EFCE"/>
            <w:noWrap/>
            <w:vAlign w:val="center"/>
            <w:hideMark/>
          </w:tcPr>
          <w:p w14:paraId="0DBB59D9" w14:textId="77777777" w:rsidR="00E040FD" w:rsidRDefault="00740D64">
            <w:pPr>
              <w:pStyle w:val="P68B1DB1-Normal9"/>
              <w:spacing w:after="0" w:line="240" w:lineRule="auto"/>
              <w:rPr>
                <w:rFonts w:eastAsia="Times New Roman" w:cs="Calibri"/>
                <w:noProof/>
              </w:rPr>
            </w:pPr>
            <w:r>
              <w:rPr>
                <w:noProof/>
              </w:rPr>
              <w:t> </w:t>
            </w:r>
          </w:p>
        </w:tc>
        <w:tc>
          <w:tcPr>
            <w:tcW w:w="567" w:type="dxa"/>
            <w:shd w:val="clear" w:color="auto" w:fill="C4EFCE"/>
            <w:noWrap/>
            <w:vAlign w:val="center"/>
            <w:hideMark/>
          </w:tcPr>
          <w:p w14:paraId="67729D7D"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3310C570" w14:textId="785E274B"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5732B49" w14:textId="77777777" w:rsidR="00E040FD" w:rsidRDefault="00740D64">
            <w:pPr>
              <w:pStyle w:val="P68B1DB1-Normal8"/>
              <w:spacing w:after="0" w:line="240" w:lineRule="auto"/>
              <w:jc w:val="both"/>
              <w:rPr>
                <w:rFonts w:eastAsia="Times New Roman" w:cs="Calibri"/>
                <w:noProof/>
              </w:rPr>
            </w:pPr>
            <w:r>
              <w:rPr>
                <w:noProof/>
              </w:rPr>
              <w:t>Förvärv och installation av en ny synkronkompensator med minst 15 MVAr.</w:t>
            </w:r>
          </w:p>
        </w:tc>
      </w:tr>
      <w:tr w:rsidR="00E040FD" w14:paraId="22EE209C" w14:textId="77777777">
        <w:trPr>
          <w:trHeight w:val="1377"/>
        </w:trPr>
        <w:tc>
          <w:tcPr>
            <w:tcW w:w="1135" w:type="dxa"/>
            <w:shd w:val="clear" w:color="auto" w:fill="C4EFCE"/>
            <w:vAlign w:val="center"/>
            <w:hideMark/>
          </w:tcPr>
          <w:p w14:paraId="7CCA2CE5" w14:textId="77777777" w:rsidR="00E040FD" w:rsidRDefault="00740D64">
            <w:pPr>
              <w:pStyle w:val="P68B1DB1-Normal7"/>
              <w:spacing w:after="0" w:line="240" w:lineRule="auto"/>
              <w:jc w:val="center"/>
              <w:rPr>
                <w:rFonts w:eastAsia="Times New Roman" w:cs="Calibri"/>
                <w:noProof/>
              </w:rPr>
            </w:pPr>
            <w:r>
              <w:rPr>
                <w:noProof/>
              </w:rPr>
              <w:t>14.5</w:t>
            </w:r>
          </w:p>
        </w:tc>
        <w:tc>
          <w:tcPr>
            <w:tcW w:w="1276" w:type="dxa"/>
            <w:shd w:val="clear" w:color="auto" w:fill="C4EFCE"/>
            <w:noWrap/>
            <w:vAlign w:val="center"/>
            <w:hideMark/>
          </w:tcPr>
          <w:p w14:paraId="73293EEE" w14:textId="77777777" w:rsidR="00E040FD" w:rsidRDefault="00740D64">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1060267A"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3B0CD18" w14:textId="77777777" w:rsidR="00E040FD" w:rsidRDefault="00740D64">
            <w:pPr>
              <w:pStyle w:val="P68B1DB1-Normal8"/>
              <w:spacing w:after="0" w:line="240" w:lineRule="auto"/>
              <w:jc w:val="center"/>
              <w:rPr>
                <w:rFonts w:eastAsia="Times New Roman" w:cs="Calibri"/>
                <w:noProof/>
              </w:rPr>
            </w:pPr>
            <w:r>
              <w:rPr>
                <w:noProof/>
              </w:rPr>
              <w:t>Ytterligare installerad vattenkraftproduktionskapacitet</w:t>
            </w:r>
          </w:p>
        </w:tc>
        <w:tc>
          <w:tcPr>
            <w:tcW w:w="1275" w:type="dxa"/>
            <w:shd w:val="clear" w:color="auto" w:fill="C4EFCE"/>
            <w:noWrap/>
            <w:vAlign w:val="center"/>
            <w:hideMark/>
          </w:tcPr>
          <w:p w14:paraId="40B8E317"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FECCD3D" w14:textId="77777777" w:rsidR="00E040FD" w:rsidRDefault="00740D64">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0A8A5583"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7FF267A" w14:textId="77777777" w:rsidR="00E040FD" w:rsidRDefault="00740D64">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127416C0" w14:textId="4F16624E"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0A99841E" w14:textId="28C62021"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3E6E2780" w14:textId="77777777" w:rsidR="00E040FD" w:rsidRDefault="00740D64">
            <w:pPr>
              <w:pStyle w:val="P68B1DB1-Normal8"/>
              <w:spacing w:after="0" w:line="240" w:lineRule="auto"/>
              <w:jc w:val="both"/>
              <w:rPr>
                <w:rFonts w:eastAsia="Times New Roman" w:cs="Calibri"/>
                <w:noProof/>
              </w:rPr>
            </w:pPr>
            <w:r>
              <w:rPr>
                <w:noProof/>
              </w:rPr>
              <w:t xml:space="preserve">Ökning av den installerade effektkapaciteten i det renoverade vattenkraftverket Serra. </w:t>
            </w:r>
          </w:p>
        </w:tc>
      </w:tr>
      <w:tr w:rsidR="00E040FD" w14:paraId="0D7AA8AD" w14:textId="77777777">
        <w:trPr>
          <w:trHeight w:val="290"/>
        </w:trPr>
        <w:tc>
          <w:tcPr>
            <w:tcW w:w="1135" w:type="dxa"/>
            <w:shd w:val="clear" w:color="auto" w:fill="C4EFCE"/>
            <w:vAlign w:val="center"/>
            <w:hideMark/>
          </w:tcPr>
          <w:p w14:paraId="2465C29C" w14:textId="77777777" w:rsidR="00E040FD" w:rsidRDefault="00740D64">
            <w:pPr>
              <w:pStyle w:val="P68B1DB1-Normal7"/>
              <w:spacing w:after="0" w:line="240" w:lineRule="auto"/>
              <w:jc w:val="center"/>
              <w:rPr>
                <w:rFonts w:eastAsia="Times New Roman" w:cs="Calibri"/>
                <w:noProof/>
              </w:rPr>
            </w:pPr>
            <w:r>
              <w:rPr>
                <w:noProof/>
              </w:rPr>
              <w:t>14.6</w:t>
            </w:r>
          </w:p>
        </w:tc>
        <w:tc>
          <w:tcPr>
            <w:tcW w:w="1276" w:type="dxa"/>
            <w:shd w:val="clear" w:color="auto" w:fill="C4EFCE"/>
            <w:noWrap/>
            <w:vAlign w:val="center"/>
            <w:hideMark/>
          </w:tcPr>
          <w:p w14:paraId="6EE7AE84" w14:textId="77777777" w:rsidR="00E040FD" w:rsidRDefault="00740D64">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491EE19C"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0C1E7A0" w14:textId="77777777" w:rsidR="00E040FD" w:rsidRDefault="00740D64">
            <w:pPr>
              <w:pStyle w:val="P68B1DB1-Normal8"/>
              <w:spacing w:after="0" w:line="240" w:lineRule="auto"/>
              <w:jc w:val="center"/>
              <w:rPr>
                <w:rFonts w:eastAsia="Times New Roman" w:cs="Calibri"/>
                <w:noProof/>
              </w:rPr>
            </w:pPr>
            <w:r>
              <w:rPr>
                <w:noProof/>
              </w:rPr>
              <w:t>Renoverad installerad produktionskapacitet för vattenkraft</w:t>
            </w:r>
          </w:p>
        </w:tc>
        <w:tc>
          <w:tcPr>
            <w:tcW w:w="1275" w:type="dxa"/>
            <w:shd w:val="clear" w:color="auto" w:fill="C4EFCE"/>
            <w:noWrap/>
            <w:vAlign w:val="center"/>
            <w:hideMark/>
          </w:tcPr>
          <w:p w14:paraId="69DFC9AD"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948E8E9" w14:textId="77777777" w:rsidR="00E040FD" w:rsidRDefault="00740D64">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0D1BFE2D"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05F2BB6C" w14:textId="77777777" w:rsidR="00E040FD" w:rsidRDefault="00740D64">
            <w:pPr>
              <w:pStyle w:val="P68B1DB1-Normal8"/>
              <w:spacing w:after="0" w:line="240" w:lineRule="auto"/>
              <w:jc w:val="center"/>
              <w:rPr>
                <w:rFonts w:eastAsia="Times New Roman" w:cs="Calibri"/>
                <w:noProof/>
              </w:rPr>
            </w:pPr>
            <w:r>
              <w:rPr>
                <w:noProof/>
              </w:rPr>
              <w:t>6,2</w:t>
            </w:r>
          </w:p>
        </w:tc>
        <w:tc>
          <w:tcPr>
            <w:tcW w:w="567" w:type="dxa"/>
            <w:shd w:val="clear" w:color="auto" w:fill="C4EFCE"/>
            <w:noWrap/>
            <w:vAlign w:val="center"/>
            <w:hideMark/>
          </w:tcPr>
          <w:p w14:paraId="4C0CE51E"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25BE834C" w14:textId="77777777"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62CFB3E" w14:textId="77777777" w:rsidR="00E040FD" w:rsidRDefault="00740D64">
            <w:pPr>
              <w:pStyle w:val="P68B1DB1-Normal8"/>
              <w:spacing w:after="0" w:line="240" w:lineRule="auto"/>
              <w:jc w:val="both"/>
              <w:rPr>
                <w:rFonts w:eastAsia="Times New Roman" w:cs="Calibri"/>
                <w:noProof/>
              </w:rPr>
            </w:pPr>
            <w:r>
              <w:rPr>
                <w:noProof/>
              </w:rPr>
              <w:t xml:space="preserve">Fullständig renovering av följande vattenkraftverk: </w:t>
            </w:r>
          </w:p>
          <w:p w14:paraId="28A4644B" w14:textId="77777777" w:rsidR="00E040FD" w:rsidRDefault="00740D64">
            <w:pPr>
              <w:pStyle w:val="P68B1DB1-Normal8"/>
              <w:spacing w:after="0" w:line="240" w:lineRule="auto"/>
              <w:jc w:val="both"/>
              <w:rPr>
                <w:rFonts w:eastAsia="Times New Roman" w:cs="Calibri"/>
                <w:noProof/>
              </w:rPr>
            </w:pPr>
            <w:r>
              <w:rPr>
                <w:noProof/>
              </w:rPr>
              <w:t xml:space="preserve">Vattenkraftverket Serra: utbyte och uppgradering av elektrisk och mekanisk utrustning, varvid endast byggnaden underhålls. </w:t>
            </w:r>
          </w:p>
          <w:p w14:paraId="18BFB475" w14:textId="2EB31E76" w:rsidR="00E040FD" w:rsidRDefault="00740D64">
            <w:pPr>
              <w:pStyle w:val="P68B1DB1-Normal8"/>
              <w:spacing w:after="0" w:line="240" w:lineRule="auto"/>
              <w:jc w:val="both"/>
              <w:rPr>
                <w:rFonts w:eastAsia="Times New Roman" w:cs="Calibri"/>
                <w:noProof/>
              </w:rPr>
            </w:pPr>
            <w:r>
              <w:rPr>
                <w:noProof/>
              </w:rPr>
              <w:t>Vattenkraftverket Calheta I: ersättning av de flesta tillgångar, särskilt de två generatoraggregaten på 0,5 MW installerad kapacitet och andra elektriska system, med undantag för byggnaden. Arbetena omfattar också restaurering av de kanaler som leder till anläggningen under en total längd på cirka 13 km.</w:t>
            </w:r>
          </w:p>
        </w:tc>
      </w:tr>
      <w:tr w:rsidR="00E040FD" w14:paraId="6E33C52D" w14:textId="77777777">
        <w:trPr>
          <w:trHeight w:val="290"/>
        </w:trPr>
        <w:tc>
          <w:tcPr>
            <w:tcW w:w="1135" w:type="dxa"/>
            <w:shd w:val="clear" w:color="auto" w:fill="C4EFCE"/>
            <w:vAlign w:val="center"/>
            <w:hideMark/>
          </w:tcPr>
          <w:p w14:paraId="40BC8F13" w14:textId="77777777" w:rsidR="00E040FD" w:rsidRDefault="00740D64">
            <w:pPr>
              <w:pStyle w:val="P68B1DB1-Normal7"/>
              <w:spacing w:after="0" w:line="240" w:lineRule="auto"/>
              <w:jc w:val="center"/>
              <w:rPr>
                <w:rFonts w:eastAsia="Times New Roman" w:cs="Calibri"/>
                <w:noProof/>
              </w:rPr>
            </w:pPr>
            <w:r>
              <w:rPr>
                <w:noProof/>
              </w:rPr>
              <w:t>14.7</w:t>
            </w:r>
          </w:p>
        </w:tc>
        <w:tc>
          <w:tcPr>
            <w:tcW w:w="1276" w:type="dxa"/>
            <w:shd w:val="clear" w:color="auto" w:fill="C4EFCE"/>
            <w:noWrap/>
            <w:vAlign w:val="center"/>
            <w:hideMark/>
          </w:tcPr>
          <w:p w14:paraId="1CC99350" w14:textId="77777777" w:rsidR="00E040FD" w:rsidRDefault="00740D64">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7C251B82"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69D33F4" w14:textId="77777777" w:rsidR="00E040FD" w:rsidRDefault="00740D64">
            <w:pPr>
              <w:pStyle w:val="P68B1DB1-Normal8"/>
              <w:spacing w:after="0" w:line="240" w:lineRule="auto"/>
              <w:jc w:val="center"/>
              <w:rPr>
                <w:rFonts w:eastAsia="Times New Roman" w:cs="Calibri"/>
                <w:noProof/>
              </w:rPr>
            </w:pPr>
            <w:r>
              <w:rPr>
                <w:noProof/>
              </w:rPr>
              <w:t>Ytterligare installerad kapacitet i batterilagringssystemet</w:t>
            </w:r>
          </w:p>
        </w:tc>
        <w:tc>
          <w:tcPr>
            <w:tcW w:w="1275" w:type="dxa"/>
            <w:shd w:val="clear" w:color="auto" w:fill="C4EFCE"/>
            <w:noWrap/>
            <w:vAlign w:val="center"/>
            <w:hideMark/>
          </w:tcPr>
          <w:p w14:paraId="47DED681"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AD7FBEA" w14:textId="77777777" w:rsidR="00E040FD" w:rsidRDefault="00740D64">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5AE80CCF"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3404202" w14:textId="77777777" w:rsidR="00E040FD" w:rsidRDefault="00740D64">
            <w:pPr>
              <w:pStyle w:val="P68B1DB1-Normal8"/>
              <w:spacing w:after="0" w:line="240" w:lineRule="auto"/>
              <w:jc w:val="center"/>
              <w:rPr>
                <w:rFonts w:eastAsia="Times New Roman" w:cs="Calibri"/>
                <w:noProof/>
              </w:rPr>
            </w:pPr>
            <w:r>
              <w:rPr>
                <w:noProof/>
              </w:rPr>
              <w:t>21</w:t>
            </w:r>
          </w:p>
        </w:tc>
        <w:tc>
          <w:tcPr>
            <w:tcW w:w="567" w:type="dxa"/>
            <w:shd w:val="clear" w:color="auto" w:fill="C4EFCE"/>
            <w:noWrap/>
            <w:vAlign w:val="center"/>
            <w:hideMark/>
          </w:tcPr>
          <w:p w14:paraId="23311448"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2CE3C18F" w14:textId="77777777"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508188D" w14:textId="77777777" w:rsidR="00E040FD" w:rsidRDefault="00740D64">
            <w:pPr>
              <w:pStyle w:val="P68B1DB1-Normal8"/>
              <w:spacing w:after="0" w:line="240" w:lineRule="auto"/>
              <w:jc w:val="both"/>
              <w:rPr>
                <w:rFonts w:eastAsia="Times New Roman" w:cs="Calibri"/>
                <w:noProof/>
              </w:rPr>
            </w:pPr>
            <w:r>
              <w:rPr>
                <w:noProof/>
              </w:rPr>
              <w:t xml:space="preserve">Öka ellagringen genom att lägga till installerad kapacitet i batterisystem. </w:t>
            </w:r>
          </w:p>
          <w:p w14:paraId="388555A7" w14:textId="00D42124" w:rsidR="00E040FD" w:rsidRDefault="00740D64">
            <w:pPr>
              <w:pStyle w:val="P68B1DB1-Normal8"/>
              <w:spacing w:after="0" w:line="240" w:lineRule="auto"/>
              <w:jc w:val="both"/>
              <w:rPr>
                <w:rFonts w:eastAsia="Times New Roman" w:cs="Calibri"/>
                <w:noProof/>
              </w:rPr>
            </w:pPr>
            <w:r>
              <w:rPr>
                <w:noProof/>
              </w:rPr>
              <w:t>Den tillagda kapaciteten uppgår till minst 21 MW/27 MWh.</w:t>
            </w:r>
          </w:p>
        </w:tc>
      </w:tr>
      <w:tr w:rsidR="00E040FD" w14:paraId="1948699A" w14:textId="77777777">
        <w:trPr>
          <w:trHeight w:val="430"/>
        </w:trPr>
        <w:tc>
          <w:tcPr>
            <w:tcW w:w="1135" w:type="dxa"/>
            <w:shd w:val="clear" w:color="auto" w:fill="C4EFCE"/>
            <w:vAlign w:val="center"/>
            <w:hideMark/>
          </w:tcPr>
          <w:p w14:paraId="2C554E92" w14:textId="77777777" w:rsidR="00E040FD" w:rsidRDefault="00740D64">
            <w:pPr>
              <w:pStyle w:val="P68B1DB1-Normal7"/>
              <w:spacing w:after="0" w:line="240" w:lineRule="auto"/>
              <w:jc w:val="center"/>
              <w:rPr>
                <w:rFonts w:eastAsia="Times New Roman" w:cs="Calibri"/>
                <w:noProof/>
              </w:rPr>
            </w:pPr>
            <w:r>
              <w:rPr>
                <w:noProof/>
              </w:rPr>
              <w:t>14.8</w:t>
            </w:r>
          </w:p>
        </w:tc>
        <w:tc>
          <w:tcPr>
            <w:tcW w:w="1276" w:type="dxa"/>
            <w:shd w:val="clear" w:color="auto" w:fill="C4EFCE"/>
            <w:noWrap/>
            <w:vAlign w:val="center"/>
            <w:hideMark/>
          </w:tcPr>
          <w:p w14:paraId="5FB40C15" w14:textId="77777777" w:rsidR="00E040FD" w:rsidRDefault="00740D64">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194061B1"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5F07188" w14:textId="77777777" w:rsidR="00E040FD" w:rsidRDefault="00740D64">
            <w:pPr>
              <w:pStyle w:val="P68B1DB1-Normal8"/>
              <w:spacing w:after="0" w:line="240" w:lineRule="auto"/>
              <w:jc w:val="center"/>
              <w:rPr>
                <w:rFonts w:eastAsia="Times New Roman" w:cs="Calibri"/>
                <w:noProof/>
              </w:rPr>
            </w:pPr>
            <w:r>
              <w:rPr>
                <w:noProof/>
              </w:rPr>
              <w:t>Ytterligare kapacitet för att integrera ny installerad effekt i elsystemet</w:t>
            </w:r>
          </w:p>
        </w:tc>
        <w:tc>
          <w:tcPr>
            <w:tcW w:w="1275" w:type="dxa"/>
            <w:shd w:val="clear" w:color="auto" w:fill="C4EFCE"/>
            <w:noWrap/>
            <w:vAlign w:val="center"/>
            <w:hideMark/>
          </w:tcPr>
          <w:p w14:paraId="04404B06"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18AC5C6" w14:textId="77777777" w:rsidR="00E040FD" w:rsidRDefault="00740D64">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33D2174B"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DD47456" w14:textId="77777777" w:rsidR="00E040FD" w:rsidRDefault="00740D64">
            <w:pPr>
              <w:pStyle w:val="P68B1DB1-Normal8"/>
              <w:spacing w:after="0" w:line="240" w:lineRule="auto"/>
              <w:jc w:val="center"/>
              <w:rPr>
                <w:rFonts w:eastAsia="Times New Roman" w:cs="Calibri"/>
                <w:noProof/>
              </w:rPr>
            </w:pPr>
            <w:r>
              <w:rPr>
                <w:noProof/>
              </w:rPr>
              <w:t>48</w:t>
            </w:r>
          </w:p>
        </w:tc>
        <w:tc>
          <w:tcPr>
            <w:tcW w:w="567" w:type="dxa"/>
            <w:shd w:val="clear" w:color="auto" w:fill="C4EFCE"/>
            <w:noWrap/>
            <w:vAlign w:val="center"/>
            <w:hideMark/>
          </w:tcPr>
          <w:p w14:paraId="7A7FC3C8" w14:textId="77777777"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1286C6DF"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7880C30" w14:textId="53A5D4C2" w:rsidR="00E040FD" w:rsidRDefault="00740D64">
            <w:pPr>
              <w:pStyle w:val="P68B1DB1-Normal8"/>
              <w:spacing w:after="0" w:line="240" w:lineRule="auto"/>
              <w:jc w:val="both"/>
              <w:rPr>
                <w:rFonts w:eastAsia="Times New Roman" w:cs="Calibri"/>
                <w:noProof/>
              </w:rPr>
            </w:pPr>
            <w:r>
              <w:rPr>
                <w:noProof/>
              </w:rPr>
              <w:t>Ökad kapacitet för integrering av förnybara energikällor i ARM:s elsystem. Uppgraderingen uppgår till 8 MW i Porto Santo och 40 MW på Madeira.</w:t>
            </w:r>
          </w:p>
        </w:tc>
      </w:tr>
      <w:tr w:rsidR="00E040FD" w14:paraId="7777E58F" w14:textId="77777777">
        <w:trPr>
          <w:trHeight w:val="430"/>
        </w:trPr>
        <w:tc>
          <w:tcPr>
            <w:tcW w:w="1135" w:type="dxa"/>
            <w:shd w:val="clear" w:color="auto" w:fill="C4EFCE"/>
            <w:vAlign w:val="center"/>
            <w:hideMark/>
          </w:tcPr>
          <w:p w14:paraId="0A07FC76" w14:textId="77777777" w:rsidR="00E040FD" w:rsidRDefault="00740D64">
            <w:pPr>
              <w:pStyle w:val="P68B1DB1-Normal7"/>
              <w:spacing w:after="0" w:line="240" w:lineRule="auto"/>
              <w:jc w:val="center"/>
              <w:rPr>
                <w:rFonts w:eastAsia="Times New Roman" w:cs="Calibri"/>
                <w:noProof/>
              </w:rPr>
            </w:pPr>
            <w:r>
              <w:rPr>
                <w:noProof/>
              </w:rPr>
              <w:t>14.9</w:t>
            </w:r>
          </w:p>
        </w:tc>
        <w:tc>
          <w:tcPr>
            <w:tcW w:w="1276" w:type="dxa"/>
            <w:shd w:val="clear" w:color="auto" w:fill="C4EFCE"/>
            <w:noWrap/>
            <w:vAlign w:val="center"/>
            <w:hideMark/>
          </w:tcPr>
          <w:p w14:paraId="6F6CE13A" w14:textId="77777777" w:rsidR="00E040FD" w:rsidRDefault="00740D64">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3F096E46"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7D8452D" w14:textId="77777777" w:rsidR="00E040FD" w:rsidRDefault="00740D64">
            <w:pPr>
              <w:pStyle w:val="P68B1DB1-Normal8"/>
              <w:spacing w:after="0" w:line="240" w:lineRule="auto"/>
              <w:jc w:val="center"/>
              <w:rPr>
                <w:rFonts w:eastAsia="Times New Roman" w:cs="Calibri"/>
                <w:noProof/>
              </w:rPr>
            </w:pPr>
            <w:r>
              <w:rPr>
                <w:noProof/>
              </w:rPr>
              <w:t xml:space="preserve">Installation av smarta mätare </w:t>
            </w:r>
          </w:p>
        </w:tc>
        <w:tc>
          <w:tcPr>
            <w:tcW w:w="1275" w:type="dxa"/>
            <w:shd w:val="clear" w:color="auto" w:fill="C4EFCE"/>
            <w:noWrap/>
            <w:vAlign w:val="center"/>
            <w:hideMark/>
          </w:tcPr>
          <w:p w14:paraId="6EE2AFB4"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97B7CDD"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6171D01F"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64A2B0C" w14:textId="53CB6B01" w:rsidR="00E040FD" w:rsidRDefault="00740D64">
            <w:pPr>
              <w:pStyle w:val="P68B1DB1-Normal8"/>
              <w:spacing w:after="0" w:line="240" w:lineRule="auto"/>
              <w:jc w:val="center"/>
              <w:rPr>
                <w:rFonts w:eastAsia="Times New Roman" w:cs="Calibri"/>
                <w:noProof/>
              </w:rPr>
            </w:pPr>
            <w:r>
              <w:rPr>
                <w:noProof/>
              </w:rPr>
              <w:t>130 000</w:t>
            </w:r>
          </w:p>
        </w:tc>
        <w:tc>
          <w:tcPr>
            <w:tcW w:w="567" w:type="dxa"/>
            <w:shd w:val="clear" w:color="auto" w:fill="C4EFCE"/>
            <w:noWrap/>
            <w:vAlign w:val="center"/>
            <w:hideMark/>
          </w:tcPr>
          <w:p w14:paraId="466259E1"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461EE381"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2A0AB2BE" w14:textId="77777777" w:rsidR="00E040FD" w:rsidRDefault="00740D64">
            <w:pPr>
              <w:pStyle w:val="P68B1DB1-Normal8"/>
              <w:spacing w:after="0" w:line="240" w:lineRule="auto"/>
              <w:jc w:val="both"/>
              <w:rPr>
                <w:rFonts w:eastAsia="Times New Roman" w:cs="Calibri"/>
                <w:noProof/>
              </w:rPr>
            </w:pPr>
            <w:r>
              <w:rPr>
                <w:noProof/>
              </w:rPr>
              <w:t>Tillhandahållande och installation av nya smarta mätare (elmätare som registrerar information om förbrukning och som är anslutna till kommunikationsnätet).</w:t>
            </w:r>
          </w:p>
        </w:tc>
      </w:tr>
      <w:tr w:rsidR="00E040FD" w14:paraId="085247C8" w14:textId="77777777">
        <w:trPr>
          <w:trHeight w:val="300"/>
        </w:trPr>
        <w:tc>
          <w:tcPr>
            <w:tcW w:w="1135" w:type="dxa"/>
            <w:shd w:val="clear" w:color="auto" w:fill="C4EFCE"/>
            <w:vAlign w:val="center"/>
            <w:hideMark/>
          </w:tcPr>
          <w:p w14:paraId="4DAE842D" w14:textId="77777777" w:rsidR="00E040FD" w:rsidRDefault="00740D64">
            <w:pPr>
              <w:pStyle w:val="P68B1DB1-Normal7"/>
              <w:spacing w:after="0" w:line="240" w:lineRule="auto"/>
              <w:jc w:val="center"/>
              <w:rPr>
                <w:rFonts w:eastAsia="Times New Roman" w:cs="Calibri"/>
                <w:noProof/>
              </w:rPr>
            </w:pPr>
            <w:r>
              <w:rPr>
                <w:noProof/>
              </w:rPr>
              <w:t>14.10</w:t>
            </w:r>
          </w:p>
        </w:tc>
        <w:tc>
          <w:tcPr>
            <w:tcW w:w="1276" w:type="dxa"/>
            <w:shd w:val="clear" w:color="auto" w:fill="C4EFCE"/>
            <w:noWrap/>
            <w:vAlign w:val="center"/>
            <w:hideMark/>
          </w:tcPr>
          <w:p w14:paraId="3B119B79" w14:textId="77777777" w:rsidR="00E040FD" w:rsidRDefault="00740D64">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2D8644BA"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3077042" w14:textId="77777777" w:rsidR="00E040FD" w:rsidRDefault="00740D64">
            <w:pPr>
              <w:pStyle w:val="P68B1DB1-Normal8"/>
              <w:spacing w:after="0" w:line="240" w:lineRule="auto"/>
              <w:jc w:val="center"/>
              <w:rPr>
                <w:rFonts w:eastAsia="Times New Roman" w:cs="Calibri"/>
                <w:noProof/>
              </w:rPr>
            </w:pPr>
            <w:r>
              <w:rPr>
                <w:noProof/>
              </w:rPr>
              <w:t xml:space="preserve">Byte av gatubelysningsställen </w:t>
            </w:r>
          </w:p>
        </w:tc>
        <w:tc>
          <w:tcPr>
            <w:tcW w:w="1275" w:type="dxa"/>
            <w:shd w:val="clear" w:color="auto" w:fill="C4EFCE"/>
            <w:noWrap/>
            <w:vAlign w:val="center"/>
            <w:hideMark/>
          </w:tcPr>
          <w:p w14:paraId="1F6A61E8"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F3AB129"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19AB4E5C"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5BE9D871" w14:textId="77777777" w:rsidR="00E040FD" w:rsidRDefault="00740D64">
            <w:pPr>
              <w:pStyle w:val="P68B1DB1-Normal8"/>
              <w:spacing w:after="0" w:line="240" w:lineRule="auto"/>
              <w:jc w:val="center"/>
              <w:rPr>
                <w:rFonts w:eastAsia="Times New Roman" w:cs="Calibri"/>
                <w:noProof/>
              </w:rPr>
            </w:pPr>
            <w:r>
              <w:rPr>
                <w:noProof/>
              </w:rPr>
              <w:t>8 750</w:t>
            </w:r>
          </w:p>
        </w:tc>
        <w:tc>
          <w:tcPr>
            <w:tcW w:w="567" w:type="dxa"/>
            <w:shd w:val="clear" w:color="auto" w:fill="C4EFCE"/>
            <w:noWrap/>
            <w:vAlign w:val="center"/>
            <w:hideMark/>
          </w:tcPr>
          <w:p w14:paraId="352149A8"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59138D5E"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E233918" w14:textId="77777777" w:rsidR="00E040FD" w:rsidRDefault="00740D64">
            <w:pPr>
              <w:pStyle w:val="P68B1DB1-Normal8"/>
              <w:spacing w:after="0" w:line="240" w:lineRule="auto"/>
              <w:jc w:val="both"/>
              <w:rPr>
                <w:rFonts w:eastAsia="Times New Roman" w:cs="Calibri"/>
                <w:noProof/>
              </w:rPr>
            </w:pPr>
            <w:r>
              <w:rPr>
                <w:noProof/>
              </w:rPr>
              <w:t>Ersättning av det allmänna belysningsnätet med LED-belysning med låg energiförbrukning och deras ledningssystem.</w:t>
            </w:r>
          </w:p>
        </w:tc>
      </w:tr>
      <w:tr w:rsidR="00E040FD" w14:paraId="49C49B34" w14:textId="77777777">
        <w:trPr>
          <w:trHeight w:val="630"/>
        </w:trPr>
        <w:tc>
          <w:tcPr>
            <w:tcW w:w="1135" w:type="dxa"/>
            <w:shd w:val="clear" w:color="auto" w:fill="C4EFCE"/>
            <w:vAlign w:val="center"/>
            <w:hideMark/>
          </w:tcPr>
          <w:p w14:paraId="57987303" w14:textId="77777777" w:rsidR="00E040FD" w:rsidRDefault="00740D64">
            <w:pPr>
              <w:pStyle w:val="P68B1DB1-Normal7"/>
              <w:spacing w:after="0" w:line="240" w:lineRule="auto"/>
              <w:jc w:val="center"/>
              <w:rPr>
                <w:rFonts w:eastAsia="Times New Roman" w:cs="Calibri"/>
                <w:noProof/>
              </w:rPr>
            </w:pPr>
            <w:r>
              <w:rPr>
                <w:noProof/>
              </w:rPr>
              <w:t>14.11</w:t>
            </w:r>
          </w:p>
        </w:tc>
        <w:tc>
          <w:tcPr>
            <w:tcW w:w="1276" w:type="dxa"/>
            <w:shd w:val="clear" w:color="auto" w:fill="C4EFCE"/>
            <w:noWrap/>
            <w:vAlign w:val="center"/>
            <w:hideMark/>
          </w:tcPr>
          <w:p w14:paraId="0E810C24" w14:textId="77777777" w:rsidR="00E040FD" w:rsidRDefault="00740D64">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07BB7096"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CDAE41D" w14:textId="77777777" w:rsidR="00E040FD" w:rsidRDefault="00740D64">
            <w:pPr>
              <w:pStyle w:val="P68B1DB1-Normal8"/>
              <w:spacing w:after="0" w:line="240" w:lineRule="auto"/>
              <w:jc w:val="center"/>
              <w:rPr>
                <w:rFonts w:eastAsia="Times New Roman" w:cs="Calibri"/>
                <w:noProof/>
              </w:rPr>
            </w:pPr>
            <w:r>
              <w:rPr>
                <w:noProof/>
              </w:rPr>
              <w:t>Ytterligare och renoverad installerad geotermisk produktionskapacitet</w:t>
            </w:r>
          </w:p>
        </w:tc>
        <w:tc>
          <w:tcPr>
            <w:tcW w:w="1275" w:type="dxa"/>
            <w:shd w:val="clear" w:color="auto" w:fill="C4EFCE"/>
            <w:noWrap/>
            <w:vAlign w:val="center"/>
            <w:hideMark/>
          </w:tcPr>
          <w:p w14:paraId="346DFA29"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A22D7A0" w14:textId="77777777" w:rsidR="00E040FD" w:rsidRDefault="00740D64">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25B70213"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8D74A92" w14:textId="77777777" w:rsidR="00E040FD" w:rsidRDefault="00740D64">
            <w:pPr>
              <w:pStyle w:val="P68B1DB1-Normal8"/>
              <w:spacing w:after="0" w:line="240" w:lineRule="auto"/>
              <w:jc w:val="center"/>
              <w:rPr>
                <w:rFonts w:eastAsia="Times New Roman" w:cs="Calibri"/>
                <w:noProof/>
              </w:rPr>
            </w:pPr>
            <w:r>
              <w:rPr>
                <w:noProof/>
              </w:rPr>
              <w:t>17</w:t>
            </w:r>
          </w:p>
        </w:tc>
        <w:tc>
          <w:tcPr>
            <w:tcW w:w="567" w:type="dxa"/>
            <w:shd w:val="clear" w:color="auto" w:fill="C4EFCE"/>
            <w:noWrap/>
            <w:vAlign w:val="center"/>
            <w:hideMark/>
          </w:tcPr>
          <w:p w14:paraId="7654C1AA" w14:textId="3DD4D71C"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2C969610" w14:textId="294D2D88" w:rsidR="00E040FD" w:rsidRDefault="00740D6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615578BD" w14:textId="77777777" w:rsidR="00E040FD" w:rsidRDefault="00740D64">
            <w:pPr>
              <w:pStyle w:val="P68B1DB1-Normal8"/>
              <w:spacing w:after="0" w:line="240" w:lineRule="auto"/>
              <w:jc w:val="both"/>
              <w:rPr>
                <w:rFonts w:eastAsia="Times New Roman" w:cs="Calibri"/>
                <w:noProof/>
              </w:rPr>
            </w:pPr>
            <w:r>
              <w:rPr>
                <w:noProof/>
              </w:rPr>
              <w:t xml:space="preserve">Öka kapaciteten att producera el från förnybara energikällor, särskilt geotermisk energi. Den ytterligare kapaciteten (12 MW) ska installeras i anläggningen för geotermisk Pico Alto och Pico Vermelho Geotermisk anläggning. </w:t>
            </w:r>
          </w:p>
          <w:p w14:paraId="2807AEAB" w14:textId="570B2349" w:rsidR="00E040FD" w:rsidRDefault="00740D64">
            <w:pPr>
              <w:pStyle w:val="P68B1DB1-Normal8"/>
              <w:spacing w:after="0" w:line="240" w:lineRule="auto"/>
              <w:jc w:val="both"/>
              <w:rPr>
                <w:rFonts w:eastAsia="Times New Roman" w:cs="Calibri"/>
                <w:noProof/>
              </w:rPr>
            </w:pPr>
            <w:r>
              <w:rPr>
                <w:noProof/>
              </w:rPr>
              <w:t>Renoveringen av den geotermiska anläggningen i Ribeira Grande ska införa tre nya geotermiska brunnar och en effektivare produktionsenhet på 5 MW ska ersätta de befintliga produktionsenheterna på 2 x 2,5 MW.</w:t>
            </w:r>
          </w:p>
        </w:tc>
      </w:tr>
      <w:tr w:rsidR="00E040FD" w14:paraId="6EB81417" w14:textId="77777777">
        <w:trPr>
          <w:trHeight w:val="430"/>
        </w:trPr>
        <w:tc>
          <w:tcPr>
            <w:tcW w:w="1135" w:type="dxa"/>
            <w:shd w:val="clear" w:color="auto" w:fill="C4EFCE"/>
            <w:vAlign w:val="center"/>
            <w:hideMark/>
          </w:tcPr>
          <w:p w14:paraId="3405F6EB" w14:textId="77777777" w:rsidR="00E040FD" w:rsidRDefault="00740D64">
            <w:pPr>
              <w:pStyle w:val="P68B1DB1-Normal7"/>
              <w:spacing w:after="0" w:line="240" w:lineRule="auto"/>
              <w:jc w:val="center"/>
              <w:rPr>
                <w:rFonts w:eastAsia="Times New Roman" w:cs="Calibri"/>
                <w:noProof/>
              </w:rPr>
            </w:pPr>
            <w:r>
              <w:rPr>
                <w:noProof/>
              </w:rPr>
              <w:t>14.12</w:t>
            </w:r>
          </w:p>
        </w:tc>
        <w:tc>
          <w:tcPr>
            <w:tcW w:w="1276" w:type="dxa"/>
            <w:shd w:val="clear" w:color="auto" w:fill="C4EFCE"/>
            <w:noWrap/>
            <w:vAlign w:val="center"/>
            <w:hideMark/>
          </w:tcPr>
          <w:p w14:paraId="63DE5821" w14:textId="77777777" w:rsidR="00E040FD" w:rsidRDefault="00740D64">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63E7E41F"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22755F2" w14:textId="77777777" w:rsidR="00E040FD" w:rsidRDefault="00740D64">
            <w:pPr>
              <w:pStyle w:val="P68B1DB1-Normal8"/>
              <w:spacing w:after="0" w:line="240" w:lineRule="auto"/>
              <w:jc w:val="center"/>
              <w:rPr>
                <w:rFonts w:eastAsia="Times New Roman" w:cs="Calibri"/>
                <w:noProof/>
              </w:rPr>
            </w:pPr>
            <w:r>
              <w:rPr>
                <w:noProof/>
              </w:rPr>
              <w:t>Ytterligare produktion av förnybar el från Corvo</w:t>
            </w:r>
          </w:p>
        </w:tc>
        <w:tc>
          <w:tcPr>
            <w:tcW w:w="1275" w:type="dxa"/>
            <w:shd w:val="clear" w:color="auto" w:fill="C4EFCE"/>
            <w:noWrap/>
            <w:vAlign w:val="center"/>
            <w:hideMark/>
          </w:tcPr>
          <w:p w14:paraId="4A191934"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FE8B622" w14:textId="77777777" w:rsidR="00E040FD" w:rsidRDefault="00740D64">
            <w:pPr>
              <w:pStyle w:val="P68B1DB1-Normal8"/>
              <w:spacing w:after="0" w:line="240" w:lineRule="auto"/>
              <w:jc w:val="center"/>
              <w:rPr>
                <w:rFonts w:eastAsia="Times New Roman" w:cs="Calibri"/>
                <w:noProof/>
              </w:rPr>
            </w:pPr>
            <w:r>
              <w:rPr>
                <w:noProof/>
              </w:rPr>
              <w:t>kW</w:t>
            </w:r>
          </w:p>
        </w:tc>
        <w:tc>
          <w:tcPr>
            <w:tcW w:w="992" w:type="dxa"/>
            <w:shd w:val="clear" w:color="auto" w:fill="C4EFCE"/>
            <w:noWrap/>
            <w:vAlign w:val="center"/>
            <w:hideMark/>
          </w:tcPr>
          <w:p w14:paraId="5DA012D0"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0FE94F2" w14:textId="77777777" w:rsidR="00E040FD" w:rsidRDefault="00740D64">
            <w:pPr>
              <w:pStyle w:val="P68B1DB1-Normal8"/>
              <w:spacing w:after="0" w:line="240" w:lineRule="auto"/>
              <w:jc w:val="center"/>
              <w:rPr>
                <w:rFonts w:eastAsia="Times New Roman" w:cs="Calibri"/>
                <w:noProof/>
              </w:rPr>
            </w:pPr>
            <w:r>
              <w:rPr>
                <w:noProof/>
              </w:rPr>
              <w:t>850</w:t>
            </w:r>
          </w:p>
        </w:tc>
        <w:tc>
          <w:tcPr>
            <w:tcW w:w="567" w:type="dxa"/>
            <w:shd w:val="clear" w:color="auto" w:fill="C4EFCE"/>
            <w:noWrap/>
            <w:vAlign w:val="center"/>
            <w:hideMark/>
          </w:tcPr>
          <w:p w14:paraId="21A4EA86" w14:textId="10D88483"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4EC5CBA7" w14:textId="5D6061B7"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1522AF9F" w14:textId="5591984C" w:rsidR="00E040FD" w:rsidRDefault="00740D64">
            <w:pPr>
              <w:pStyle w:val="P68B1DB1-Normal8"/>
              <w:spacing w:after="0" w:line="240" w:lineRule="auto"/>
              <w:jc w:val="both"/>
              <w:rPr>
                <w:rFonts w:eastAsia="Times New Roman" w:cs="Calibri"/>
                <w:noProof/>
              </w:rPr>
            </w:pPr>
            <w:r>
              <w:rPr>
                <w:noProof/>
              </w:rPr>
              <w:t>Öka den installerade kapaciteten för produktion av el från förnybara källor på ön Corvo genom installation av en solcells- och vindkraftpark.</w:t>
            </w:r>
          </w:p>
        </w:tc>
      </w:tr>
      <w:tr w:rsidR="00E040FD" w14:paraId="4BF28A70" w14:textId="77777777">
        <w:trPr>
          <w:trHeight w:val="640"/>
        </w:trPr>
        <w:tc>
          <w:tcPr>
            <w:tcW w:w="1135" w:type="dxa"/>
            <w:shd w:val="clear" w:color="auto" w:fill="C4EFCE"/>
            <w:vAlign w:val="center"/>
            <w:hideMark/>
          </w:tcPr>
          <w:p w14:paraId="26E7B270" w14:textId="77777777" w:rsidR="00E040FD" w:rsidRDefault="00740D64">
            <w:pPr>
              <w:pStyle w:val="P68B1DB1-Normal7"/>
              <w:spacing w:after="0" w:line="240" w:lineRule="auto"/>
              <w:jc w:val="center"/>
              <w:rPr>
                <w:rFonts w:eastAsia="Times New Roman" w:cs="Calibri"/>
                <w:noProof/>
              </w:rPr>
            </w:pPr>
            <w:r>
              <w:rPr>
                <w:noProof/>
              </w:rPr>
              <w:t>14.13</w:t>
            </w:r>
          </w:p>
        </w:tc>
        <w:tc>
          <w:tcPr>
            <w:tcW w:w="1276" w:type="dxa"/>
            <w:shd w:val="clear" w:color="auto" w:fill="C4EFCE"/>
            <w:noWrap/>
            <w:vAlign w:val="center"/>
            <w:hideMark/>
          </w:tcPr>
          <w:p w14:paraId="21B544BC" w14:textId="77777777" w:rsidR="00E040FD" w:rsidRDefault="00740D64">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421AB62A"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5CB493E" w14:textId="77777777" w:rsidR="00E040FD" w:rsidRDefault="00740D64">
            <w:pPr>
              <w:pStyle w:val="P68B1DB1-Normal8"/>
              <w:spacing w:after="0" w:line="240" w:lineRule="auto"/>
              <w:jc w:val="center"/>
              <w:rPr>
                <w:rFonts w:eastAsia="Times New Roman" w:cs="Calibri"/>
                <w:noProof/>
              </w:rPr>
            </w:pPr>
            <w:r>
              <w:rPr>
                <w:noProof/>
              </w:rPr>
              <w:t>Nya batterienergilagringssystem och energiledningssystem i ARA</w:t>
            </w:r>
          </w:p>
        </w:tc>
        <w:tc>
          <w:tcPr>
            <w:tcW w:w="1275" w:type="dxa"/>
            <w:shd w:val="clear" w:color="auto" w:fill="C4EFCE"/>
            <w:noWrap/>
            <w:vAlign w:val="center"/>
            <w:hideMark/>
          </w:tcPr>
          <w:p w14:paraId="32C59D26"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22A9B89" w14:textId="77777777" w:rsidR="00E040FD" w:rsidRDefault="00740D64">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179DC3B8"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A6A215E" w14:textId="77777777" w:rsidR="00E040FD" w:rsidRDefault="00740D64">
            <w:pPr>
              <w:pStyle w:val="P68B1DB1-Normal8"/>
              <w:spacing w:after="0" w:line="240" w:lineRule="auto"/>
              <w:jc w:val="center"/>
              <w:rPr>
                <w:rFonts w:eastAsia="Times New Roman" w:cs="Calibri"/>
                <w:noProof/>
              </w:rPr>
            </w:pPr>
            <w:r>
              <w:rPr>
                <w:noProof/>
              </w:rPr>
              <w:t>20</w:t>
            </w:r>
          </w:p>
        </w:tc>
        <w:tc>
          <w:tcPr>
            <w:tcW w:w="567" w:type="dxa"/>
            <w:shd w:val="clear" w:color="auto" w:fill="C4EFCE"/>
            <w:noWrap/>
            <w:vAlign w:val="center"/>
            <w:hideMark/>
          </w:tcPr>
          <w:p w14:paraId="748EDD79" w14:textId="4D8C8E40"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27D3725B" w14:textId="243A03A5" w:rsidR="00E040FD" w:rsidRDefault="00740D6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75D6C939" w14:textId="77777777" w:rsidR="00E040FD" w:rsidRDefault="00740D64">
            <w:pPr>
              <w:pStyle w:val="P68B1DB1-Normal8"/>
              <w:spacing w:after="0" w:line="240" w:lineRule="auto"/>
              <w:jc w:val="both"/>
              <w:rPr>
                <w:rFonts w:eastAsia="Times New Roman" w:cs="Calibri"/>
                <w:noProof/>
              </w:rPr>
            </w:pPr>
            <w:r>
              <w:rPr>
                <w:noProof/>
              </w:rPr>
              <w:t>Installation av nya batterienergilagringssystem och energiledningssystem på sex öar för att möjliggöra en större integrering av förnybara energikällor och samtidigt trygga försörjningstryggheten och tjänsternas kvalitet, med ett effektintervall på mellan 20 MW och 30 MW tillsammans. ··</w:t>
            </w:r>
          </w:p>
        </w:tc>
      </w:tr>
      <w:tr w:rsidR="00E040FD" w14:paraId="1056362A" w14:textId="77777777">
        <w:trPr>
          <w:trHeight w:val="430"/>
        </w:trPr>
        <w:tc>
          <w:tcPr>
            <w:tcW w:w="1135" w:type="dxa"/>
            <w:shd w:val="clear" w:color="auto" w:fill="C4EFCE"/>
            <w:vAlign w:val="center"/>
            <w:hideMark/>
          </w:tcPr>
          <w:p w14:paraId="32B5D8E8" w14:textId="77777777" w:rsidR="00E040FD" w:rsidRDefault="00740D64">
            <w:pPr>
              <w:pStyle w:val="P68B1DB1-Normal7"/>
              <w:spacing w:after="0" w:line="240" w:lineRule="auto"/>
              <w:jc w:val="center"/>
              <w:rPr>
                <w:rFonts w:eastAsia="Times New Roman" w:cs="Calibri"/>
                <w:noProof/>
              </w:rPr>
            </w:pPr>
            <w:r>
              <w:rPr>
                <w:noProof/>
              </w:rPr>
              <w:t>14.14</w:t>
            </w:r>
          </w:p>
        </w:tc>
        <w:tc>
          <w:tcPr>
            <w:tcW w:w="1276" w:type="dxa"/>
            <w:shd w:val="clear" w:color="auto" w:fill="C4EFCE"/>
            <w:noWrap/>
            <w:vAlign w:val="center"/>
            <w:hideMark/>
          </w:tcPr>
          <w:p w14:paraId="054F1D8B" w14:textId="77777777" w:rsidR="00E040FD" w:rsidRDefault="00740D64">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472D0821"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59DC164" w14:textId="77777777" w:rsidR="00E040FD" w:rsidRDefault="00740D64">
            <w:pPr>
              <w:pStyle w:val="P68B1DB1-Normal8"/>
              <w:spacing w:after="0" w:line="240" w:lineRule="auto"/>
              <w:jc w:val="center"/>
              <w:rPr>
                <w:rFonts w:eastAsia="Times New Roman" w:cs="Calibri"/>
                <w:noProof/>
              </w:rPr>
            </w:pPr>
            <w:r>
              <w:rPr>
                <w:noProof/>
              </w:rPr>
              <w:t>Installation av små solcellsanläggningar för lokal elproduktion och elförbrukning</w:t>
            </w:r>
          </w:p>
        </w:tc>
        <w:tc>
          <w:tcPr>
            <w:tcW w:w="1275" w:type="dxa"/>
            <w:shd w:val="clear" w:color="auto" w:fill="C4EFCE"/>
            <w:noWrap/>
            <w:vAlign w:val="center"/>
            <w:hideMark/>
          </w:tcPr>
          <w:p w14:paraId="3010E648"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35F208A" w14:textId="77777777" w:rsidR="00E040FD" w:rsidRDefault="00740D64">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43701371"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DA6B091" w14:textId="1611D817" w:rsidR="00E040FD" w:rsidRDefault="00740D64">
            <w:pPr>
              <w:pStyle w:val="P68B1DB1-Normal8"/>
              <w:spacing w:after="0" w:line="240" w:lineRule="auto"/>
              <w:jc w:val="center"/>
              <w:rPr>
                <w:rFonts w:eastAsia="Times New Roman" w:cs="Calibri"/>
                <w:noProof/>
              </w:rPr>
            </w:pPr>
            <w:r>
              <w:rPr>
                <w:noProof/>
              </w:rPr>
              <w:t>11,2</w:t>
            </w:r>
          </w:p>
        </w:tc>
        <w:tc>
          <w:tcPr>
            <w:tcW w:w="567" w:type="dxa"/>
            <w:shd w:val="clear" w:color="auto" w:fill="C4EFCE"/>
            <w:noWrap/>
            <w:vAlign w:val="center"/>
            <w:hideMark/>
          </w:tcPr>
          <w:p w14:paraId="3ED06E56"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5D25B3E7"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A739CE2" w14:textId="77777777" w:rsidR="00E040FD" w:rsidRDefault="00740D64">
            <w:pPr>
              <w:pStyle w:val="P68B1DB1-Normal8"/>
              <w:spacing w:after="0" w:line="240" w:lineRule="auto"/>
              <w:jc w:val="both"/>
              <w:rPr>
                <w:rFonts w:eastAsia="Times New Roman" w:cs="Calibri"/>
                <w:noProof/>
              </w:rPr>
            </w:pPr>
            <w:r>
              <w:rPr>
                <w:noProof/>
              </w:rPr>
              <w:t>Installation av ny installerad elkraftkapacitet genom investeringar i små solcellsanläggningar med diffusa enheter som huvudsakligen är avsedda för egen förbrukning, under förutsättning att stödmottagarna inte bidrar med någon medfinansiering.</w:t>
            </w:r>
          </w:p>
        </w:tc>
      </w:tr>
    </w:tbl>
    <w:p w14:paraId="5A094B69" w14:textId="77777777" w:rsidR="00E040FD" w:rsidRDefault="00E040FD">
      <w:pPr>
        <w:spacing w:before="40" w:after="0" w:line="259" w:lineRule="auto"/>
        <w:ind w:left="130" w:firstLine="720"/>
        <w:jc w:val="both"/>
        <w:outlineLvl w:val="1"/>
        <w:rPr>
          <w:rFonts w:ascii="Times New Roman" w:eastAsiaTheme="minorEastAsia" w:hAnsi="Times New Roman" w:cs="Times New Roman"/>
          <w:b/>
          <w:noProof/>
          <w:sz w:val="24"/>
          <w:u w:val="single"/>
        </w:rPr>
        <w:sectPr w:rsidR="00E040FD" w:rsidSect="00E00EDD">
          <w:headerReference w:type="even" r:id="rId276"/>
          <w:headerReference w:type="default" r:id="rId277"/>
          <w:footerReference w:type="even" r:id="rId278"/>
          <w:footerReference w:type="default" r:id="rId279"/>
          <w:headerReference w:type="first" r:id="rId280"/>
          <w:footerReference w:type="first" r:id="rId281"/>
          <w:pgSz w:w="16839" w:h="11907" w:orient="landscape"/>
          <w:pgMar w:top="1134" w:right="1134" w:bottom="1134" w:left="1134" w:header="567" w:footer="567" w:gutter="0"/>
          <w:cols w:space="720"/>
          <w:docGrid w:linePitch="360"/>
        </w:sectPr>
      </w:pPr>
    </w:p>
    <w:p w14:paraId="319EDBBA" w14:textId="77777777" w:rsidR="00E040FD" w:rsidRDefault="00740D64">
      <w:pPr>
        <w:pStyle w:val="P68B1DB1-Normal3"/>
        <w:keepNext/>
        <w:spacing w:before="40" w:after="0" w:line="259" w:lineRule="auto"/>
        <w:ind w:left="130" w:firstLine="720"/>
        <w:jc w:val="both"/>
        <w:outlineLvl w:val="1"/>
        <w:rPr>
          <w:rFonts w:eastAsiaTheme="minorEastAsia" w:cs="Times New Roman"/>
          <w:smallCaps/>
          <w:noProof/>
        </w:rPr>
      </w:pPr>
      <w:r>
        <w:rPr>
          <w:noProof/>
        </w:rPr>
        <w:t>O</w:t>
      </w:r>
      <w:r>
        <w:rPr>
          <w:smallCaps/>
          <w:noProof/>
        </w:rPr>
        <w:t xml:space="preserve">. </w:t>
      </w:r>
      <w:r>
        <w:rPr>
          <w:noProof/>
        </w:rPr>
        <w:t>KOMPONENT</w:t>
      </w:r>
      <w:r>
        <w:rPr>
          <w:smallCaps/>
          <w:noProof/>
        </w:rPr>
        <w:t xml:space="preserve"> 1</w:t>
      </w:r>
      <w:r>
        <w:rPr>
          <w:noProof/>
        </w:rPr>
        <w:t>5</w:t>
      </w:r>
      <w:r>
        <w:rPr>
          <w:smallCaps/>
          <w:noProof/>
        </w:rPr>
        <w:t>:</w:t>
      </w:r>
      <w:r>
        <w:rPr>
          <w:noProof/>
        </w:rPr>
        <w:t xml:space="preserve"> Hållbar rörlighet </w:t>
      </w:r>
    </w:p>
    <w:p w14:paraId="36604D95" w14:textId="77777777" w:rsidR="00E040FD" w:rsidRDefault="00740D64">
      <w:pPr>
        <w:pStyle w:val="P68B1DB1-Normal4"/>
        <w:spacing w:before="40" w:after="0" w:line="259" w:lineRule="auto"/>
        <w:jc w:val="both"/>
        <w:rPr>
          <w:rFonts w:eastAsiaTheme="minorEastAsia" w:cs="Times New Roman"/>
          <w:noProof/>
        </w:rPr>
      </w:pPr>
      <w:r>
        <w:rPr>
          <w:noProof/>
        </w:rPr>
        <w:t>Denna del av Portugals återhämtnings- och resiliensplan tar itu med flera utmaningar inom transportsektorn: behovet av att minska utsläppen av växthusgaser och föroreningar, behovet av att minska beroendet av personbilar och behovet av att garantera bättre social sammanhållning i stadsområden.</w:t>
      </w:r>
    </w:p>
    <w:p w14:paraId="278D0CE5" w14:textId="77777777" w:rsidR="00E040FD" w:rsidRDefault="00740D64">
      <w:pPr>
        <w:pStyle w:val="P68B1DB1-Normal4"/>
        <w:spacing w:before="40" w:after="0" w:line="259" w:lineRule="auto"/>
        <w:jc w:val="both"/>
        <w:rPr>
          <w:rFonts w:eastAsiaTheme="minorEastAsia" w:cs="Times New Roman"/>
          <w:noProof/>
        </w:rPr>
      </w:pPr>
      <w:r>
        <w:rPr>
          <w:noProof/>
        </w:rPr>
        <w:t xml:space="preserve">Syftet med denna del är att minska utsläppen och förbättra kollektivtrafiken genom att utvidga nätet, göra det mer tillgängligt och stärka kapaciteten för planering av kollektivtrafiken. Detta förväntas leda till fler användare av kollektivtrafiken, främja en trafikomställning från privat bil till kollektivtrafik och främja bättre transportlednings- och planeringskapacitet. I detta syfte består denna del av reformer och investeringar som främjar hållbar kollektivtrafik genom utbyggnaden av tunnelbanan i Lissabon och Porto, byggandet av ett snabbspårningssystem i Lissabon, ett system för snabb busstrafik i Porto och inköp av utsläppsfria bussar för kollektivtrafik. </w:t>
      </w:r>
    </w:p>
    <w:p w14:paraId="693476C5" w14:textId="77777777" w:rsidR="00E040FD" w:rsidRDefault="00740D64">
      <w:pPr>
        <w:pStyle w:val="P68B1DB1-Normal4"/>
        <w:spacing w:before="40" w:after="0" w:line="259" w:lineRule="auto"/>
        <w:jc w:val="both"/>
        <w:rPr>
          <w:rFonts w:eastAsiaTheme="minorEastAsia" w:cs="Times New Roman"/>
          <w:noProof/>
        </w:rPr>
      </w:pPr>
      <w:r>
        <w:rPr>
          <w:noProof/>
        </w:rPr>
        <w:t>Komponenten bidrar till att följa den landsspecifika rekommendationen om att inrikta investeringarna på den gröna omställningen (landsspecifik rekommendation 3 2020).</w:t>
      </w:r>
    </w:p>
    <w:p w14:paraId="1CBD4BA5" w14:textId="77777777" w:rsidR="00E040FD" w:rsidRDefault="00740D64">
      <w:pPr>
        <w:pStyle w:val="P68B1DB1-Normal4"/>
        <w:spacing w:before="40" w:after="0" w:line="259" w:lineRule="auto"/>
        <w:jc w:val="both"/>
        <w:rPr>
          <w:rFonts w:eastAsiaTheme="minorEastAsia" w:cs="Times New Roman"/>
          <w:noProof/>
        </w:rPr>
      </w:pPr>
      <w:r>
        <w:rPr>
          <w:noProof/>
        </w:rPr>
        <w:t>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w:t>
      </w:r>
    </w:p>
    <w:p w14:paraId="250BB7E2" w14:textId="77777777" w:rsidR="00E040FD" w:rsidRDefault="00E040FD">
      <w:pPr>
        <w:spacing w:before="40" w:after="0" w:line="259" w:lineRule="auto"/>
        <w:jc w:val="both"/>
        <w:rPr>
          <w:rFonts w:ascii="Times New Roman" w:eastAsiaTheme="minorEastAsia" w:hAnsi="Times New Roman" w:cs="Times New Roman"/>
          <w:noProof/>
          <w:sz w:val="24"/>
        </w:rPr>
      </w:pPr>
    </w:p>
    <w:p w14:paraId="4D9A22C1" w14:textId="77777777" w:rsidR="00E040FD" w:rsidRDefault="00740D64">
      <w:pPr>
        <w:pStyle w:val="P68B1DB1-Normal3"/>
        <w:spacing w:before="40" w:after="0" w:line="259" w:lineRule="auto"/>
        <w:ind w:left="130" w:firstLine="720"/>
        <w:jc w:val="both"/>
        <w:outlineLvl w:val="1"/>
        <w:rPr>
          <w:rFonts w:eastAsiaTheme="minorEastAsia" w:cs="Times New Roman"/>
          <w:i/>
          <w:noProof/>
        </w:rPr>
      </w:pPr>
      <w:r>
        <w:rPr>
          <w:noProof/>
        </w:rPr>
        <w:t xml:space="preserve">O.1. </w:t>
      </w:r>
      <w:r>
        <w:rPr>
          <w:noProof/>
        </w:rPr>
        <w:tab/>
        <w:t>Beskrivning av reformer och investeringar avseende icke återbetalningspliktigt ekonomiskt stöd</w:t>
      </w:r>
    </w:p>
    <w:p w14:paraId="2D343529" w14:textId="77777777" w:rsidR="00E040FD" w:rsidRDefault="00740D64">
      <w:pPr>
        <w:pStyle w:val="P68B1DB1-Normal5"/>
        <w:spacing w:before="240" w:after="0" w:line="259" w:lineRule="auto"/>
        <w:ind w:left="851"/>
        <w:jc w:val="both"/>
        <w:outlineLvl w:val="2"/>
        <w:rPr>
          <w:rFonts w:eastAsiaTheme="minorEastAsia" w:cs="Times New Roman"/>
          <w:noProof/>
        </w:rPr>
      </w:pPr>
      <w:r>
        <w:rPr>
          <w:noProof/>
        </w:rPr>
        <w:t xml:space="preserve">Reform TC-r30: Reform av transportekosystemet </w:t>
      </w:r>
    </w:p>
    <w:p w14:paraId="46E820B7" w14:textId="77777777" w:rsidR="00E040FD" w:rsidRDefault="00740D64">
      <w:pPr>
        <w:pStyle w:val="P68B1DB1-Normal4"/>
        <w:spacing w:before="40" w:after="0" w:line="259" w:lineRule="auto"/>
        <w:jc w:val="both"/>
        <w:rPr>
          <w:rFonts w:eastAsiaTheme="minorEastAsia" w:cs="Times New Roman"/>
          <w:noProof/>
        </w:rPr>
      </w:pPr>
      <w:r>
        <w:rPr>
          <w:noProof/>
        </w:rPr>
        <w:t>Syftet med reformen är att stärka kollektivtrafikmyndigheterna, deras kapacitet och kompetens och därmed öka deras förmåga att bättre planera de transportsystem som de förvaltar och öka användningen av kollektivtrafiken. Det främjar kapacitetsuppbyggnad hos kollektivtrafikmyndigheter genom stöd till förvärv av verktyg för planering och förvaltning av transportsystem, nya digitala lösningar som underlättar användningen av kollektivtrafik och stöd till modernisering av biljettsystem och övervakning av verksamheten, bland annat. Den ska hjälpa transportförvaltningsmyndigheterna att förbereda, ingå och genomföra avtal om kollektivtrafik i alla storstadsområden (AM) och interkommunala gemenskaper (CIM), i enlighet med Europaparlamentets och rådets förordning (EG) nr 1370/2007 av den 23 oktober 2007 om kollektivtrafik på järnväg och väg och om upphävande av rådets förordningar (EEG) nr 1191/69 och (EEG) nr 1107/70. Den ska förbättra villkoren för tillgång till kollektivtrafik genom att genomföra program för nedsatta taxor (</w:t>
      </w:r>
      <w:r>
        <w:rPr>
          <w:i/>
          <w:noProof/>
        </w:rPr>
        <w:t>Programa de Apoio à Redução do Tarifário dos Transportes Públicos</w:t>
      </w:r>
      <w:r>
        <w:rPr>
          <w:noProof/>
        </w:rPr>
        <w:t>, PART) och bättre och mer klimatvänliga transporttjänster (</w:t>
      </w:r>
      <w:r>
        <w:rPr>
          <w:i/>
          <w:noProof/>
        </w:rPr>
        <w:t>Programa de Apoio à Densificação e Reforço da Oferta de Transporte Público</w:t>
      </w:r>
      <w:r>
        <w:rPr>
          <w:noProof/>
        </w:rPr>
        <w:t>, PROTransP) samt genom att genomföra skatteåtgärder till förmån för kollektivtrafikanvändarna, såsom skatteavdrag för mervärdesskatt i samband med köp av månatliga kollektivtrafikbiljetter.</w:t>
      </w:r>
    </w:p>
    <w:p w14:paraId="523BD682" w14:textId="77777777" w:rsidR="00E040FD" w:rsidRDefault="00740D64">
      <w:pPr>
        <w:pStyle w:val="P68B1DB1-Normal4"/>
        <w:spacing w:before="40" w:after="0" w:line="259" w:lineRule="auto"/>
        <w:jc w:val="both"/>
        <w:rPr>
          <w:rFonts w:eastAsiaTheme="minorEastAsia" w:cs="Times New Roman"/>
          <w:noProof/>
        </w:rPr>
      </w:pPr>
      <w:r>
        <w:rPr>
          <w:noProof/>
        </w:rPr>
        <w:t>Genomförandet av reformen ska vara slutfört senast den 31 december 2023.</w:t>
      </w:r>
    </w:p>
    <w:p w14:paraId="5CA124BF" w14:textId="77777777" w:rsidR="00E040FD" w:rsidRDefault="00740D64">
      <w:pPr>
        <w:pStyle w:val="P68B1DB1-Normal5"/>
        <w:widowControl w:val="0"/>
        <w:spacing w:before="240" w:after="0" w:line="259" w:lineRule="auto"/>
        <w:ind w:left="851"/>
        <w:jc w:val="both"/>
        <w:outlineLvl w:val="2"/>
        <w:rPr>
          <w:rFonts w:eastAsiaTheme="minorEastAsia" w:cs="Times New Roman"/>
          <w:noProof/>
        </w:rPr>
      </w:pPr>
      <w:r>
        <w:rPr>
          <w:noProof/>
        </w:rPr>
        <w:t xml:space="preserve">Investeringar TC-C15-I01: Utbyggnad av Lissabons tunnelbanenät – Röda linjen till Alcântara </w:t>
      </w:r>
    </w:p>
    <w:p w14:paraId="2D0BA654" w14:textId="77777777" w:rsidR="00E040FD" w:rsidRDefault="00740D64">
      <w:pPr>
        <w:pStyle w:val="P68B1DB1-Normal4"/>
        <w:widowControl w:val="0"/>
        <w:spacing w:before="40" w:after="0" w:line="259" w:lineRule="auto"/>
        <w:jc w:val="both"/>
        <w:rPr>
          <w:rFonts w:eastAsiaTheme="minorEastAsia" w:cs="Times New Roman"/>
          <w:noProof/>
        </w:rPr>
      </w:pPr>
      <w:r>
        <w:rPr>
          <w:noProof/>
        </w:rPr>
        <w:t>Syftet med åtgärden är att öka kollektivtrafikens attraktionskraft i Lissabon och locka fler användare genom en utbyggnad av tunnelbanenätet.</w:t>
      </w:r>
    </w:p>
    <w:p w14:paraId="32F8B06B" w14:textId="77777777" w:rsidR="00E040FD" w:rsidRDefault="00740D64">
      <w:pPr>
        <w:pStyle w:val="P68B1DB1-Normal4"/>
        <w:widowControl w:val="0"/>
        <w:spacing w:before="40" w:after="0" w:line="259" w:lineRule="auto"/>
        <w:jc w:val="both"/>
        <w:rPr>
          <w:rFonts w:eastAsiaTheme="minorEastAsia" w:cs="Times New Roman"/>
          <w:noProof/>
        </w:rPr>
      </w:pPr>
      <w:r>
        <w:rPr>
          <w:noProof/>
        </w:rPr>
        <w:t xml:space="preserve">Investeringen ska bestå av en utbyggnad av Lissabons tunnelbanenät till Alcântara, med tillägg av 3,7 km och fyra stationer till nätet. Detta ska omvandla Alcântara till ett viktigt nytt transportgränssnitt som utgör en länk mellan tunnelbanenätet och förortsjärnvägstjänster. </w:t>
      </w:r>
    </w:p>
    <w:p w14:paraId="0994D2CA" w14:textId="3517EDB9" w:rsidR="00E040FD" w:rsidRDefault="00740D64">
      <w:pPr>
        <w:pStyle w:val="P68B1DB1-Normal4"/>
        <w:widowControl w:val="0"/>
        <w:spacing w:before="40" w:after="0" w:line="259" w:lineRule="auto"/>
        <w:jc w:val="both"/>
        <w:rPr>
          <w:rFonts w:eastAsiaTheme="minorEastAsia" w:cs="Times New Roman"/>
          <w:noProof/>
        </w:rPr>
      </w:pPr>
      <w:r>
        <w:rPr>
          <w:noProof/>
        </w:rPr>
        <w:t>Investeringen ska vara genomförd senast den 30 juni 2026.</w:t>
      </w:r>
    </w:p>
    <w:p w14:paraId="2D6741A9"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Investeringar TC-C15-I02: Utbyggnad av Portos tunnelbanenätverk – Casa da Música-Santo Ovídio</w:t>
      </w:r>
    </w:p>
    <w:p w14:paraId="6D4EC5A9" w14:textId="77777777" w:rsidR="00E040FD" w:rsidRDefault="00740D64">
      <w:pPr>
        <w:pStyle w:val="P68B1DB1-Normal4"/>
        <w:keepNext/>
        <w:spacing w:before="40" w:after="0" w:line="259" w:lineRule="auto"/>
        <w:jc w:val="both"/>
        <w:rPr>
          <w:rFonts w:eastAsiaTheme="minorEastAsia" w:cs="Times New Roman"/>
          <w:noProof/>
        </w:rPr>
      </w:pPr>
      <w:r>
        <w:rPr>
          <w:noProof/>
        </w:rPr>
        <w:t>Syftet med åtgärden är att öka kollektivtrafikens attraktionskraft i Porto och locka fler användare. Syftet är att utvidga tunnelbanenätets territoriella täckning och ta itu med överbelastningsproblemen på förbindelsen Porto-Vila Nova de Gaia.</w:t>
      </w:r>
    </w:p>
    <w:p w14:paraId="0201D95D"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bestå av en utbyggnad av tunnelbanenätet i Porto genom byggandet av en ny dubbelspårslinje på 6,74 km med 8 nya stationer mellan Boavista/Casa da Música i Porto och en ny station som ska byggas i Santo Ovídio (gränssnitt mot Amarela-linjen) i Vila Nova de Gaia. </w:t>
      </w:r>
    </w:p>
    <w:p w14:paraId="1BFC66BB" w14:textId="4078E263"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30 juni 2026.</w:t>
      </w:r>
    </w:p>
    <w:p w14:paraId="3600650C" w14:textId="0045A331"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 xml:space="preserve">Investeringar TC-C15-I04: Buss Rapid Transit Boavista – Império </w:t>
      </w:r>
    </w:p>
    <w:p w14:paraId="483142D1"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åtgärden är att öka kollektivtrafikens attraktionskraft i Porto och locka fler användare. Syftet är att minska utsläppen av växthusgaser och föroreningar och uppmuntra trafikomställning bort från vägar. </w:t>
      </w:r>
    </w:p>
    <w:p w14:paraId="24DD3461" w14:textId="2E7E71C1"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ska bestå i inrättandet av ett nytt system för snabb transitering (köer som främst är avsedda för bussar) på 3,8 km och 7 stationer mellan Praça do Império och Praça Mouzinho de Albuquerque i Porto, som tillhandahåller en anslutning till Portos tunnelbanenät. Systemet för snabb transitering av bussar ska drivas av utsläppsfria bussar (el- eller vätgasbussar). </w:t>
      </w:r>
    </w:p>
    <w:p w14:paraId="552F28A8" w14:textId="54BD3E6B"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30 september 2024.</w:t>
      </w:r>
    </w:p>
    <w:p w14:paraId="0D379072"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Investeringar TC-C15-I05: Utfasning av fossila bränslen i kollektivtrafiken</w:t>
      </w:r>
    </w:p>
    <w:p w14:paraId="27AD2FF8"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åtgärden är att förnya och fasa ut fossila bränslen i Portugals kollektivtrafikflotta genom att tillhandahålla utsläppsfria bussar. </w:t>
      </w:r>
    </w:p>
    <w:p w14:paraId="3A160CAB" w14:textId="7B1069C1"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bestå av ekonomiskt stöd till inköp av 145 utsläppsfria bussar (el- eller vätgasbussar) för kollektivtrafik och laddningsinfrastruktur för deras drift. Stödet ska ges i form av ett icke återbetalningspliktigt bidrag som motsvarar skillnaden mellan inköpskostnaderna för en utsläppsfri buss (el- eller vätgasbuss) och ett dieselekvivalent fordon (Euro VI). Bussarna ska användas för tillhandahållande av kollektivtrafik inom ramen för avtal om allmän trafik i storstadsområdena Lissabon och Porto. </w:t>
      </w:r>
    </w:p>
    <w:p w14:paraId="30E9508A"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2023.</w:t>
      </w:r>
    </w:p>
    <w:p w14:paraId="3EA4262B" w14:textId="17791992" w:rsidR="00E040FD" w:rsidRDefault="00740D64">
      <w:pPr>
        <w:pStyle w:val="P68B1DB1-Normal5"/>
        <w:keepNext/>
        <w:spacing w:before="240" w:after="0" w:line="259" w:lineRule="auto"/>
        <w:ind w:left="851"/>
        <w:jc w:val="both"/>
        <w:outlineLvl w:val="2"/>
        <w:rPr>
          <w:rFonts w:eastAsiaTheme="minorEastAsia" w:cs="Times New Roman"/>
          <w:noProof/>
        </w:rPr>
      </w:pPr>
      <w:bookmarkStart w:id="28" w:name="_Toc137472463"/>
      <w:r>
        <w:rPr>
          <w:noProof/>
        </w:rPr>
        <w:t>Investeringar TC-C15-I06: Digitalisering av järnvägstransporter</w:t>
      </w:r>
      <w:bookmarkEnd w:id="28"/>
    </w:p>
    <w:p w14:paraId="3A592227" w14:textId="2C1D33A4" w:rsidR="00E040FD" w:rsidRDefault="00740D64">
      <w:pPr>
        <w:pStyle w:val="P68B1DB1-Normal4"/>
        <w:spacing w:before="40" w:after="0" w:line="259" w:lineRule="auto"/>
        <w:jc w:val="both"/>
        <w:rPr>
          <w:rFonts w:cs="Times New Roman"/>
          <w:noProof/>
        </w:rPr>
      </w:pPr>
      <w:r>
        <w:rPr>
          <w:noProof/>
        </w:rPr>
        <w:t>Syftet med denna investering är att göra den nordliga linjen i det nationella järnvägsnätet (RFN) kompatibel med den nya höghastighetsjärnvägslinjen (LAV) genom utbyte av elektroniska signalsystem. Detta förväntas förbättra driftskompatibiliteten mellan RFN och det gemensamma europeiska järnvägsområdet.</w:t>
      </w:r>
    </w:p>
    <w:p w14:paraId="0880068A" w14:textId="3E3F8752" w:rsidR="00E040FD" w:rsidRDefault="00740D64">
      <w:pPr>
        <w:pStyle w:val="P68B1DB1-Normal4"/>
        <w:spacing w:before="40" w:after="0" w:line="259" w:lineRule="auto"/>
        <w:jc w:val="both"/>
        <w:rPr>
          <w:rFonts w:cs="Times New Roman"/>
          <w:noProof/>
        </w:rPr>
      </w:pPr>
      <w:r>
        <w:rPr>
          <w:noProof/>
        </w:rPr>
        <w:t>Denna investering ska bestå i att ersätta de elektroniska signalsystemen vid stationerna Campolide-Cintura, Oriente, Alverca och Azambuja, som täcker 20 km järnvägslinjer i Lissabons storstadsområde.</w:t>
      </w:r>
    </w:p>
    <w:p w14:paraId="3287A3D7" w14:textId="77777777" w:rsidR="00E040FD" w:rsidRDefault="00740D64">
      <w:pPr>
        <w:pStyle w:val="P68B1DB1-Normal4"/>
        <w:spacing w:before="40" w:after="0" w:line="259" w:lineRule="auto"/>
        <w:jc w:val="both"/>
        <w:rPr>
          <w:rFonts w:cs="Times New Roman"/>
          <w:noProof/>
        </w:rPr>
      </w:pPr>
      <w:r>
        <w:rPr>
          <w:noProof/>
        </w:rPr>
        <w:t>Investeringen ska vara genomförd senast den 30 juni 2026.</w:t>
      </w:r>
    </w:p>
    <w:p w14:paraId="39B0B8B1"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62B6A681" w14:textId="65744CBC" w:rsidR="00E040FD" w:rsidRDefault="00E040FD">
      <w:pPr>
        <w:keepNext/>
        <w:spacing w:before="40" w:after="0" w:line="259" w:lineRule="auto"/>
        <w:jc w:val="both"/>
        <w:rPr>
          <w:rFonts w:ascii="Times New Roman" w:eastAsiaTheme="minorEastAsia" w:hAnsi="Times New Roman" w:cs="Times New Roman"/>
          <w:noProof/>
          <w:sz w:val="24"/>
        </w:rPr>
        <w:sectPr w:rsidR="00E040FD" w:rsidSect="00E00EDD">
          <w:headerReference w:type="even" r:id="rId282"/>
          <w:headerReference w:type="default" r:id="rId283"/>
          <w:footerReference w:type="even" r:id="rId284"/>
          <w:footerReference w:type="default" r:id="rId285"/>
          <w:headerReference w:type="first" r:id="rId286"/>
          <w:footerReference w:type="first" r:id="rId287"/>
          <w:pgSz w:w="11907" w:h="16839"/>
          <w:pgMar w:top="1134" w:right="1134" w:bottom="1134" w:left="1134" w:header="567" w:footer="567" w:gutter="0"/>
          <w:cols w:space="720"/>
          <w:docGrid w:linePitch="360"/>
        </w:sectPr>
      </w:pPr>
    </w:p>
    <w:p w14:paraId="141E7B95"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 xml:space="preserve">O.2. </w:t>
      </w:r>
      <w:r>
        <w:rPr>
          <w:noProof/>
        </w:rPr>
        <w:tab/>
        <w:t>Delmål, mål, indikatorer och tidsplan för övervakning och genomförande avseende icke återbetalningspliktigt ekonomiskt stöd</w:t>
      </w:r>
    </w:p>
    <w:p w14:paraId="7077B900"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15027" w:type="dxa"/>
        <w:tblInd w:w="-176" w:type="dxa"/>
        <w:tblLayout w:type="fixed"/>
        <w:tblLook w:val="04A0" w:firstRow="1" w:lastRow="0" w:firstColumn="1" w:lastColumn="0" w:noHBand="0" w:noVBand="1"/>
      </w:tblPr>
      <w:tblGrid>
        <w:gridCol w:w="1135"/>
        <w:gridCol w:w="1276"/>
        <w:gridCol w:w="1134"/>
        <w:gridCol w:w="1701"/>
        <w:gridCol w:w="1417"/>
        <w:gridCol w:w="993"/>
        <w:gridCol w:w="992"/>
        <w:gridCol w:w="709"/>
        <w:gridCol w:w="567"/>
        <w:gridCol w:w="708"/>
        <w:gridCol w:w="4395"/>
      </w:tblGrid>
      <w:tr w:rsidR="00E040FD" w14:paraId="7CC6D94E" w14:textId="77777777">
        <w:trPr>
          <w:trHeight w:val="910"/>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C0125D8"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315983A"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E7DAADC" w14:textId="22191D45" w:rsidR="00E040FD" w:rsidRDefault="00740D64">
            <w:pPr>
              <w:pStyle w:val="P68B1DB1-Normal6"/>
              <w:spacing w:after="0" w:line="240" w:lineRule="auto"/>
              <w:jc w:val="center"/>
              <w:rPr>
                <w:rFonts w:eastAsia="Times New Roman" w:cs="Times New Roman"/>
                <w:noProof/>
              </w:rPr>
            </w:pPr>
            <w:r>
              <w:rPr>
                <w:noProof/>
              </w:rPr>
              <w:t>Delmål/mål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6107FD4" w14:textId="77777777" w:rsidR="00E040FD" w:rsidRDefault="00740D64">
            <w:pPr>
              <w:pStyle w:val="P68B1DB1-Normal6"/>
              <w:spacing w:after="0" w:line="240" w:lineRule="auto"/>
              <w:jc w:val="center"/>
              <w:rPr>
                <w:rFonts w:eastAsia="Times New Roman" w:cs="Times New Roman"/>
                <w:noProof/>
              </w:rPr>
            </w:pPr>
            <w:r>
              <w:rPr>
                <w:noProof/>
              </w:rPr>
              <w:t>Namn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204D3E9"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3E428110"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85E208D"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E137D9D"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68581FC3" w14:textId="77777777">
        <w:trPr>
          <w:trHeight w:val="47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38B8D7A"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F832C"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180096" w14:textId="61D5DCDC" w:rsidR="00E040FD" w:rsidRDefault="00E040FD">
            <w:pPr>
              <w:spacing w:after="0" w:line="240" w:lineRule="auto"/>
              <w:jc w:val="center"/>
              <w:rPr>
                <w:rFonts w:ascii="Times New Roman" w:eastAsia="Times New Roman" w:hAnsi="Times New Roman" w:cs="Times New Roman"/>
                <w:b/>
                <w:noProof/>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DB268C" w14:textId="77777777" w:rsidR="00E040FD" w:rsidRDefault="00E040FD">
            <w:pPr>
              <w:spacing w:after="0" w:line="240" w:lineRule="auto"/>
              <w:rPr>
                <w:rFonts w:ascii="Times New Roman" w:eastAsia="Times New Roman" w:hAnsi="Times New Roman" w:cs="Times New Roman"/>
                <w:b/>
                <w:noProof/>
                <w:sz w:val="18"/>
              </w:rPr>
            </w:pPr>
          </w:p>
        </w:tc>
        <w:tc>
          <w:tcPr>
            <w:tcW w:w="1417" w:type="dxa"/>
            <w:vMerge/>
            <w:tcBorders>
              <w:top w:val="single" w:sz="4" w:space="0" w:color="auto"/>
              <w:left w:val="single" w:sz="4" w:space="0" w:color="auto"/>
            </w:tcBorders>
            <w:vAlign w:val="center"/>
            <w:hideMark/>
          </w:tcPr>
          <w:p w14:paraId="2E62C192" w14:textId="77777777" w:rsidR="00E040FD" w:rsidRDefault="00E040FD">
            <w:pPr>
              <w:spacing w:after="0" w:line="240" w:lineRule="auto"/>
              <w:rPr>
                <w:rFonts w:ascii="Times New Roman" w:eastAsia="Times New Roman" w:hAnsi="Times New Roman" w:cs="Times New Roman"/>
                <w:b/>
                <w:noProof/>
                <w:sz w:val="18"/>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DA8C97F"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46BD3D"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7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7D6BE88"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4581423"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096D69" w14:textId="77777777" w:rsidR="00E040FD" w:rsidRDefault="00740D64">
            <w:pPr>
              <w:pStyle w:val="P68B1DB1-Normal6"/>
              <w:spacing w:after="0" w:line="240" w:lineRule="auto"/>
              <w:jc w:val="center"/>
              <w:rPr>
                <w:rFonts w:eastAsia="Times New Roman" w:cs="Times New Roman"/>
                <w:noProof/>
              </w:rPr>
            </w:pPr>
            <w:r>
              <w:rPr>
                <w:noProof/>
              </w:rPr>
              <w:t>Året</w:t>
            </w:r>
          </w:p>
        </w:tc>
        <w:tc>
          <w:tcPr>
            <w:tcW w:w="4395" w:type="dxa"/>
            <w:vMerge/>
            <w:tcBorders>
              <w:top w:val="single" w:sz="4" w:space="0" w:color="auto"/>
              <w:bottom w:val="single" w:sz="4" w:space="0" w:color="auto"/>
              <w:right w:val="single" w:sz="4" w:space="0" w:color="auto"/>
            </w:tcBorders>
            <w:vAlign w:val="center"/>
            <w:hideMark/>
          </w:tcPr>
          <w:p w14:paraId="4EB74829" w14:textId="77777777" w:rsidR="00E040FD" w:rsidRDefault="00E040FD">
            <w:pPr>
              <w:spacing w:after="0" w:line="240" w:lineRule="auto"/>
              <w:rPr>
                <w:rFonts w:ascii="Times New Roman" w:eastAsia="Times New Roman" w:hAnsi="Times New Roman" w:cs="Times New Roman"/>
                <w:b/>
                <w:noProof/>
                <w:sz w:val="18"/>
              </w:rPr>
            </w:pPr>
          </w:p>
        </w:tc>
      </w:tr>
      <w:tr w:rsidR="00E040FD" w14:paraId="50AD3AE2" w14:textId="7777777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7C77800" w14:textId="5F17094A" w:rsidR="00E040FD" w:rsidRDefault="00740D64">
            <w:pPr>
              <w:pStyle w:val="P68B1DB1-Normal7"/>
              <w:spacing w:after="0" w:line="240" w:lineRule="auto"/>
              <w:jc w:val="center"/>
              <w:rPr>
                <w:rFonts w:eastAsia="Times New Roman" w:cs="Calibri"/>
                <w:noProof/>
              </w:rPr>
            </w:pPr>
            <w:r>
              <w:rPr>
                <w:noProof/>
              </w:rPr>
              <w:t>15.1</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A534AA6" w14:textId="77777777" w:rsidR="00E040FD" w:rsidRDefault="00740D64">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863BA6A"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4F354DE" w14:textId="77777777" w:rsidR="00E040FD" w:rsidRDefault="00740D64">
            <w:pPr>
              <w:pStyle w:val="P68B1DB1-Normal8"/>
              <w:spacing w:after="0" w:line="240" w:lineRule="auto"/>
              <w:jc w:val="center"/>
              <w:rPr>
                <w:rFonts w:eastAsia="Times New Roman" w:cs="Calibri"/>
                <w:noProof/>
              </w:rPr>
            </w:pPr>
            <w:r>
              <w:rPr>
                <w:noProof/>
              </w:rPr>
              <w:t>Undertecknande av avtalet om utbyggnad av Lissabons tunnelbanenät</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60B92C0" w14:textId="77777777" w:rsidR="00E040FD" w:rsidRDefault="00740D64">
            <w:pPr>
              <w:pStyle w:val="P68B1DB1-Normal8"/>
              <w:spacing w:after="0" w:line="240" w:lineRule="auto"/>
              <w:jc w:val="center"/>
              <w:rPr>
                <w:rFonts w:eastAsia="Times New Roman" w:cs="Calibri"/>
                <w:noProof/>
              </w:rPr>
            </w:pPr>
            <w:r>
              <w:rPr>
                <w:noProof/>
              </w:rPr>
              <w:t>Undertecknande av avtalet om utbyggnad av Lissabons tunnelbanenät</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509C23E" w14:textId="77777777" w:rsidR="00E040FD" w:rsidRDefault="00E040FD">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26D8CFA" w14:textId="77777777" w:rsidR="00E040FD" w:rsidRDefault="00E040FD">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FC64576" w14:textId="77777777" w:rsidR="00E040FD" w:rsidRDefault="00E040FD">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4639643" w14:textId="3FB61DFB" w:rsidR="00E040FD" w:rsidRDefault="00740D64">
            <w:pPr>
              <w:pStyle w:val="P68B1DB1-Normal8"/>
              <w:spacing w:after="0" w:line="240" w:lineRule="auto"/>
              <w:jc w:val="center"/>
              <w:rPr>
                <w:rFonts w:eastAsia="Times New Roman" w:cs="Calibri"/>
                <w:noProof/>
              </w:rPr>
            </w:pPr>
            <w:r>
              <w:rPr>
                <w:noProof/>
              </w:rPr>
              <w:t>KVARTAL 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B884C5F" w14:textId="48A8EC3E" w:rsidR="00E040FD" w:rsidRDefault="00740D64">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6E6D604" w14:textId="77777777" w:rsidR="00E040FD" w:rsidRDefault="00740D64">
            <w:pPr>
              <w:pStyle w:val="P68B1DB1-Normal8"/>
              <w:spacing w:after="0" w:line="240" w:lineRule="auto"/>
              <w:jc w:val="both"/>
              <w:rPr>
                <w:rFonts w:eastAsia="Times New Roman" w:cs="Calibri"/>
                <w:noProof/>
              </w:rPr>
            </w:pPr>
            <w:r>
              <w:rPr>
                <w:noProof/>
              </w:rPr>
              <w:t xml:space="preserve">Undertecknande av kontraktet om genomförande av projektet mellan de offentliga myndigheterna och den uppdragstagare som valts ut i ett anbudsförfarande. Syftet med avtalet är att bygga ut tunnelbanenätet i Lissabon (Röda linjen till Alcântara). </w:t>
            </w:r>
          </w:p>
        </w:tc>
      </w:tr>
      <w:tr w:rsidR="00E040FD" w14:paraId="40BA7885" w14:textId="77777777">
        <w:trPr>
          <w:trHeight w:val="148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0B8CB5E" w14:textId="0618E02F" w:rsidR="00E040FD" w:rsidRDefault="00740D64">
            <w:pPr>
              <w:pStyle w:val="P68B1DB1-Normal7"/>
              <w:spacing w:after="0" w:line="240" w:lineRule="auto"/>
              <w:jc w:val="center"/>
              <w:rPr>
                <w:rFonts w:eastAsia="Times New Roman" w:cs="Calibri"/>
                <w:noProof/>
              </w:rPr>
            </w:pPr>
            <w:r>
              <w:rPr>
                <w:noProof/>
              </w:rPr>
              <w:t>15.2</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C5E91C3" w14:textId="77777777" w:rsidR="00E040FD" w:rsidRDefault="00740D64">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30AE406"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3DA6929" w14:textId="77777777" w:rsidR="00E040FD" w:rsidRDefault="00740D64">
            <w:pPr>
              <w:pStyle w:val="P68B1DB1-Normal8"/>
              <w:spacing w:after="0" w:line="240" w:lineRule="auto"/>
              <w:jc w:val="center"/>
              <w:rPr>
                <w:rFonts w:eastAsia="Times New Roman" w:cs="Calibri"/>
                <w:noProof/>
              </w:rPr>
            </w:pPr>
            <w:r>
              <w:rPr>
                <w:noProof/>
              </w:rPr>
              <w:t xml:space="preserve">Lägesrapport om utbyggnaden av Lissabons tunnelbanenät </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D011F76" w14:textId="70D73D4F" w:rsidR="00E040FD" w:rsidRDefault="00740D64">
            <w:pPr>
              <w:pStyle w:val="P68B1DB1-Normal8"/>
              <w:spacing w:after="0" w:line="240" w:lineRule="auto"/>
              <w:jc w:val="center"/>
              <w:rPr>
                <w:rFonts w:eastAsia="Times New Roman" w:cs="Calibri"/>
                <w:noProof/>
              </w:rPr>
            </w:pPr>
            <w:r>
              <w:rPr>
                <w:noProof/>
              </w:rPr>
              <w:t>Lägesrapport som visar att arbetet fortskrider enligt tidsplanen.</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F20F358" w14:textId="77777777" w:rsidR="00E040FD" w:rsidRDefault="00E040FD">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E244C04" w14:textId="77777777" w:rsidR="00E040FD" w:rsidRDefault="00E040FD">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184EF25" w14:textId="77777777" w:rsidR="00E040FD" w:rsidRDefault="00E040FD">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3D75967" w14:textId="137BD9FF" w:rsidR="00E040FD" w:rsidRDefault="00740D64">
            <w:pPr>
              <w:pStyle w:val="P68B1DB1-Normal8"/>
              <w:spacing w:after="0" w:line="240" w:lineRule="auto"/>
              <w:jc w:val="center"/>
              <w:rPr>
                <w:rFonts w:eastAsia="Times New Roman" w:cs="Calibri"/>
                <w:noProof/>
              </w:rPr>
            </w:pPr>
            <w:r>
              <w:rPr>
                <w:noProof/>
              </w:rPr>
              <w:t>KVARTAL 1</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78D7ABE" w14:textId="1166CC74" w:rsidR="00E040FD" w:rsidRDefault="00740D64">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9AA98F4" w14:textId="30667D2A" w:rsidR="00E040FD" w:rsidRDefault="00740D64">
            <w:pPr>
              <w:pStyle w:val="P68B1DB1-Normal8"/>
              <w:spacing w:after="0" w:line="240" w:lineRule="auto"/>
              <w:jc w:val="both"/>
              <w:rPr>
                <w:rFonts w:eastAsia="Times New Roman" w:cs="Calibri"/>
                <w:noProof/>
              </w:rPr>
            </w:pPr>
            <w:r>
              <w:rPr>
                <w:noProof/>
              </w:rPr>
              <w:t>Utvecklingen av arbetena med utbyggnaden av Lissabons tunnelbanenät och efterlevnaden av tidsplanen för deras genomförande ska mätas genom regelbundna lägesrapporter under hela arbetets genomförande. Den omfattar en bedömning av arbetets utveckling i enlighet med den planerade tidsplanen, inbegripet identifiering av den verksamhet som redan slutförts, identifiering av den verksamhet som ska utföras och en riskanalys av de föreslagna tidsfristerna för genomförandet, vid behov med en begränsnings- och beredskapsplan för att säkerställa att kontraktet slutförs inom de föreslagna tidsfristerna. Delmålet är uppfyllt om det i lägesrapporten anges att arbetet fortskrider enligt tidsplanen vid tidpunkten för delmålet.</w:t>
            </w:r>
          </w:p>
        </w:tc>
      </w:tr>
      <w:tr w:rsidR="00E040FD" w14:paraId="21365F71"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AE62C7" w14:textId="77777777" w:rsidR="00E040FD" w:rsidRDefault="00740D64">
            <w:pPr>
              <w:pStyle w:val="P68B1DB1-Normal7"/>
              <w:spacing w:after="0" w:line="240" w:lineRule="auto"/>
              <w:jc w:val="center"/>
              <w:rPr>
                <w:rFonts w:eastAsia="Times New Roman" w:cs="Calibri"/>
                <w:noProof/>
              </w:rPr>
            </w:pPr>
            <w:r>
              <w:rPr>
                <w:noProof/>
              </w:rPr>
              <w:t>15.3</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9104BAD" w14:textId="77777777" w:rsidR="00E040FD" w:rsidRDefault="00740D64">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1340E74"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51B537B" w14:textId="77777777" w:rsidR="00E040FD" w:rsidRDefault="00740D64">
            <w:pPr>
              <w:pStyle w:val="P68B1DB1-Normal8"/>
              <w:spacing w:after="0" w:line="240" w:lineRule="auto"/>
              <w:jc w:val="center"/>
              <w:rPr>
                <w:rFonts w:eastAsia="Times New Roman" w:cs="Calibri"/>
                <w:noProof/>
              </w:rPr>
            </w:pPr>
            <w:r>
              <w:rPr>
                <w:noProof/>
              </w:rPr>
              <w:t>Utbyggnad av Lissabons tunnelbanenät slutförd</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45E5945" w14:textId="77777777" w:rsidR="00E040FD" w:rsidRDefault="00E040FD">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2937FC3" w14:textId="77777777" w:rsidR="00E040FD" w:rsidRDefault="00740D64">
            <w:pPr>
              <w:pStyle w:val="P68B1DB1-Normal8"/>
              <w:spacing w:after="0" w:line="240" w:lineRule="auto"/>
              <w:jc w:val="center"/>
              <w:rPr>
                <w:rFonts w:eastAsia="Times New Roman" w:cs="Calibri"/>
                <w:noProof/>
              </w:rPr>
            </w:pPr>
            <w:r>
              <w:rPr>
                <w:noProof/>
              </w:rPr>
              <w:t>Km</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99318E"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0F0CFF" w14:textId="77777777" w:rsidR="00E040FD" w:rsidRDefault="00740D64">
            <w:pPr>
              <w:pStyle w:val="P68B1DB1-Normal8"/>
              <w:spacing w:after="0" w:line="240" w:lineRule="auto"/>
              <w:jc w:val="center"/>
              <w:rPr>
                <w:rFonts w:eastAsia="Times New Roman" w:cs="Calibri"/>
                <w:noProof/>
              </w:rPr>
            </w:pPr>
            <w:r>
              <w:rPr>
                <w:noProof/>
              </w:rPr>
              <w:t>3,7</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3726894" w14:textId="2FBE3630" w:rsidR="00E040FD" w:rsidRDefault="00740D64">
            <w:pPr>
              <w:pStyle w:val="P68B1DB1-Normal8"/>
              <w:spacing w:after="0" w:line="240" w:lineRule="auto"/>
              <w:jc w:val="center"/>
              <w:rPr>
                <w:rFonts w:eastAsia="Times New Roman" w:cs="Calibri"/>
                <w:noProof/>
              </w:rPr>
            </w:pPr>
            <w:r>
              <w:rPr>
                <w:noProof/>
              </w:rPr>
              <w:t>KVARTAL 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722DCB8" w14:textId="2F31A42F" w:rsidR="00E040FD" w:rsidRDefault="00740D64">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F7A4859" w14:textId="77777777" w:rsidR="00E040FD" w:rsidRDefault="00740D64">
            <w:pPr>
              <w:pStyle w:val="P68B1DB1-Normal8"/>
              <w:spacing w:after="0" w:line="240" w:lineRule="auto"/>
              <w:jc w:val="both"/>
              <w:rPr>
                <w:rFonts w:eastAsia="Times New Roman" w:cs="Calibri"/>
                <w:noProof/>
              </w:rPr>
            </w:pPr>
            <w:r>
              <w:rPr>
                <w:noProof/>
              </w:rPr>
              <w:t>Längden på de byggnadsarbeten som slutförts för utbyggnaden av Lissabons tunnelbanenät (3,3 km i tunnel och 0,4 km i viadukt) genom att utvidga den röda linjen till Alcântara. Den utvidgade tunnelbanelinjen är redo för omedelbar drift av de planerade transporttjänsterna.</w:t>
            </w:r>
          </w:p>
        </w:tc>
      </w:tr>
      <w:tr w:rsidR="00E040FD" w14:paraId="0A9DA7D4" w14:textId="7777777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DF8351D" w14:textId="77777777" w:rsidR="00E040FD" w:rsidRDefault="00740D64">
            <w:pPr>
              <w:pStyle w:val="P68B1DB1-Normal7"/>
              <w:spacing w:after="0" w:line="240" w:lineRule="auto"/>
              <w:jc w:val="center"/>
              <w:rPr>
                <w:rFonts w:eastAsia="Times New Roman" w:cs="Calibri"/>
                <w:noProof/>
              </w:rPr>
            </w:pPr>
            <w:r>
              <w:rPr>
                <w:noProof/>
              </w:rPr>
              <w:t>15.4</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61A62D0" w14:textId="77777777" w:rsidR="00E040FD" w:rsidRDefault="00740D64">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D4DB820"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99D997C" w14:textId="77777777" w:rsidR="00E040FD" w:rsidRDefault="00740D64">
            <w:pPr>
              <w:pStyle w:val="P68B1DB1-Normal8"/>
              <w:spacing w:after="0" w:line="240" w:lineRule="auto"/>
              <w:jc w:val="center"/>
              <w:rPr>
                <w:rFonts w:eastAsia="Times New Roman" w:cs="Calibri"/>
                <w:noProof/>
              </w:rPr>
            </w:pPr>
            <w:r>
              <w:rPr>
                <w:noProof/>
              </w:rPr>
              <w:t>Undertecknande av avtalet om utbyggnad av Portotunnelbanenätet</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161F9D" w14:textId="77777777" w:rsidR="00E040FD" w:rsidRDefault="00740D64">
            <w:pPr>
              <w:pStyle w:val="P68B1DB1-Normal8"/>
              <w:spacing w:after="0" w:line="240" w:lineRule="auto"/>
              <w:jc w:val="center"/>
              <w:rPr>
                <w:rFonts w:eastAsia="Times New Roman" w:cs="Calibri"/>
                <w:noProof/>
              </w:rPr>
            </w:pPr>
            <w:r>
              <w:rPr>
                <w:noProof/>
              </w:rPr>
              <w:t>Undertecknande av avtalet om utbyggnad av Portotunnelbanenätet</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C77D4A" w14:textId="77777777" w:rsidR="00E040FD" w:rsidRDefault="00740D64">
            <w:pPr>
              <w:pStyle w:val="P68B1DB1-Normal8"/>
              <w:spacing w:after="0" w:line="240" w:lineRule="auto"/>
              <w:jc w:val="center"/>
              <w:rPr>
                <w:rFonts w:eastAsia="Times New Roman" w:cs="Calibri"/>
                <w:noProof/>
              </w:rPr>
            </w:pPr>
            <w:r>
              <w:rPr>
                <w:noProof/>
              </w:rPr>
              <w:t>—</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D1E3CA6" w14:textId="77777777" w:rsidR="00E040FD" w:rsidRDefault="00E040FD">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C09920F" w14:textId="77777777" w:rsidR="00E040FD" w:rsidRDefault="00E040FD">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6352D8E" w14:textId="1E746343" w:rsidR="00E040FD" w:rsidRDefault="00740D64">
            <w:pPr>
              <w:pStyle w:val="P68B1DB1-Normal8"/>
              <w:spacing w:after="0" w:line="240" w:lineRule="auto"/>
              <w:jc w:val="center"/>
              <w:rPr>
                <w:rFonts w:eastAsia="Times New Roman" w:cs="Calibri"/>
                <w:noProof/>
              </w:rPr>
            </w:pPr>
            <w:r>
              <w:rPr>
                <w:noProof/>
              </w:rPr>
              <w:t>KVARTAL 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216DD7" w14:textId="77777777" w:rsidR="00E040FD" w:rsidRDefault="00740D64">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A7F8EFE" w14:textId="77777777" w:rsidR="00E040FD" w:rsidRDefault="00740D64">
            <w:pPr>
              <w:pStyle w:val="P68B1DB1-Normal8"/>
              <w:spacing w:after="0" w:line="240" w:lineRule="auto"/>
              <w:jc w:val="both"/>
              <w:rPr>
                <w:rFonts w:eastAsia="Times New Roman" w:cs="Calibri"/>
                <w:noProof/>
              </w:rPr>
            </w:pPr>
            <w:r>
              <w:rPr>
                <w:noProof/>
              </w:rPr>
              <w:t xml:space="preserve">Undertecknande av kontraktet om genomförande av projektet mellan de offentliga myndigheterna och den uppdragstagare som valts ut i ett anbudsförfarande. Syftet med avtalet är utbyggnad av Portotunnelbanenätet (Casa da Música-Santo Ovídio). </w:t>
            </w:r>
          </w:p>
        </w:tc>
      </w:tr>
      <w:tr w:rsidR="00E040FD" w14:paraId="46A67267" w14:textId="77777777">
        <w:trPr>
          <w:trHeight w:val="148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D3C3147" w14:textId="45F98DA8" w:rsidR="00E040FD" w:rsidRDefault="00740D64">
            <w:pPr>
              <w:pStyle w:val="P68B1DB1-Normal7"/>
              <w:spacing w:after="0" w:line="240" w:lineRule="auto"/>
              <w:jc w:val="center"/>
              <w:rPr>
                <w:rFonts w:eastAsia="Times New Roman" w:cs="Calibri"/>
                <w:noProof/>
              </w:rPr>
            </w:pPr>
            <w:r>
              <w:rPr>
                <w:noProof/>
              </w:rPr>
              <w:t>15.5</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93B52A6" w14:textId="77777777" w:rsidR="00E040FD" w:rsidRDefault="00740D64">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3DE8CB0"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BC8025F" w14:textId="77777777" w:rsidR="00E040FD" w:rsidRDefault="00740D64">
            <w:pPr>
              <w:pStyle w:val="P68B1DB1-Normal8"/>
              <w:spacing w:after="0" w:line="240" w:lineRule="auto"/>
              <w:jc w:val="center"/>
              <w:rPr>
                <w:rFonts w:eastAsia="Times New Roman" w:cs="Calibri"/>
                <w:noProof/>
              </w:rPr>
            </w:pPr>
            <w:r>
              <w:rPr>
                <w:noProof/>
              </w:rPr>
              <w:t>Lägesrapport om utbyggnaden av Portotunnelbanenätet</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0FC676" w14:textId="56A25A06" w:rsidR="00E040FD" w:rsidRDefault="00740D64">
            <w:pPr>
              <w:pStyle w:val="P68B1DB1-Normal8"/>
              <w:spacing w:after="0" w:line="240" w:lineRule="auto"/>
              <w:jc w:val="center"/>
              <w:rPr>
                <w:rFonts w:eastAsia="Times New Roman" w:cs="Calibri"/>
                <w:noProof/>
              </w:rPr>
            </w:pPr>
            <w:r>
              <w:rPr>
                <w:noProof/>
              </w:rPr>
              <w:t>Lägesrapport som visar att arbetet fortskrider enligt tidsplanen.</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3D6F6F" w14:textId="77777777" w:rsidR="00E040FD" w:rsidRDefault="00E040FD">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2E8FBF8" w14:textId="77777777" w:rsidR="00E040FD" w:rsidRDefault="00E040FD">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F1742AA" w14:textId="77777777" w:rsidR="00E040FD" w:rsidRDefault="00E040FD">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A657169" w14:textId="7210C00D" w:rsidR="00E040FD" w:rsidRDefault="00740D64">
            <w:pPr>
              <w:pStyle w:val="P68B1DB1-Normal8"/>
              <w:spacing w:after="0" w:line="240" w:lineRule="auto"/>
              <w:jc w:val="center"/>
              <w:rPr>
                <w:rFonts w:eastAsia="Times New Roman" w:cs="Calibri"/>
                <w:noProof/>
              </w:rPr>
            </w:pPr>
            <w:r>
              <w:rPr>
                <w:noProof/>
              </w:rPr>
              <w:t>KVARTAL 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0BCBA83" w14:textId="77777777" w:rsidR="00E040FD" w:rsidRDefault="00740D64">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4C069C" w14:textId="2D1BCCAB" w:rsidR="00E040FD" w:rsidRDefault="00740D64">
            <w:pPr>
              <w:pStyle w:val="P68B1DB1-Normal8"/>
              <w:spacing w:after="0" w:line="240" w:lineRule="auto"/>
              <w:jc w:val="both"/>
              <w:rPr>
                <w:rFonts w:eastAsia="Times New Roman" w:cs="Calibri"/>
                <w:noProof/>
              </w:rPr>
            </w:pPr>
            <w:r>
              <w:rPr>
                <w:noProof/>
              </w:rPr>
              <w:t>Utvecklingen av arbetena med utbyggnaden av Portotunnelbanenätet och efterlevnaden av tidsplanen för deras genomförande ska mätas genom regelbundna lägesrapporter under hela genomförandet av arbetena. Den omfattar en bedömning av arbetets utveckling i enlighet med den planerade tidsplanen, inbegripet identifiering av den verksamhet som redan slutförts, identifiering av den verksamhet som ska utföras och en riskanalys av de föreslagna tidsfristerna för genomförandet, vid behov med en begränsnings- och beredskapsplan för att säkerställa att kontraktet slutförs inom de föreslagna tidsfristerna. Delmålet är uppfyllt om det i lägesrapporten anges att arbetet fortskrider enligt tidsplanen vid tidpunkten för delmålet.</w:t>
            </w:r>
          </w:p>
        </w:tc>
      </w:tr>
      <w:tr w:rsidR="00E040FD" w14:paraId="69619D3F"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A7FAA43" w14:textId="77777777" w:rsidR="00E040FD" w:rsidRDefault="00740D64">
            <w:pPr>
              <w:pStyle w:val="P68B1DB1-Normal7"/>
              <w:spacing w:after="0" w:line="240" w:lineRule="auto"/>
              <w:jc w:val="center"/>
              <w:rPr>
                <w:rFonts w:eastAsia="Times New Roman" w:cs="Calibri"/>
                <w:noProof/>
              </w:rPr>
            </w:pPr>
            <w:r>
              <w:rPr>
                <w:noProof/>
              </w:rPr>
              <w:t>15.6</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B3CC2C" w14:textId="77777777" w:rsidR="00E040FD" w:rsidRDefault="00740D64">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2AC62F7"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A5D734C" w14:textId="77777777" w:rsidR="00E040FD" w:rsidRDefault="00740D64">
            <w:pPr>
              <w:pStyle w:val="P68B1DB1-Normal8"/>
              <w:spacing w:after="0" w:line="240" w:lineRule="auto"/>
              <w:jc w:val="center"/>
              <w:rPr>
                <w:rFonts w:eastAsia="Times New Roman" w:cs="Calibri"/>
                <w:noProof/>
              </w:rPr>
            </w:pPr>
            <w:r>
              <w:rPr>
                <w:noProof/>
              </w:rPr>
              <w:t>Utbyggnad av Portos tunnelbanenät slutförd</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E1D1514" w14:textId="77777777" w:rsidR="00E040FD" w:rsidRDefault="00E040FD">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CBEA4BD" w14:textId="77777777" w:rsidR="00E040FD" w:rsidRDefault="00740D64">
            <w:pPr>
              <w:pStyle w:val="P68B1DB1-Normal8"/>
              <w:spacing w:after="0" w:line="240" w:lineRule="auto"/>
              <w:jc w:val="center"/>
              <w:rPr>
                <w:rFonts w:eastAsia="Times New Roman" w:cs="Calibri"/>
                <w:noProof/>
              </w:rPr>
            </w:pPr>
            <w:r>
              <w:rPr>
                <w:noProof/>
              </w:rPr>
              <w:t>Km</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8C2C5E4"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32EB6DC" w14:textId="77777777" w:rsidR="00E040FD" w:rsidRDefault="00740D64">
            <w:pPr>
              <w:pStyle w:val="P68B1DB1-Normal8"/>
              <w:spacing w:after="0" w:line="240" w:lineRule="auto"/>
              <w:jc w:val="center"/>
              <w:rPr>
                <w:rFonts w:eastAsia="Times New Roman" w:cs="Calibri"/>
                <w:noProof/>
              </w:rPr>
            </w:pPr>
            <w:r>
              <w:rPr>
                <w:noProof/>
              </w:rPr>
              <w:t>6,7</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229F9A8" w14:textId="07A4B434" w:rsidR="00E040FD" w:rsidRDefault="00740D64">
            <w:pPr>
              <w:pStyle w:val="P68B1DB1-Normal8"/>
              <w:spacing w:after="0" w:line="240" w:lineRule="auto"/>
              <w:jc w:val="center"/>
              <w:rPr>
                <w:rFonts w:eastAsia="Times New Roman" w:cs="Calibri"/>
                <w:noProof/>
              </w:rPr>
            </w:pPr>
            <w:r>
              <w:rPr>
                <w:noProof/>
              </w:rPr>
              <w:t>KVARTAL 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F5B4C70" w14:textId="54A1DD92" w:rsidR="00E040FD" w:rsidRDefault="00740D64">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C905D8D" w14:textId="77777777" w:rsidR="00E040FD" w:rsidRDefault="00740D64">
            <w:pPr>
              <w:pStyle w:val="P68B1DB1-Normal8"/>
              <w:spacing w:after="0" w:line="240" w:lineRule="auto"/>
              <w:jc w:val="both"/>
              <w:rPr>
                <w:rFonts w:eastAsia="Times New Roman" w:cs="Calibri"/>
                <w:noProof/>
              </w:rPr>
            </w:pPr>
            <w:r>
              <w:rPr>
                <w:noProof/>
              </w:rPr>
              <w:t xml:space="preserve">Längden på de byggnadsarbeten som slutförts för utbyggnaden av Portotunnelbanenätet genom att bygga en ny linje mellan Casa da Música (Porto) och Santo Ovídio (Vila Nova de Gaia). Den nya tunnelbanelinjen är redo för omedelbar drift av de planerade transporttjänsterna. </w:t>
            </w:r>
          </w:p>
        </w:tc>
      </w:tr>
      <w:tr w:rsidR="00E040FD" w14:paraId="79B5E05D" w14:textId="77777777">
        <w:trPr>
          <w:trHeight w:val="2398"/>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92A7FBF" w14:textId="77777777" w:rsidR="00E040FD" w:rsidRDefault="00740D64">
            <w:pPr>
              <w:pStyle w:val="P68B1DB1-Normal7"/>
              <w:spacing w:after="0" w:line="240" w:lineRule="auto"/>
              <w:jc w:val="center"/>
              <w:rPr>
                <w:rFonts w:eastAsia="Times New Roman" w:cs="Calibri"/>
                <w:noProof/>
              </w:rPr>
            </w:pPr>
            <w:r>
              <w:rPr>
                <w:noProof/>
              </w:rPr>
              <w:t>15.10</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7379D6" w14:textId="77777777" w:rsidR="00E040FD" w:rsidRDefault="00740D64">
            <w:pPr>
              <w:pStyle w:val="P68B1DB1-Normal8"/>
              <w:spacing w:after="0" w:line="240" w:lineRule="auto"/>
              <w:jc w:val="center"/>
              <w:rPr>
                <w:rFonts w:eastAsia="Times New Roman" w:cs="Calibri"/>
                <w:noProof/>
              </w:rPr>
            </w:pPr>
            <w:r>
              <w:rPr>
                <w:noProof/>
              </w:rPr>
              <w:t>TC-C15-I04</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15CA19"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F72C9A" w14:textId="77777777" w:rsidR="00E040FD" w:rsidRDefault="00740D64">
            <w:pPr>
              <w:pStyle w:val="P68B1DB1-Normal8"/>
              <w:spacing w:after="0" w:line="240" w:lineRule="auto"/>
              <w:jc w:val="center"/>
              <w:rPr>
                <w:rFonts w:eastAsia="Times New Roman" w:cs="Calibri"/>
                <w:noProof/>
              </w:rPr>
            </w:pPr>
            <w:r>
              <w:rPr>
                <w:noProof/>
              </w:rPr>
              <w:t>Undertecknande av avtalet om uppförande av en busslinje för snabb transitering mellan Praça do Império och Praça Albuquerque Mouzinho i Porto</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276CBD1" w14:textId="77777777" w:rsidR="00E040FD" w:rsidRDefault="00740D64">
            <w:pPr>
              <w:pStyle w:val="P68B1DB1-Normal8"/>
              <w:spacing w:after="0" w:line="240" w:lineRule="auto"/>
              <w:jc w:val="center"/>
              <w:rPr>
                <w:rFonts w:eastAsia="Times New Roman" w:cs="Calibri"/>
                <w:noProof/>
              </w:rPr>
            </w:pPr>
            <w:r>
              <w:rPr>
                <w:noProof/>
              </w:rPr>
              <w:t>Undertecknande av avtalet om uppförande av en snabbbusslinje mellan Praça do Império och Praça Albuquerque Mouzinho i Porto</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275C96D" w14:textId="77777777" w:rsidR="00E040FD" w:rsidRDefault="00E040FD">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BBD236D" w14:textId="77777777" w:rsidR="00E040FD" w:rsidRDefault="00E040FD">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204CDB6" w14:textId="77777777" w:rsidR="00E040FD" w:rsidRDefault="00E040FD">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D549309" w14:textId="77777777" w:rsidR="00E040FD" w:rsidRDefault="00740D64">
            <w:pPr>
              <w:pStyle w:val="P68B1DB1-Normal8"/>
              <w:spacing w:after="0" w:line="240" w:lineRule="auto"/>
              <w:jc w:val="center"/>
              <w:rPr>
                <w:rFonts w:eastAsia="Times New Roman" w:cs="Calibri"/>
                <w:noProof/>
              </w:rPr>
            </w:pPr>
            <w:r>
              <w:rPr>
                <w:noProof/>
              </w:rPr>
              <w:t>KVARTAL 1</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099AAE5" w14:textId="77777777" w:rsidR="00E040FD" w:rsidRDefault="00740D64">
            <w:pPr>
              <w:pStyle w:val="P68B1DB1-Normal8"/>
              <w:spacing w:after="0" w:line="240" w:lineRule="auto"/>
              <w:jc w:val="center"/>
              <w:rPr>
                <w:rFonts w:eastAsia="Times New Roman" w:cs="Calibri"/>
                <w:noProof/>
              </w:rPr>
            </w:pPr>
            <w:r>
              <w:rPr>
                <w:noProof/>
              </w:rPr>
              <w:t>2022</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23DD8DF" w14:textId="77777777" w:rsidR="00E040FD" w:rsidRDefault="00740D64">
            <w:pPr>
              <w:pStyle w:val="P68B1DB1-Normal8"/>
              <w:spacing w:after="0" w:line="240" w:lineRule="auto"/>
              <w:jc w:val="both"/>
              <w:rPr>
                <w:rFonts w:eastAsia="Times New Roman" w:cs="Calibri"/>
                <w:noProof/>
              </w:rPr>
            </w:pPr>
            <w:r>
              <w:rPr>
                <w:noProof/>
              </w:rPr>
              <w:t xml:space="preserve">Undertecknande av kontraktet om genomförande av projektet mellan de offentliga myndigheterna och den uppdragstagare som valts ut i ett anbudsförfarande. Syftet med avtalet är att bygga en busslinje för snabb transitering som förbinder Praça do Império med Praça Albuquerque Mouzinho i Porto. </w:t>
            </w:r>
          </w:p>
        </w:tc>
      </w:tr>
      <w:tr w:rsidR="00E040FD" w14:paraId="7ADF5EB7"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16D4B91" w14:textId="77777777" w:rsidR="00E040FD" w:rsidRDefault="00740D64">
            <w:pPr>
              <w:pStyle w:val="P68B1DB1-Normal7"/>
              <w:spacing w:after="0" w:line="240" w:lineRule="auto"/>
              <w:jc w:val="center"/>
              <w:rPr>
                <w:rFonts w:eastAsia="Times New Roman" w:cs="Calibri"/>
                <w:noProof/>
              </w:rPr>
            </w:pPr>
            <w:r>
              <w:rPr>
                <w:noProof/>
              </w:rPr>
              <w:t>15.11</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8F8D636" w14:textId="77777777" w:rsidR="00E040FD" w:rsidRDefault="00740D64">
            <w:pPr>
              <w:pStyle w:val="P68B1DB1-Normal8"/>
              <w:spacing w:after="0" w:line="240" w:lineRule="auto"/>
              <w:jc w:val="center"/>
              <w:rPr>
                <w:rFonts w:eastAsia="Times New Roman" w:cs="Calibri"/>
                <w:noProof/>
              </w:rPr>
            </w:pPr>
            <w:r>
              <w:rPr>
                <w:noProof/>
              </w:rPr>
              <w:t>TC-C15-I04</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D3EBBF9"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ABDF794" w14:textId="77777777" w:rsidR="00E040FD" w:rsidRDefault="00740D64">
            <w:pPr>
              <w:pStyle w:val="P68B1DB1-Normal8"/>
              <w:spacing w:after="0" w:line="240" w:lineRule="auto"/>
              <w:jc w:val="center"/>
              <w:rPr>
                <w:rFonts w:eastAsia="Times New Roman" w:cs="Calibri"/>
                <w:noProof/>
              </w:rPr>
            </w:pPr>
            <w:r>
              <w:rPr>
                <w:noProof/>
              </w:rPr>
              <w:t>Uppförande av en snabb transitlinje mellan Praça do Império och Praça Albuquerque Mouzinho i Porto slutförd</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4CFC47A" w14:textId="77777777" w:rsidR="00E040FD" w:rsidRDefault="00E040FD">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1B162BF" w14:textId="77777777" w:rsidR="00E040FD" w:rsidRDefault="00740D64">
            <w:pPr>
              <w:pStyle w:val="P68B1DB1-Normal8"/>
              <w:spacing w:after="0" w:line="240" w:lineRule="auto"/>
              <w:jc w:val="center"/>
              <w:rPr>
                <w:rFonts w:eastAsia="Times New Roman" w:cs="Calibri"/>
                <w:noProof/>
              </w:rPr>
            </w:pPr>
            <w:r>
              <w:rPr>
                <w:noProof/>
              </w:rPr>
              <w:t>Km</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D261ED7"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A79F5D8" w14:textId="77777777" w:rsidR="00E040FD" w:rsidRDefault="00740D64">
            <w:pPr>
              <w:pStyle w:val="P68B1DB1-Normal8"/>
              <w:spacing w:after="0" w:line="240" w:lineRule="auto"/>
              <w:jc w:val="center"/>
              <w:rPr>
                <w:rFonts w:eastAsia="Times New Roman" w:cs="Calibri"/>
                <w:noProof/>
              </w:rPr>
            </w:pPr>
            <w:r>
              <w:rPr>
                <w:noProof/>
              </w:rPr>
              <w:t>3,8</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D95435" w14:textId="7708DDD6" w:rsidR="00E040FD" w:rsidRDefault="00740D64">
            <w:pPr>
              <w:pStyle w:val="P68B1DB1-Normal8"/>
              <w:spacing w:after="0" w:line="240" w:lineRule="auto"/>
              <w:jc w:val="center"/>
              <w:rPr>
                <w:rFonts w:eastAsia="Times New Roman" w:cs="Calibri"/>
                <w:noProof/>
              </w:rPr>
            </w:pPr>
            <w:r>
              <w:rPr>
                <w:noProof/>
              </w:rPr>
              <w:t>KVARTAL 3</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804F18" w14:textId="2A33460B" w:rsidR="00E040FD" w:rsidRDefault="00740D64">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C671D64" w14:textId="77777777" w:rsidR="00E040FD" w:rsidRDefault="00740D64">
            <w:pPr>
              <w:pStyle w:val="P68B1DB1-Normal8"/>
              <w:spacing w:after="0" w:line="240" w:lineRule="auto"/>
              <w:jc w:val="both"/>
              <w:rPr>
                <w:rFonts w:eastAsia="Times New Roman" w:cs="Calibri"/>
                <w:noProof/>
              </w:rPr>
            </w:pPr>
            <w:r>
              <w:rPr>
                <w:noProof/>
              </w:rPr>
              <w:t xml:space="preserve">Längden på byggnadsarbetena för den snabbbusslinje som förbinder Praça do Império med Praça Albuquerque Mouzinho i Porto. Den nya snabbbusslinjen är redo för omedelbar drift av de planerade transporttjänsterna. </w:t>
            </w:r>
          </w:p>
        </w:tc>
      </w:tr>
      <w:tr w:rsidR="00E040FD" w14:paraId="167AB6D9" w14:textId="77777777">
        <w:trPr>
          <w:trHeight w:val="1871"/>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6418711" w14:textId="77777777" w:rsidR="00E040FD" w:rsidRDefault="00740D64">
            <w:pPr>
              <w:pStyle w:val="P68B1DB1-Normal7"/>
              <w:spacing w:after="0" w:line="240" w:lineRule="auto"/>
              <w:jc w:val="center"/>
              <w:rPr>
                <w:rFonts w:eastAsia="Times New Roman" w:cs="Calibri"/>
                <w:noProof/>
              </w:rPr>
            </w:pPr>
            <w:r>
              <w:rPr>
                <w:noProof/>
              </w:rPr>
              <w:t>15.12</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AE7894A" w14:textId="77777777" w:rsidR="00E040FD" w:rsidRDefault="00740D64">
            <w:pPr>
              <w:pStyle w:val="P68B1DB1-Normal8"/>
              <w:spacing w:after="0" w:line="240" w:lineRule="auto"/>
              <w:jc w:val="center"/>
              <w:rPr>
                <w:rFonts w:eastAsia="Times New Roman" w:cs="Calibri"/>
                <w:noProof/>
              </w:rPr>
            </w:pPr>
            <w:r>
              <w:rPr>
                <w:noProof/>
              </w:rPr>
              <w:t>TC-C15-I05</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F8ACE3A"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B1641BE" w14:textId="77777777" w:rsidR="00E040FD" w:rsidRDefault="00740D64">
            <w:pPr>
              <w:pStyle w:val="P68B1DB1-Normal8"/>
              <w:spacing w:after="0" w:line="240" w:lineRule="auto"/>
              <w:jc w:val="center"/>
              <w:rPr>
                <w:rFonts w:eastAsia="Times New Roman" w:cs="Calibri"/>
                <w:noProof/>
              </w:rPr>
            </w:pPr>
            <w:r>
              <w:rPr>
                <w:noProof/>
              </w:rPr>
              <w:t>Avtal undertecknat för inköp av rena bussar inom ramen för programmet för utfasning av fossila bränslen inom kollektivtrafiken</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FE4D21F" w14:textId="77777777" w:rsidR="00E040FD" w:rsidRDefault="00740D64">
            <w:pPr>
              <w:pStyle w:val="P68B1DB1-Normal8"/>
              <w:spacing w:after="0" w:line="240" w:lineRule="auto"/>
              <w:jc w:val="center"/>
              <w:rPr>
                <w:rFonts w:eastAsia="Times New Roman" w:cs="Calibri"/>
                <w:noProof/>
              </w:rPr>
            </w:pPr>
            <w:r>
              <w:rPr>
                <w:noProof/>
              </w:rPr>
              <w:t>Avtal undertecknat för inköp av 145 rena bussar inom ramen för programmet för utfasning av fossila bränslen inom kollektivtrafiken</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85D964C" w14:textId="77777777" w:rsidR="00E040FD" w:rsidRDefault="00E040FD">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95BD3CE" w14:textId="77777777" w:rsidR="00E040FD" w:rsidRDefault="00E040FD">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2D9326A" w14:textId="77777777" w:rsidR="00E040FD" w:rsidRDefault="00E040FD">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1700FA3"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3148EE6" w14:textId="77777777" w:rsidR="00E040FD" w:rsidRDefault="00740D64">
            <w:pPr>
              <w:pStyle w:val="P68B1DB1-Normal8"/>
              <w:spacing w:after="0" w:line="240" w:lineRule="auto"/>
              <w:jc w:val="center"/>
              <w:rPr>
                <w:rFonts w:eastAsia="Times New Roman" w:cs="Calibri"/>
                <w:noProof/>
              </w:rPr>
            </w:pPr>
            <w:r>
              <w:rPr>
                <w:noProof/>
              </w:rPr>
              <w:t>2022</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16BAC741" w14:textId="0C12CBAC" w:rsidR="00E040FD" w:rsidRDefault="00740D64">
            <w:pPr>
              <w:pStyle w:val="P68B1DB1-Normal8"/>
              <w:spacing w:after="0" w:line="240" w:lineRule="auto"/>
              <w:jc w:val="both"/>
              <w:rPr>
                <w:rFonts w:eastAsia="Times New Roman" w:cs="Calibri"/>
                <w:noProof/>
              </w:rPr>
            </w:pPr>
            <w:r>
              <w:rPr>
                <w:noProof/>
              </w:rPr>
              <w:t>Undertecknande av kontrakt mellan stödmottagarna och ledningsorganet, baserat på ett konkurrensutsatt anbudsförfarande, med ett åtagande om att köpa de nya utsläppsfria bussarna (el- eller vätgasbussar).</w:t>
            </w:r>
          </w:p>
        </w:tc>
      </w:tr>
      <w:tr w:rsidR="00E040FD" w14:paraId="48039201" w14:textId="77777777">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CC55914" w14:textId="77777777" w:rsidR="00E040FD" w:rsidRDefault="00740D64">
            <w:pPr>
              <w:pStyle w:val="P68B1DB1-Normal7"/>
              <w:spacing w:after="0" w:line="240" w:lineRule="auto"/>
              <w:jc w:val="center"/>
              <w:rPr>
                <w:rFonts w:eastAsia="Times New Roman" w:cs="Calibri"/>
                <w:noProof/>
              </w:rPr>
            </w:pPr>
            <w:r>
              <w:rPr>
                <w:noProof/>
              </w:rPr>
              <w:t>15.13</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9F74196" w14:textId="77777777" w:rsidR="00E040FD" w:rsidRDefault="00740D64">
            <w:pPr>
              <w:pStyle w:val="P68B1DB1-Normal8"/>
              <w:spacing w:after="0" w:line="240" w:lineRule="auto"/>
              <w:jc w:val="center"/>
              <w:rPr>
                <w:rFonts w:eastAsia="Times New Roman" w:cs="Calibri"/>
                <w:noProof/>
              </w:rPr>
            </w:pPr>
            <w:r>
              <w:rPr>
                <w:noProof/>
              </w:rPr>
              <w:t>TC-C15-I05</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D9BF1EE"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29D1A84" w14:textId="77777777" w:rsidR="00E040FD" w:rsidRDefault="00740D64">
            <w:pPr>
              <w:pStyle w:val="P68B1DB1-Normal8"/>
              <w:spacing w:after="0" w:line="240" w:lineRule="auto"/>
              <w:jc w:val="center"/>
              <w:rPr>
                <w:rFonts w:eastAsia="Times New Roman" w:cs="Calibri"/>
                <w:noProof/>
              </w:rPr>
            </w:pPr>
            <w:r>
              <w:rPr>
                <w:noProof/>
              </w:rPr>
              <w:t>Inköp av nya utsläppsfria bussar (el- eller vätgasbussar) som används för kollektivtrafik</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00F18BD" w14:textId="77777777" w:rsidR="00E040FD" w:rsidRDefault="00E040FD">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E34DBE1"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CE4430B"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BECE405" w14:textId="77777777" w:rsidR="00E040FD" w:rsidRDefault="00740D64">
            <w:pPr>
              <w:pStyle w:val="P68B1DB1-Normal8"/>
              <w:spacing w:after="0" w:line="240" w:lineRule="auto"/>
              <w:jc w:val="center"/>
              <w:rPr>
                <w:rFonts w:eastAsia="Times New Roman" w:cs="Calibri"/>
                <w:noProof/>
              </w:rPr>
            </w:pPr>
            <w:r>
              <w:rPr>
                <w:noProof/>
              </w:rPr>
              <w:t>145</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9F48AA6"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57805CE" w14:textId="77777777" w:rsidR="00E040FD" w:rsidRDefault="00740D64">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8838148" w14:textId="77777777" w:rsidR="00E040FD" w:rsidRDefault="00740D64">
            <w:pPr>
              <w:pStyle w:val="P68B1DB1-Normal9"/>
              <w:spacing w:after="0" w:line="240" w:lineRule="auto"/>
              <w:jc w:val="both"/>
              <w:rPr>
                <w:rFonts w:eastAsia="Times New Roman" w:cs="Calibri"/>
                <w:noProof/>
                <w:sz w:val="16"/>
              </w:rPr>
            </w:pPr>
            <w:r>
              <w:rPr>
                <w:noProof/>
                <w:sz w:val="16"/>
              </w:rPr>
              <w:t>Antal nya utsläppsfria bussar (el- eller vätgasbussar) som köps in och är i driftför tillhandahållande av kollektivtrafik i storstadsområdena Lissabon och Porto.</w:t>
            </w:r>
          </w:p>
        </w:tc>
      </w:tr>
      <w:tr w:rsidR="00E040FD" w14:paraId="14807BD7"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050AF4" w14:textId="77777777" w:rsidR="00E040FD" w:rsidRDefault="00740D64">
            <w:pPr>
              <w:pStyle w:val="P68B1DB1-Normal7"/>
              <w:spacing w:after="0" w:line="240" w:lineRule="auto"/>
              <w:jc w:val="center"/>
              <w:rPr>
                <w:rFonts w:eastAsia="Times New Roman" w:cs="Calibri"/>
                <w:noProof/>
              </w:rPr>
            </w:pPr>
            <w:r>
              <w:rPr>
                <w:noProof/>
              </w:rPr>
              <w:t>15.14</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881FD44" w14:textId="77777777" w:rsidR="00E040FD" w:rsidRDefault="00740D64">
            <w:pPr>
              <w:pStyle w:val="P68B1DB1-Normal8"/>
              <w:spacing w:after="0" w:line="240" w:lineRule="auto"/>
              <w:jc w:val="center"/>
              <w:rPr>
                <w:rFonts w:eastAsia="Times New Roman" w:cs="Calibri"/>
                <w:noProof/>
              </w:rPr>
            </w:pPr>
            <w:r>
              <w:rPr>
                <w:noProof/>
              </w:rPr>
              <w:t>TC-C15-r30</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DDE169C"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C1630B8" w14:textId="77777777" w:rsidR="00E040FD" w:rsidRDefault="00740D64">
            <w:pPr>
              <w:pStyle w:val="P68B1DB1-Normal8"/>
              <w:spacing w:after="0" w:line="240" w:lineRule="auto"/>
              <w:jc w:val="center"/>
              <w:rPr>
                <w:rFonts w:eastAsia="Times New Roman" w:cs="Calibri"/>
                <w:noProof/>
              </w:rPr>
            </w:pPr>
            <w:r>
              <w:rPr>
                <w:noProof/>
              </w:rPr>
              <w:t>Ingångna avtal om kollektivtrafik i storstadsområden och interkommunala samhällen</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A57D8B6" w14:textId="77777777" w:rsidR="00E040FD" w:rsidRDefault="00E040FD">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7219E19"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FBB1912" w14:textId="77777777" w:rsidR="00E040FD" w:rsidRDefault="00740D64">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7BDA846" w14:textId="77777777" w:rsidR="00E040FD" w:rsidRDefault="00740D64">
            <w:pPr>
              <w:pStyle w:val="P68B1DB1-Normal8"/>
              <w:spacing w:after="0" w:line="240" w:lineRule="auto"/>
              <w:jc w:val="center"/>
              <w:rPr>
                <w:rFonts w:eastAsia="Times New Roman" w:cs="Calibri"/>
                <w:noProof/>
              </w:rPr>
            </w:pPr>
            <w:r>
              <w:rPr>
                <w:noProof/>
              </w:rPr>
              <w:t>23</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1ED4C04"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789ECF9" w14:textId="77777777" w:rsidR="00E040FD" w:rsidRDefault="00740D64">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154FD26" w14:textId="77777777" w:rsidR="00E040FD" w:rsidRDefault="00740D64">
            <w:pPr>
              <w:pStyle w:val="P68B1DB1-Normal8"/>
              <w:spacing w:after="0" w:line="240" w:lineRule="auto"/>
              <w:jc w:val="both"/>
              <w:rPr>
                <w:rFonts w:eastAsia="Times New Roman" w:cs="Calibri"/>
                <w:noProof/>
              </w:rPr>
            </w:pPr>
            <w:r>
              <w:rPr>
                <w:noProof/>
              </w:rPr>
              <w:t xml:space="preserve">Antal transportförvaltningsmyndigheter med undertecknade avtal för all kollektivtrafik på järnväg, väg och inre vattenvägar i enlighet med förordning (EG) nr 1370/2007. </w:t>
            </w:r>
          </w:p>
        </w:tc>
      </w:tr>
      <w:tr w:rsidR="00E040FD" w14:paraId="47CBDF40"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09369F6D" w14:textId="4F312845" w:rsidR="00E040FD" w:rsidRDefault="00740D64">
            <w:pPr>
              <w:pStyle w:val="P68B1DB1-Normal11"/>
              <w:spacing w:after="0" w:line="240" w:lineRule="auto"/>
              <w:jc w:val="center"/>
              <w:rPr>
                <w:rFonts w:eastAsia="Times New Roman"/>
                <w:noProof/>
              </w:rPr>
            </w:pPr>
            <w:r>
              <w:rPr>
                <w:noProof/>
              </w:rPr>
              <w:t>15.15</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F8ECE66" w14:textId="2BE2CDE3" w:rsidR="00E040FD" w:rsidRDefault="00740D64">
            <w:pPr>
              <w:pStyle w:val="P68B1DB1-Normal12"/>
              <w:spacing w:after="0" w:line="240" w:lineRule="auto"/>
              <w:jc w:val="center"/>
              <w:rPr>
                <w:rFonts w:eastAsia="Times New Roman" w:cstheme="minorHAnsi"/>
                <w:noProof/>
              </w:rPr>
            </w:pPr>
            <w:r>
              <w:rPr>
                <w:noProof/>
              </w:rPr>
              <w:t>TC-C15-I06</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490E290" w14:textId="4326EEA4" w:rsidR="00E040FD" w:rsidRDefault="00740D64">
            <w:pPr>
              <w:pStyle w:val="P68B1DB1-Normal12"/>
              <w:spacing w:after="0" w:line="240" w:lineRule="auto"/>
              <w:jc w:val="center"/>
              <w:rPr>
                <w:rFonts w:eastAsia="Times New Roman" w:cstheme="minorHAns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550A166" w14:textId="34BFD0E8" w:rsidR="00E040FD" w:rsidRDefault="00740D64">
            <w:pPr>
              <w:pStyle w:val="P68B1DB1-Normal12"/>
              <w:spacing w:after="0" w:line="240" w:lineRule="auto"/>
              <w:jc w:val="center"/>
              <w:rPr>
                <w:rFonts w:eastAsia="Times New Roman" w:cstheme="minorHAnsi"/>
                <w:noProof/>
              </w:rPr>
            </w:pPr>
            <w:r>
              <w:rPr>
                <w:noProof/>
              </w:rPr>
              <w:t>Undertecknande av kontrakt för elektroniska signalsystem</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14CC642" w14:textId="1FBE12E9" w:rsidR="00E040FD" w:rsidRDefault="00740D64">
            <w:pPr>
              <w:pStyle w:val="P68B1DB1-Normal12"/>
              <w:spacing w:after="0" w:line="240" w:lineRule="auto"/>
              <w:jc w:val="center"/>
              <w:rPr>
                <w:rFonts w:eastAsia="Times New Roman" w:cstheme="minorHAnsi"/>
                <w:noProof/>
              </w:rPr>
            </w:pPr>
            <w:r>
              <w:rPr>
                <w:noProof/>
              </w:rPr>
              <w:t>Undertecknande av kontrakt och offentliggörande på en särskild portal</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95EA3B9" w14:textId="77777777" w:rsidR="00E040FD" w:rsidRDefault="00E040FD">
            <w:pPr>
              <w:spacing w:after="0" w:line="240" w:lineRule="auto"/>
              <w:jc w:val="center"/>
              <w:rPr>
                <w:rFonts w:eastAsia="Times New Roman" w:cstheme="minorHAns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EBBD090" w14:textId="77777777" w:rsidR="00E040FD" w:rsidRDefault="00E040FD">
            <w:pPr>
              <w:spacing w:after="0" w:line="240" w:lineRule="auto"/>
              <w:jc w:val="center"/>
              <w:rPr>
                <w:rFonts w:eastAsia="Times New Roman" w:cstheme="minorHAns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3D14C8" w14:textId="77777777" w:rsidR="00E040FD" w:rsidRDefault="00E040FD">
            <w:pPr>
              <w:spacing w:after="0" w:line="240" w:lineRule="auto"/>
              <w:jc w:val="center"/>
              <w:rPr>
                <w:rFonts w:eastAsia="Times New Roman" w:cstheme="minorHAns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05308DB" w14:textId="538F4A90"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C87AF58" w14:textId="3B2C4F41" w:rsidR="00E040FD" w:rsidRDefault="00740D64">
            <w:pPr>
              <w:pStyle w:val="P68B1DB1-Normal12"/>
              <w:spacing w:after="0" w:line="240" w:lineRule="auto"/>
              <w:jc w:val="center"/>
              <w:rPr>
                <w:rFonts w:eastAsia="Times New Roman" w:cstheme="minorHAns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2C5EB17D" w14:textId="3D9B1E55" w:rsidR="00E040FD" w:rsidRDefault="00740D64">
            <w:pPr>
              <w:pStyle w:val="P68B1DB1-Normal12"/>
              <w:spacing w:after="0" w:line="240" w:lineRule="auto"/>
              <w:rPr>
                <w:rFonts w:eastAsia="Times New Roman" w:cstheme="minorHAnsi"/>
                <w:noProof/>
              </w:rPr>
            </w:pPr>
            <w:r>
              <w:rPr>
                <w:noProof/>
              </w:rPr>
              <w:t xml:space="preserve">Undertecknande av kontraktet för projektgenomförande för utbyte av de elektroniska signalsystemen mellan de offentliga myndigheterna och avtalsparten. </w:t>
            </w:r>
          </w:p>
        </w:tc>
      </w:tr>
      <w:tr w:rsidR="00E040FD" w14:paraId="4095FC09"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309B65D6" w14:textId="131135B8" w:rsidR="00E040FD" w:rsidRDefault="00740D64">
            <w:pPr>
              <w:pStyle w:val="P68B1DB1-Normal11"/>
              <w:spacing w:after="0" w:line="240" w:lineRule="auto"/>
              <w:jc w:val="center"/>
              <w:rPr>
                <w:rFonts w:eastAsia="Times New Roman"/>
                <w:noProof/>
              </w:rPr>
            </w:pPr>
            <w:r>
              <w:rPr>
                <w:noProof/>
              </w:rPr>
              <w:t>15.16</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49E8EF1" w14:textId="16469D34" w:rsidR="00E040FD" w:rsidRDefault="00740D64">
            <w:pPr>
              <w:pStyle w:val="P68B1DB1-Normal12"/>
              <w:spacing w:after="0" w:line="240" w:lineRule="auto"/>
              <w:jc w:val="center"/>
              <w:rPr>
                <w:rFonts w:eastAsia="Times New Roman" w:cstheme="minorHAnsi"/>
                <w:noProof/>
              </w:rPr>
            </w:pPr>
            <w:r>
              <w:rPr>
                <w:noProof/>
              </w:rPr>
              <w:t>TC-C15-I06</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1DEA956" w14:textId="4D528CFF" w:rsidR="00E040FD" w:rsidRDefault="00740D64">
            <w:pPr>
              <w:pStyle w:val="P68B1DB1-Normal12"/>
              <w:spacing w:after="0" w:line="240" w:lineRule="auto"/>
              <w:jc w:val="center"/>
              <w:rPr>
                <w:rFonts w:eastAsia="Times New Roman" w:cstheme="minorHAns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1336C3" w14:textId="72F7F910" w:rsidR="00E040FD" w:rsidRDefault="00740D64">
            <w:pPr>
              <w:pStyle w:val="P68B1DB1-Normal12"/>
              <w:spacing w:after="0" w:line="240" w:lineRule="auto"/>
              <w:jc w:val="center"/>
              <w:rPr>
                <w:rFonts w:eastAsia="Times New Roman" w:cstheme="minorHAnsi"/>
                <w:noProof/>
              </w:rPr>
            </w:pPr>
            <w:r>
              <w:rPr>
                <w:noProof/>
              </w:rPr>
              <w:t>Järnvägslinjer med elektroniska signalsystem byts ut</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A28AD9C" w14:textId="77777777" w:rsidR="00E040FD" w:rsidRDefault="00E040FD">
            <w:pPr>
              <w:spacing w:after="0" w:line="240" w:lineRule="auto"/>
              <w:jc w:val="center"/>
              <w:rPr>
                <w:rFonts w:eastAsia="Times New Roman" w:cstheme="minorHAns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598FA30" w14:textId="2E1AC044" w:rsidR="00E040FD" w:rsidRDefault="00740D64">
            <w:pPr>
              <w:pStyle w:val="P68B1DB1-Normal12"/>
              <w:spacing w:after="0" w:line="240" w:lineRule="auto"/>
              <w:jc w:val="center"/>
              <w:rPr>
                <w:rFonts w:eastAsia="Times New Roman" w:cstheme="minorHAnsi"/>
                <w:noProof/>
              </w:rPr>
            </w:pPr>
            <w:r>
              <w:rPr>
                <w:noProof/>
              </w:rPr>
              <w:t>km</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8C2C5F8" w14:textId="534EC871" w:rsidR="00E040FD" w:rsidRDefault="00740D64">
            <w:pPr>
              <w:pStyle w:val="P68B1DB1-Normal12"/>
              <w:spacing w:after="0" w:line="240" w:lineRule="auto"/>
              <w:jc w:val="center"/>
              <w:rPr>
                <w:rFonts w:eastAsia="Times New Roman" w:cstheme="minorHAns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331C6AF" w14:textId="106C8BCB" w:rsidR="00E040FD" w:rsidRDefault="00740D64">
            <w:pPr>
              <w:pStyle w:val="P68B1DB1-Normal12"/>
              <w:spacing w:after="0" w:line="240" w:lineRule="auto"/>
              <w:jc w:val="center"/>
              <w:rPr>
                <w:rFonts w:eastAsia="Times New Roman" w:cstheme="minorHAnsi"/>
                <w:noProof/>
              </w:rPr>
            </w:pPr>
            <w:r>
              <w:rPr>
                <w:noProof/>
              </w:rPr>
              <w:t>20</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7A010B4" w14:textId="2F3B9E13"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2AD76CD" w14:textId="1D2C02A4" w:rsidR="00E040FD" w:rsidRDefault="00740D64">
            <w:pPr>
              <w:pStyle w:val="P68B1DB1-Normal12"/>
              <w:spacing w:after="0" w:line="240" w:lineRule="auto"/>
              <w:jc w:val="center"/>
              <w:rPr>
                <w:rFonts w:eastAsia="Times New Roman" w:cstheme="minorHAns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3B34CCB" w14:textId="3C6E08D9" w:rsidR="00E040FD" w:rsidRDefault="00740D64">
            <w:pPr>
              <w:pStyle w:val="P68B1DB1-Normal12"/>
              <w:spacing w:after="0" w:line="240" w:lineRule="auto"/>
              <w:jc w:val="both"/>
              <w:rPr>
                <w:rFonts w:eastAsia="Times New Roman" w:cstheme="minorHAnsi"/>
                <w:noProof/>
              </w:rPr>
            </w:pPr>
            <w:r>
              <w:rPr>
                <w:noProof/>
              </w:rPr>
              <w:t>Längd på järnvägslinjer med nya elektroniska signalsystem installerade i Lissabons storstadsområde.</w:t>
            </w:r>
          </w:p>
        </w:tc>
      </w:tr>
    </w:tbl>
    <w:p w14:paraId="11A8F5DB" w14:textId="6735A646" w:rsidR="00E040FD" w:rsidRDefault="00E040FD">
      <w:pPr>
        <w:keepNext/>
        <w:spacing w:before="40" w:after="0" w:line="259" w:lineRule="auto"/>
        <w:jc w:val="both"/>
        <w:rPr>
          <w:rFonts w:ascii="Times New Roman" w:eastAsiaTheme="minorEastAsia" w:hAnsi="Times New Roman" w:cs="Times New Roman"/>
          <w:noProof/>
          <w:sz w:val="24"/>
        </w:rPr>
        <w:sectPr w:rsidR="00E040FD" w:rsidSect="00E00EDD">
          <w:headerReference w:type="even" r:id="rId288"/>
          <w:headerReference w:type="default" r:id="rId289"/>
          <w:footerReference w:type="even" r:id="rId290"/>
          <w:footerReference w:type="default" r:id="rId291"/>
          <w:headerReference w:type="first" r:id="rId292"/>
          <w:footerReference w:type="first" r:id="rId293"/>
          <w:pgSz w:w="16839" w:h="11907" w:orient="landscape"/>
          <w:pgMar w:top="1134" w:right="1134" w:bottom="1134" w:left="1134" w:header="567" w:footer="567" w:gutter="0"/>
          <w:cols w:space="720"/>
          <w:docGrid w:linePitch="360"/>
        </w:sectPr>
      </w:pPr>
    </w:p>
    <w:p w14:paraId="510498C1"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6F3C01E3" w14:textId="763016D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O.3. Beskrivning av reformerna och investeringarna för lånet</w:t>
      </w:r>
    </w:p>
    <w:p w14:paraId="1242CC49"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 xml:space="preserve">Investeringar TC-C15-I03: Spårvägstransporten Odivelas – Loures </w:t>
      </w:r>
    </w:p>
    <w:p w14:paraId="27A3BE80" w14:textId="77777777" w:rsidR="00E040FD" w:rsidRDefault="00740D64">
      <w:pPr>
        <w:pStyle w:val="P68B1DB1-Normal4"/>
        <w:keepNext/>
        <w:spacing w:before="40" w:after="0" w:line="259" w:lineRule="auto"/>
        <w:jc w:val="both"/>
        <w:rPr>
          <w:rFonts w:eastAsiaTheme="minorEastAsia" w:cs="Times New Roman"/>
          <w:noProof/>
        </w:rPr>
      </w:pPr>
      <w:r>
        <w:rPr>
          <w:noProof/>
        </w:rPr>
        <w:t>Syftet med åtgärden är att öka kollektivtrafikens attraktionskraft i Lissabon och locka fler användare. För närvarande dominerar de privata vägtransporterna mellan Loures och Lissabon, vilket orsakar betydande utsläpp av växthusgaser och föroreningar samt trafikstockningar. Åtgärden syftar till att få till stånd en övergång från individuell vägtransport till kollektivtrafik.</w:t>
      </w:r>
    </w:p>
    <w:p w14:paraId="4FCFEDE5" w14:textId="481C3763" w:rsidR="00E040FD" w:rsidRDefault="00740D64">
      <w:pPr>
        <w:pStyle w:val="P68B1DB1-Normal4"/>
        <w:keepNext/>
        <w:spacing w:before="40" w:after="0" w:line="259" w:lineRule="auto"/>
        <w:jc w:val="both"/>
        <w:rPr>
          <w:rFonts w:eastAsiaTheme="minorEastAsia" w:cs="Times New Roman"/>
          <w:noProof/>
        </w:rPr>
      </w:pPr>
      <w:r>
        <w:rPr>
          <w:noProof/>
        </w:rPr>
        <w:t xml:space="preserve">Investeringen ska bestå av byggandet av ett 11,5 km långt snabbspårvägssystem som förbinder kommunen Loures med Lissabons tunnelbanenät. </w:t>
      </w:r>
    </w:p>
    <w:p w14:paraId="5F1D6AF1" w14:textId="7D85A9C0" w:rsidR="00E040FD" w:rsidRDefault="00740D64">
      <w:pPr>
        <w:pStyle w:val="P68B1DB1-Normal4"/>
        <w:keepNext/>
        <w:spacing w:before="40" w:after="0" w:line="259" w:lineRule="auto"/>
        <w:ind w:left="130" w:firstLine="720"/>
        <w:jc w:val="both"/>
        <w:outlineLvl w:val="1"/>
        <w:rPr>
          <w:rFonts w:eastAsiaTheme="minorEastAsia" w:cs="Times New Roman"/>
          <w:b/>
          <w:noProof/>
          <w:u w:val="single"/>
        </w:rPr>
      </w:pPr>
      <w:r>
        <w:rPr>
          <w:noProof/>
        </w:rPr>
        <w:t>Investeringen ska vara genomförd senast den 30 juni 2026.</w:t>
      </w:r>
    </w:p>
    <w:p w14:paraId="575ACA3D"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64CAD46C"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E040FD" w:rsidSect="00E00EDD">
          <w:headerReference w:type="even" r:id="rId294"/>
          <w:headerReference w:type="default" r:id="rId295"/>
          <w:footerReference w:type="even" r:id="rId296"/>
          <w:footerReference w:type="default" r:id="rId297"/>
          <w:headerReference w:type="first" r:id="rId298"/>
          <w:footerReference w:type="first" r:id="rId299"/>
          <w:pgSz w:w="11907" w:h="16839"/>
          <w:pgMar w:top="1134" w:right="1134" w:bottom="1134" w:left="1134" w:header="567" w:footer="567" w:gutter="0"/>
          <w:cols w:space="720"/>
          <w:docGrid w:linePitch="360"/>
        </w:sectPr>
      </w:pPr>
    </w:p>
    <w:p w14:paraId="03D3A8DE"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302B669C" w14:textId="17BC633A"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O.4. Delmål, mål, indikatorer och tidsplan för övervakning och genomförande av lånet</w:t>
      </w:r>
    </w:p>
    <w:p w14:paraId="635759ED"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15027" w:type="dxa"/>
        <w:tblInd w:w="-176" w:type="dxa"/>
        <w:tblLayout w:type="fixed"/>
        <w:tblLook w:val="04A0" w:firstRow="1" w:lastRow="0" w:firstColumn="1" w:lastColumn="0" w:noHBand="0" w:noVBand="1"/>
      </w:tblPr>
      <w:tblGrid>
        <w:gridCol w:w="1135"/>
        <w:gridCol w:w="1276"/>
        <w:gridCol w:w="1134"/>
        <w:gridCol w:w="1701"/>
        <w:gridCol w:w="1417"/>
        <w:gridCol w:w="993"/>
        <w:gridCol w:w="992"/>
        <w:gridCol w:w="709"/>
        <w:gridCol w:w="567"/>
        <w:gridCol w:w="708"/>
        <w:gridCol w:w="4395"/>
      </w:tblGrid>
      <w:tr w:rsidR="00E040FD" w14:paraId="2F97F8D0" w14:textId="77777777">
        <w:trPr>
          <w:trHeight w:val="910"/>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921D3C2"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1C57A38"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FEE676C" w14:textId="77777777" w:rsidR="00E040FD" w:rsidRDefault="00740D64">
            <w:pPr>
              <w:pStyle w:val="P68B1DB1-Normal6"/>
              <w:spacing w:after="0" w:line="240" w:lineRule="auto"/>
              <w:jc w:val="center"/>
              <w:rPr>
                <w:rFonts w:eastAsia="Times New Roman" w:cs="Times New Roman"/>
                <w:noProof/>
              </w:rPr>
            </w:pPr>
            <w:r>
              <w:rPr>
                <w:noProof/>
              </w:rPr>
              <w:t>Delmål/mål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8027319" w14:textId="77777777" w:rsidR="00E040FD" w:rsidRDefault="00740D64">
            <w:pPr>
              <w:pStyle w:val="P68B1DB1-Normal6"/>
              <w:spacing w:after="0" w:line="240" w:lineRule="auto"/>
              <w:jc w:val="center"/>
              <w:rPr>
                <w:rFonts w:eastAsia="Times New Roman" w:cs="Times New Roman"/>
                <w:noProof/>
              </w:rPr>
            </w:pPr>
            <w:r>
              <w:rPr>
                <w:noProof/>
              </w:rPr>
              <w:t>Namn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1067041"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1F0D5637"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DB14555"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4BDC769"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6A79B943" w14:textId="77777777">
        <w:trPr>
          <w:trHeight w:val="47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4310C2A"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ACA7D6"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AF8AE5" w14:textId="77777777" w:rsidR="00E040FD" w:rsidRDefault="00E040FD">
            <w:pPr>
              <w:spacing w:after="0" w:line="240" w:lineRule="auto"/>
              <w:jc w:val="center"/>
              <w:rPr>
                <w:rFonts w:ascii="Times New Roman" w:eastAsia="Times New Roman" w:hAnsi="Times New Roman" w:cs="Times New Roman"/>
                <w:b/>
                <w:noProof/>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7037FB" w14:textId="77777777" w:rsidR="00E040FD" w:rsidRDefault="00E040FD">
            <w:pPr>
              <w:spacing w:after="0" w:line="240" w:lineRule="auto"/>
              <w:rPr>
                <w:rFonts w:ascii="Times New Roman" w:eastAsia="Times New Roman" w:hAnsi="Times New Roman" w:cs="Times New Roman"/>
                <w:b/>
                <w:noProof/>
                <w:sz w:val="18"/>
              </w:rPr>
            </w:pPr>
          </w:p>
        </w:tc>
        <w:tc>
          <w:tcPr>
            <w:tcW w:w="1417" w:type="dxa"/>
            <w:vMerge/>
            <w:tcBorders>
              <w:top w:val="single" w:sz="4" w:space="0" w:color="auto"/>
              <w:left w:val="single" w:sz="4" w:space="0" w:color="auto"/>
            </w:tcBorders>
            <w:vAlign w:val="center"/>
            <w:hideMark/>
          </w:tcPr>
          <w:p w14:paraId="532041EB" w14:textId="77777777" w:rsidR="00E040FD" w:rsidRDefault="00E040FD">
            <w:pPr>
              <w:spacing w:after="0" w:line="240" w:lineRule="auto"/>
              <w:rPr>
                <w:rFonts w:ascii="Times New Roman" w:eastAsia="Times New Roman" w:hAnsi="Times New Roman" w:cs="Times New Roman"/>
                <w:b/>
                <w:noProof/>
                <w:sz w:val="18"/>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78DB4E2"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60F3C8"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7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75038A"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15B4B4"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BC222A0" w14:textId="77777777" w:rsidR="00E040FD" w:rsidRDefault="00740D64">
            <w:pPr>
              <w:pStyle w:val="P68B1DB1-Normal6"/>
              <w:spacing w:after="0" w:line="240" w:lineRule="auto"/>
              <w:jc w:val="center"/>
              <w:rPr>
                <w:rFonts w:eastAsia="Times New Roman" w:cs="Times New Roman"/>
                <w:noProof/>
              </w:rPr>
            </w:pPr>
            <w:r>
              <w:rPr>
                <w:noProof/>
              </w:rPr>
              <w:t>Året</w:t>
            </w:r>
          </w:p>
        </w:tc>
        <w:tc>
          <w:tcPr>
            <w:tcW w:w="4395" w:type="dxa"/>
            <w:vMerge/>
            <w:tcBorders>
              <w:top w:val="single" w:sz="4" w:space="0" w:color="auto"/>
              <w:bottom w:val="single" w:sz="4" w:space="0" w:color="auto"/>
              <w:right w:val="single" w:sz="4" w:space="0" w:color="auto"/>
            </w:tcBorders>
            <w:vAlign w:val="center"/>
            <w:hideMark/>
          </w:tcPr>
          <w:p w14:paraId="01B727AD" w14:textId="77777777" w:rsidR="00E040FD" w:rsidRDefault="00E040FD">
            <w:pPr>
              <w:spacing w:after="0" w:line="240" w:lineRule="auto"/>
              <w:rPr>
                <w:rFonts w:ascii="Times New Roman" w:eastAsia="Times New Roman" w:hAnsi="Times New Roman" w:cs="Times New Roman"/>
                <w:b/>
                <w:noProof/>
                <w:sz w:val="18"/>
              </w:rPr>
            </w:pPr>
          </w:p>
        </w:tc>
      </w:tr>
      <w:tr w:rsidR="00E040FD" w14:paraId="4EBA1B8E" w14:textId="77777777">
        <w:trPr>
          <w:trHeight w:val="850"/>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17430DD4" w14:textId="3D8F77CB" w:rsidR="00E040FD" w:rsidRDefault="00740D64">
            <w:pPr>
              <w:pStyle w:val="P68B1DB1-Normal7"/>
              <w:spacing w:after="0" w:line="240" w:lineRule="auto"/>
              <w:jc w:val="center"/>
              <w:rPr>
                <w:rFonts w:eastAsia="Times New Roman" w:cs="Calibri"/>
                <w:noProof/>
              </w:rPr>
            </w:pPr>
            <w:r>
              <w:rPr>
                <w:noProof/>
              </w:rPr>
              <w:t>15.7</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2763EAF" w14:textId="43F37C9D" w:rsidR="00E040FD" w:rsidRDefault="00740D64">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D4F69B0" w14:textId="6F007304" w:rsidR="00E040FD" w:rsidRDefault="00740D6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A963B90" w14:textId="7F495470" w:rsidR="00E040FD" w:rsidRDefault="00740D64">
            <w:pPr>
              <w:pStyle w:val="P68B1DB1-Normal8"/>
              <w:spacing w:after="0" w:line="240" w:lineRule="auto"/>
              <w:jc w:val="center"/>
              <w:rPr>
                <w:rFonts w:eastAsia="Times New Roman" w:cs="Calibri"/>
                <w:noProof/>
              </w:rPr>
            </w:pPr>
            <w:r>
              <w:rPr>
                <w:noProof/>
              </w:rPr>
              <w:t>Undertecknande av avtalet om anläggande av en transitlinje för lätta tåg mellan Odivelas och Loures</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077DDBE" w14:textId="3B3953C9" w:rsidR="00E040FD" w:rsidRDefault="00740D64">
            <w:pPr>
              <w:pStyle w:val="P68B1DB1-Normal8"/>
              <w:spacing w:after="0" w:line="240" w:lineRule="auto"/>
              <w:jc w:val="center"/>
              <w:rPr>
                <w:rFonts w:eastAsia="Times New Roman" w:cs="Calibri"/>
                <w:noProof/>
              </w:rPr>
            </w:pPr>
            <w:r>
              <w:rPr>
                <w:noProof/>
              </w:rPr>
              <w:t>Undertecknande av avtalet om anläggande av en transitlinje för lätta tåg mellan Odivelas och Loures</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18295CC" w14:textId="77777777" w:rsidR="00E040FD" w:rsidRDefault="00E040FD">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9B96970" w14:textId="77777777" w:rsidR="00E040FD" w:rsidRDefault="00E040FD">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90E9541" w14:textId="77777777" w:rsidR="00E040FD" w:rsidRDefault="00E040FD">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F8099FF" w14:textId="21500CAE" w:rsidR="00E040FD" w:rsidRDefault="00740D64">
            <w:pPr>
              <w:pStyle w:val="P68B1DB1-Normal8"/>
              <w:spacing w:after="0" w:line="240" w:lineRule="auto"/>
              <w:jc w:val="center"/>
              <w:rPr>
                <w:rFonts w:eastAsia="Times New Roman" w:cs="Calibri"/>
                <w:noProof/>
              </w:rPr>
            </w:pPr>
            <w:r>
              <w:rPr>
                <w:noProof/>
              </w:rPr>
              <w:t>KVARTAL 1</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3A09061" w14:textId="0BCE3452" w:rsidR="00E040FD" w:rsidRDefault="00740D64">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1CFDF65" w14:textId="783876D7" w:rsidR="00E040FD" w:rsidRDefault="00740D64">
            <w:pPr>
              <w:pStyle w:val="P68B1DB1-Normal8"/>
              <w:spacing w:after="0" w:line="240" w:lineRule="auto"/>
              <w:jc w:val="both"/>
              <w:rPr>
                <w:rFonts w:eastAsia="Times New Roman" w:cs="Calibri"/>
                <w:noProof/>
              </w:rPr>
            </w:pPr>
            <w:r>
              <w:rPr>
                <w:noProof/>
              </w:rPr>
              <w:t xml:space="preserve">Undertecknande av kontraktet om genomförande av projektet mellan de offentliga myndigheterna och den uppdragstagare som valts ut i ett anbudsförfarande. Syftet med avtalet är att bygga en transitlinje för lätta tåg mellan Odivelas och Loures. </w:t>
            </w:r>
          </w:p>
        </w:tc>
      </w:tr>
      <w:tr w:rsidR="00E040FD" w14:paraId="2C0CA749" w14:textId="77777777">
        <w:trPr>
          <w:trHeight w:val="2527"/>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54BFE5C9" w14:textId="29341BA1" w:rsidR="00E040FD" w:rsidRDefault="00740D64">
            <w:pPr>
              <w:pStyle w:val="P68B1DB1-Normal7"/>
              <w:spacing w:after="0" w:line="240" w:lineRule="auto"/>
              <w:jc w:val="center"/>
              <w:rPr>
                <w:rFonts w:eastAsia="Times New Roman" w:cs="Calibri"/>
                <w:noProof/>
              </w:rPr>
            </w:pPr>
            <w:r>
              <w:rPr>
                <w:noProof/>
              </w:rPr>
              <w:t>15.8</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0DF29A2" w14:textId="4F14BD57" w:rsidR="00E040FD" w:rsidRDefault="00740D64">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C4D0EFB" w14:textId="69B081E1" w:rsidR="00E040FD" w:rsidRDefault="00740D6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34498EF" w14:textId="33737552" w:rsidR="00E040FD" w:rsidRDefault="00740D64">
            <w:pPr>
              <w:pStyle w:val="P68B1DB1-Normal8"/>
              <w:spacing w:after="0" w:line="240" w:lineRule="auto"/>
              <w:jc w:val="center"/>
              <w:rPr>
                <w:rFonts w:eastAsia="Times New Roman" w:cs="Calibri"/>
                <w:noProof/>
              </w:rPr>
            </w:pPr>
            <w:r>
              <w:rPr>
                <w:noProof/>
              </w:rPr>
              <w:t>Lägesrapport om byggandet av transiteringslinjen för lätta tåg mellan Odivelas och Loures</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9ABFC70" w14:textId="6F68A9CC" w:rsidR="00E040FD" w:rsidRDefault="00740D64">
            <w:pPr>
              <w:pStyle w:val="P68B1DB1-Normal8"/>
              <w:spacing w:after="0" w:line="240" w:lineRule="auto"/>
              <w:jc w:val="center"/>
              <w:rPr>
                <w:rFonts w:eastAsia="Times New Roman" w:cs="Calibri"/>
                <w:noProof/>
              </w:rPr>
            </w:pPr>
            <w:r>
              <w:rPr>
                <w:noProof/>
              </w:rPr>
              <w:t>Lägesrapport som visar att arbetet fortskrider enligt tidsplanen.</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0038F1" w14:textId="77777777" w:rsidR="00E040FD" w:rsidRDefault="00E040FD">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419550BD" w14:textId="77777777" w:rsidR="00E040FD" w:rsidRDefault="00E040FD">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8473EAD" w14:textId="77777777" w:rsidR="00E040FD" w:rsidRDefault="00E040FD">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03C286D" w14:textId="1D46DD3D" w:rsidR="00E040FD" w:rsidRDefault="00740D64">
            <w:pPr>
              <w:pStyle w:val="P68B1DB1-Normal8"/>
              <w:spacing w:after="0" w:line="240" w:lineRule="auto"/>
              <w:jc w:val="center"/>
              <w:rPr>
                <w:rFonts w:eastAsia="Times New Roman" w:cs="Calibri"/>
                <w:noProof/>
              </w:rPr>
            </w:pPr>
            <w:r>
              <w:rPr>
                <w:noProof/>
              </w:rPr>
              <w:t>KVARTAL 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EE78C35" w14:textId="00B9F427" w:rsidR="00E040FD" w:rsidRDefault="00740D64">
            <w:pPr>
              <w:pStyle w:val="P68B1DB1-Normal8"/>
              <w:spacing w:after="0" w:line="240" w:lineRule="auto"/>
              <w:jc w:val="center"/>
              <w:rPr>
                <w:rFonts w:eastAsia="Times New Roman" w:cs="Calibri"/>
                <w:noProof/>
              </w:rPr>
            </w:pPr>
            <w:r>
              <w:rPr>
                <w:noProof/>
              </w:rPr>
              <w:t>2025</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33FA7FFC" w14:textId="633FF37D" w:rsidR="00E040FD" w:rsidRDefault="00740D64">
            <w:pPr>
              <w:pStyle w:val="P68B1DB1-Normal8"/>
              <w:spacing w:after="0" w:line="240" w:lineRule="auto"/>
              <w:jc w:val="both"/>
              <w:rPr>
                <w:rFonts w:eastAsia="Times New Roman" w:cs="Calibri"/>
                <w:noProof/>
              </w:rPr>
            </w:pPr>
            <w:r>
              <w:rPr>
                <w:noProof/>
              </w:rPr>
              <w:t>Utvecklingen av arbetet med att bygga transiteringslinjen för lätta tåg mellan Odivelas och Loures och efterlevnaden av tidsplanen för deras genomförande ska mätas genom regelbundna lägesrapporter under arbetets gång. Den omfattar en bedömning av arbetets utveckling i enlighet med den planerade tidsplanen, inbegripet identifiering av den verksamhet som redan slutförts, identifiering av den verksamhet som ska utföras och en riskanalys av de föreslagna tidsfristerna för genomförandet, vid behov med en begränsnings- och beredskapsplan för att säkerställa att kontraktet slutförs inom de föreslagna tidsfristerna. Delmålet är uppfyllt om det i lägesrapporten anges att arbetet fortskrider enligt tidsplanen vid tidpunkten för delmålet.</w:t>
            </w:r>
          </w:p>
        </w:tc>
      </w:tr>
      <w:tr w:rsidR="00E040FD" w14:paraId="5ACB540A" w14:textId="77777777">
        <w:trPr>
          <w:trHeight w:val="640"/>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7C7A72F5" w14:textId="276CF2CE" w:rsidR="00E040FD" w:rsidRDefault="00740D64">
            <w:pPr>
              <w:pStyle w:val="P68B1DB1-Normal7"/>
              <w:spacing w:after="0" w:line="240" w:lineRule="auto"/>
              <w:jc w:val="center"/>
              <w:rPr>
                <w:rFonts w:eastAsia="Times New Roman" w:cs="Calibri"/>
                <w:noProof/>
              </w:rPr>
            </w:pPr>
            <w:r>
              <w:rPr>
                <w:noProof/>
              </w:rPr>
              <w:t>15.9</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099203D" w14:textId="19AB8DFF" w:rsidR="00E040FD" w:rsidRDefault="00740D64">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D7661C3" w14:textId="65733C36" w:rsidR="00E040FD" w:rsidRDefault="00740D64">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1911FA7" w14:textId="10D9D5E3" w:rsidR="00E040FD" w:rsidRDefault="00740D64">
            <w:pPr>
              <w:pStyle w:val="P68B1DB1-Normal8"/>
              <w:spacing w:after="0" w:line="240" w:lineRule="auto"/>
              <w:jc w:val="center"/>
              <w:rPr>
                <w:rFonts w:eastAsia="Times New Roman" w:cs="Calibri"/>
                <w:noProof/>
              </w:rPr>
            </w:pPr>
            <w:r>
              <w:rPr>
                <w:noProof/>
              </w:rPr>
              <w:t>Anläggning av en transitlinje för lätta tåg mellan Odivelas och Loures slutförd</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7781649" w14:textId="77777777" w:rsidR="00E040FD" w:rsidRDefault="00E040FD">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4FBAABA" w14:textId="0FEF1905" w:rsidR="00E040FD" w:rsidRDefault="00740D64">
            <w:pPr>
              <w:pStyle w:val="P68B1DB1-Normal8"/>
              <w:spacing w:after="0" w:line="240" w:lineRule="auto"/>
              <w:jc w:val="center"/>
              <w:rPr>
                <w:rFonts w:eastAsia="Times New Roman" w:cs="Calibri"/>
                <w:noProof/>
              </w:rPr>
            </w:pPr>
            <w:r>
              <w:rPr>
                <w:noProof/>
              </w:rPr>
              <w:t>Km</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5D1663D" w14:textId="629F8717" w:rsidR="00E040FD" w:rsidRDefault="00740D64">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D4C315A" w14:textId="78D81EC8" w:rsidR="00E040FD" w:rsidRDefault="00740D64">
            <w:pPr>
              <w:pStyle w:val="P68B1DB1-Normal8"/>
              <w:spacing w:after="0" w:line="240" w:lineRule="auto"/>
              <w:jc w:val="center"/>
              <w:rPr>
                <w:rFonts w:eastAsia="Times New Roman" w:cs="Calibri"/>
                <w:noProof/>
              </w:rPr>
            </w:pPr>
            <w:r>
              <w:rPr>
                <w:noProof/>
              </w:rPr>
              <w:t>11.5</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F0E1D2A" w14:textId="1621DBB7" w:rsidR="00E040FD" w:rsidRDefault="00740D64">
            <w:pPr>
              <w:pStyle w:val="P68B1DB1-Normal8"/>
              <w:spacing w:after="0" w:line="240" w:lineRule="auto"/>
              <w:jc w:val="center"/>
              <w:rPr>
                <w:rFonts w:eastAsia="Times New Roman" w:cs="Calibri"/>
                <w:noProof/>
              </w:rPr>
            </w:pPr>
            <w:r>
              <w:rPr>
                <w:noProof/>
              </w:rPr>
              <w:t>KVARTAL 2</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B81BB6F" w14:textId="2BF6C0A4" w:rsidR="00E040FD" w:rsidRDefault="00740D64">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B006FBB" w14:textId="239AB1DE" w:rsidR="00E040FD" w:rsidRDefault="00740D64">
            <w:pPr>
              <w:pStyle w:val="P68B1DB1-Normal8"/>
              <w:spacing w:after="0" w:line="240" w:lineRule="auto"/>
              <w:jc w:val="both"/>
              <w:rPr>
                <w:rFonts w:eastAsia="Times New Roman" w:cs="Calibri"/>
                <w:noProof/>
              </w:rPr>
            </w:pPr>
            <w:r>
              <w:rPr>
                <w:noProof/>
              </w:rPr>
              <w:t xml:space="preserve">Längden på byggnadsarbetena för den snabbspårväg som ska förbinda Loures med Lissabons tunnelbanenät i Odivelas. Den nya snabbtågslinjen för transittrafik är redo för omedelbar drift av de planerade transporttjänsterna. </w:t>
            </w:r>
          </w:p>
        </w:tc>
      </w:tr>
    </w:tbl>
    <w:p w14:paraId="0B3D7BA5"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5D80F2C0"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13B5D196"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E040FD" w:rsidSect="003311E3">
          <w:headerReference w:type="even" r:id="rId300"/>
          <w:headerReference w:type="default" r:id="rId301"/>
          <w:footerReference w:type="even" r:id="rId302"/>
          <w:footerReference w:type="default" r:id="rId303"/>
          <w:headerReference w:type="first" r:id="rId304"/>
          <w:footerReference w:type="first" r:id="rId305"/>
          <w:pgSz w:w="16839" w:h="11907" w:orient="landscape"/>
          <w:pgMar w:top="1134" w:right="1134" w:bottom="1134" w:left="1134" w:header="567" w:footer="567" w:gutter="0"/>
          <w:cols w:space="720"/>
          <w:docGrid w:linePitch="360"/>
        </w:sectPr>
      </w:pPr>
    </w:p>
    <w:p w14:paraId="19EC9F83" w14:textId="1B8178D1"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KOMPONENT 16: Företag 4.0</w:t>
      </w:r>
    </w:p>
    <w:p w14:paraId="25B02CF9" w14:textId="77777777" w:rsidR="00E040FD" w:rsidRDefault="00740D64">
      <w:pPr>
        <w:pStyle w:val="P68B1DB1-Normal4"/>
        <w:keepNext/>
        <w:spacing w:before="40" w:after="0" w:line="259" w:lineRule="auto"/>
        <w:jc w:val="both"/>
        <w:rPr>
          <w:rFonts w:eastAsiaTheme="minorEastAsia" w:cs="Times New Roman"/>
          <w:noProof/>
        </w:rPr>
      </w:pPr>
      <w:r>
        <w:rPr>
          <w:noProof/>
        </w:rPr>
        <w:t>Komponenten tar itu med utmaningarna i samband med den låga digitaliseringen av företag. Enligt resultaten från indexet för digital ekonomi och digitalt samhälle (Desi 2020) ligger Portugal</w:t>
      </w:r>
      <w:r>
        <w:rPr>
          <w:noProof/>
          <w:vertAlign w:val="superscript"/>
        </w:rPr>
        <w:t>på</w:t>
      </w:r>
      <w:r>
        <w:rPr>
          <w:noProof/>
        </w:rPr>
        <w:t xml:space="preserve"> 19:e plats i EU och under EU-genomsnittet. De svagaste dimensionerna i Portugals fall är ”humankapital” och ”Användning av internettjänster” och vissa aspekter av ”Integrering av digital teknik”, som alla återspeglar begränsningar av företagens digitala kapacitet och prestanda. </w:t>
      </w:r>
    </w:p>
    <w:p w14:paraId="72BA11C3" w14:textId="673C874D" w:rsidR="00E040FD" w:rsidRDefault="00740D64">
      <w:pPr>
        <w:pStyle w:val="P68B1DB1-Normal4"/>
        <w:keepNext/>
        <w:spacing w:before="40" w:after="0" w:line="259" w:lineRule="auto"/>
        <w:jc w:val="both"/>
        <w:rPr>
          <w:rFonts w:eastAsiaTheme="minorEastAsia" w:cs="Times New Roman"/>
          <w:noProof/>
        </w:rPr>
      </w:pPr>
      <w:r>
        <w:rPr>
          <w:noProof/>
        </w:rPr>
        <w:t>Syftet med komponenten är att rikta in sig på företagssektorn, särskilt små och medelstora företag och deras anställda, med investeringar för att påskynda den digitala omställningen, kompletterat med en förstärkning av de anställdas digitala färdigheter. Investeringarna omfattar följande åtgärder:</w:t>
      </w:r>
    </w:p>
    <w:p w14:paraId="674866B7" w14:textId="34492028" w:rsidR="00E040FD" w:rsidRDefault="00740D64">
      <w:pPr>
        <w:pStyle w:val="P68B1DB1-Normal4"/>
        <w:keepNext/>
        <w:numPr>
          <w:ilvl w:val="0"/>
          <w:numId w:val="32"/>
        </w:numPr>
        <w:spacing w:before="40" w:after="160" w:line="259" w:lineRule="auto"/>
        <w:contextualSpacing/>
        <w:jc w:val="both"/>
        <w:rPr>
          <w:rFonts w:eastAsiaTheme="minorEastAsia" w:cs="Times New Roman"/>
          <w:noProof/>
        </w:rPr>
      </w:pPr>
      <w:r>
        <w:rPr>
          <w:noProof/>
        </w:rPr>
        <w:t>Förstärkning av de anställdas och den arbetsföra befolkningens digitala färdigheter.</w:t>
      </w:r>
    </w:p>
    <w:p w14:paraId="5F996481" w14:textId="77777777" w:rsidR="00E040FD" w:rsidRDefault="00740D64">
      <w:pPr>
        <w:pStyle w:val="P68B1DB1-Normal4"/>
        <w:keepNext/>
        <w:numPr>
          <w:ilvl w:val="0"/>
          <w:numId w:val="32"/>
        </w:numPr>
        <w:spacing w:before="40" w:after="160" w:line="259" w:lineRule="auto"/>
        <w:contextualSpacing/>
        <w:jc w:val="both"/>
        <w:rPr>
          <w:rFonts w:eastAsiaTheme="minorEastAsia" w:cs="Times New Roman"/>
          <w:noProof/>
        </w:rPr>
      </w:pPr>
      <w:r>
        <w:rPr>
          <w:noProof/>
        </w:rPr>
        <w:t>Modernisering av företagens affärsmodell och deras produktionsprocesser, inbegripet digitalisering av arbetsflöden såsom företagsledning, innovativa produkter och fakturering.</w:t>
      </w:r>
    </w:p>
    <w:p w14:paraId="1AB18387" w14:textId="77777777" w:rsidR="00E040FD" w:rsidRDefault="00740D64">
      <w:pPr>
        <w:pStyle w:val="P68B1DB1-Normal4"/>
        <w:keepNext/>
        <w:numPr>
          <w:ilvl w:val="0"/>
          <w:numId w:val="32"/>
        </w:numPr>
        <w:spacing w:before="40" w:after="160" w:line="259" w:lineRule="auto"/>
        <w:contextualSpacing/>
        <w:jc w:val="both"/>
        <w:rPr>
          <w:rFonts w:eastAsiaTheme="minorEastAsia" w:cs="Times New Roman"/>
          <w:noProof/>
        </w:rPr>
      </w:pPr>
      <w:r>
        <w:rPr>
          <w:noProof/>
        </w:rPr>
        <w:t>Skapande av nya digitala marknadsföringskanaler för produkter och tjänster.</w:t>
      </w:r>
    </w:p>
    <w:p w14:paraId="270FA3A4" w14:textId="77777777" w:rsidR="00E040FD" w:rsidRDefault="00740D64">
      <w:pPr>
        <w:pStyle w:val="P68B1DB1-Normal4"/>
        <w:keepNext/>
        <w:numPr>
          <w:ilvl w:val="0"/>
          <w:numId w:val="32"/>
        </w:numPr>
        <w:spacing w:before="40" w:after="160" w:line="259" w:lineRule="auto"/>
        <w:contextualSpacing/>
        <w:jc w:val="both"/>
        <w:rPr>
          <w:rFonts w:eastAsiaTheme="minorEastAsia" w:cs="Times New Roman"/>
          <w:noProof/>
        </w:rPr>
      </w:pPr>
      <w:r>
        <w:rPr>
          <w:noProof/>
        </w:rPr>
        <w:t>Innovation och införlivande av avancerad digital teknik i företagens affärsmodell. och</w:t>
      </w:r>
    </w:p>
    <w:p w14:paraId="1E059D00" w14:textId="77777777" w:rsidR="00E040FD" w:rsidRDefault="00740D64">
      <w:pPr>
        <w:pStyle w:val="P68B1DB1-Normal4"/>
        <w:keepNext/>
        <w:numPr>
          <w:ilvl w:val="0"/>
          <w:numId w:val="32"/>
        </w:numPr>
        <w:spacing w:before="40" w:after="160" w:line="259" w:lineRule="auto"/>
        <w:contextualSpacing/>
        <w:jc w:val="both"/>
        <w:rPr>
          <w:rFonts w:eastAsiaTheme="minorEastAsia" w:cs="Times New Roman"/>
          <w:noProof/>
        </w:rPr>
      </w:pPr>
      <w:r>
        <w:rPr>
          <w:noProof/>
        </w:rPr>
        <w:t>Främjande av digitalt entreprenörskap.</w:t>
      </w:r>
    </w:p>
    <w:p w14:paraId="5864DB58" w14:textId="77777777" w:rsidR="00E040FD" w:rsidRDefault="00740D64">
      <w:pPr>
        <w:pStyle w:val="P68B1DB1-Normal4"/>
        <w:spacing w:after="0" w:line="240" w:lineRule="auto"/>
        <w:ind w:left="60"/>
        <w:jc w:val="both"/>
        <w:textAlignment w:val="baseline"/>
        <w:rPr>
          <w:rFonts w:eastAsiaTheme="minorEastAsia" w:cs="Times New Roman"/>
          <w:noProof/>
        </w:rPr>
      </w:pPr>
      <w:r>
        <w:rPr>
          <w:noProof/>
        </w:rPr>
        <w:t>Komponenten stöder arbetet med de landsspecifika rekommendationerna om stöd till användning av digital teknik, för att säkerställa lika tillgång till utbildning av god kvalitet, stärka företagens konkurrenskraft och stödja sysselsättningen och prioritera åtgärder för att bevara arbetstillfällen (landsspecifik rekommendation 2 2020). Komponenten stöder också genomförandet av de landsspecifika rekommendationerna för att förbättra befolkningens kompetensnivå, särskilt deras digitala kompetens, bland annat genom att göra vuxenutbildningen mer relevant för arbetsmarknadens behov (landsspecifik rekommendation 2 2019) och inrikta investeringarna på den digitala omställningen (landsspecifik rekommendation 3 2020).</w:t>
      </w:r>
    </w:p>
    <w:p w14:paraId="303FB0B6" w14:textId="77777777" w:rsidR="00E040FD" w:rsidRDefault="00740D64">
      <w:pPr>
        <w:pStyle w:val="P68B1DB1-Normal4"/>
        <w:spacing w:before="40" w:after="0" w:line="259" w:lineRule="auto"/>
        <w:ind w:left="130" w:firstLine="720"/>
        <w:jc w:val="both"/>
        <w:outlineLvl w:val="1"/>
        <w:rPr>
          <w:rFonts w:eastAsiaTheme="minorEastAsia" w:cs="Times New Roman"/>
          <w:noProof/>
        </w:rPr>
      </w:pPr>
      <w:r>
        <w:rPr>
          <w:noProof/>
        </w:rPr>
        <w:t xml:space="preserve">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 </w:t>
      </w:r>
    </w:p>
    <w:p w14:paraId="166B059E" w14:textId="77777777" w:rsidR="00E040FD" w:rsidRDefault="00E040FD">
      <w:pPr>
        <w:spacing w:before="40" w:after="0" w:line="259" w:lineRule="auto"/>
        <w:ind w:left="130" w:firstLine="720"/>
        <w:jc w:val="both"/>
        <w:outlineLvl w:val="1"/>
        <w:rPr>
          <w:rFonts w:ascii="Times New Roman" w:eastAsiaTheme="minorEastAsia" w:hAnsi="Times New Roman" w:cs="Times New Roman"/>
          <w:noProof/>
          <w:sz w:val="24"/>
        </w:rPr>
      </w:pPr>
    </w:p>
    <w:p w14:paraId="22C34D86"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P.1. Beskrivning av reformer och investeringar avseende icke återbetalningspliktigt ekonomiskt stöd</w:t>
      </w:r>
    </w:p>
    <w:p w14:paraId="3981E054" w14:textId="77777777" w:rsidR="00E040FD" w:rsidRDefault="00740D64">
      <w:pPr>
        <w:pStyle w:val="P68B1DB1-Normal5"/>
        <w:spacing w:before="240" w:after="0" w:line="259" w:lineRule="auto"/>
        <w:ind w:left="851"/>
        <w:jc w:val="both"/>
        <w:outlineLvl w:val="2"/>
        <w:rPr>
          <w:rFonts w:eastAsiaTheme="minorEastAsia" w:cs="Times New Roman"/>
          <w:noProof/>
        </w:rPr>
      </w:pPr>
      <w:r>
        <w:rPr>
          <w:noProof/>
        </w:rPr>
        <w:t>Reform TD-r31: Den digitala omställningen av företagsklimatet</w:t>
      </w:r>
    </w:p>
    <w:p w14:paraId="4687B767" w14:textId="77777777" w:rsidR="00E040FD" w:rsidRDefault="00740D64">
      <w:pPr>
        <w:pStyle w:val="P68B1DB1-Normal4"/>
        <w:spacing w:before="40" w:after="0" w:line="259" w:lineRule="auto"/>
        <w:jc w:val="both"/>
        <w:rPr>
          <w:rFonts w:eastAsiaTheme="minorEastAsia" w:cs="Times New Roman"/>
          <w:noProof/>
        </w:rPr>
      </w:pPr>
      <w:r>
        <w:rPr>
          <w:noProof/>
        </w:rPr>
        <w:t xml:space="preserve">Syftet med åtgärden är att öka tillväxten i företagsklimatet så att det blir mer konkurrenskraftigt och motståndskraftigt i dagens globala ekonomiska och sociala sammanhang. Reformen ingår i den bredare handlingsplan för digital omställning som Portugal antog i april 2020. </w:t>
      </w:r>
    </w:p>
    <w:p w14:paraId="5F93CFCB" w14:textId="77777777" w:rsidR="00E040FD" w:rsidRDefault="00740D64">
      <w:pPr>
        <w:pStyle w:val="P68B1DB1-Normal4"/>
        <w:spacing w:before="40" w:after="0" w:line="259" w:lineRule="auto"/>
        <w:jc w:val="both"/>
        <w:rPr>
          <w:rFonts w:eastAsiaTheme="minorEastAsia" w:cs="Times New Roman"/>
          <w:noProof/>
        </w:rPr>
      </w:pPr>
      <w:r>
        <w:rPr>
          <w:noProof/>
        </w:rPr>
        <w:t>Denna reform kommer att innefatta följande aspekter:</w:t>
      </w:r>
    </w:p>
    <w:p w14:paraId="449795BB" w14:textId="77777777" w:rsidR="00E040FD" w:rsidRDefault="00740D64">
      <w:pPr>
        <w:pStyle w:val="P68B1DB1-Normal4"/>
        <w:numPr>
          <w:ilvl w:val="0"/>
          <w:numId w:val="32"/>
        </w:numPr>
        <w:spacing w:before="40" w:after="160" w:line="259" w:lineRule="auto"/>
        <w:ind w:left="714" w:hanging="357"/>
        <w:contextualSpacing/>
        <w:jc w:val="both"/>
        <w:rPr>
          <w:rFonts w:eastAsiaTheme="minorEastAsia" w:cs="Times New Roman"/>
          <w:noProof/>
        </w:rPr>
      </w:pPr>
      <w:r>
        <w:rPr>
          <w:noProof/>
        </w:rPr>
        <w:t>Översyn av det formativa innehåll som ingår i den nationella kvalifikationskatalogen, särskilt när det gäller digitala färdigheter för användning i ett yrkesmässigt sammanhang. Denna förnyelse är anpassad till den senaste tekniska utvecklingen och de mest akuta behoven hos företag inom olika ekonomiska sektorer. I detta syfte kan nya utbildningsvägar och korta utbildningskurser göras tillgängliga från och med 2021.</w:t>
      </w:r>
    </w:p>
    <w:p w14:paraId="065811DC" w14:textId="77777777" w:rsidR="00E040FD" w:rsidRDefault="00740D64">
      <w:pPr>
        <w:pStyle w:val="P68B1DB1-Normal4"/>
        <w:numPr>
          <w:ilvl w:val="0"/>
          <w:numId w:val="32"/>
        </w:numPr>
        <w:spacing w:before="40" w:after="160" w:line="259" w:lineRule="auto"/>
        <w:ind w:left="714" w:hanging="357"/>
        <w:contextualSpacing/>
        <w:jc w:val="both"/>
        <w:rPr>
          <w:rFonts w:eastAsiaTheme="minorEastAsia" w:cs="Times New Roman"/>
          <w:noProof/>
        </w:rPr>
      </w:pPr>
      <w:r>
        <w:rPr>
          <w:noProof/>
        </w:rPr>
        <w:t>Fastställa den rättsliga ram och det regelverk som krävs för att skapa digitala stämplar på områdena cybersäkerhet, integritet, hållbarhet och användbarhet. Denna ram och främjandet av digitalt förtroende är en förutsättning för genomförandet av den investering för digitala stämplar som planeras i denna del.</w:t>
      </w:r>
    </w:p>
    <w:p w14:paraId="7BB1E01D" w14:textId="77777777" w:rsidR="00E040FD" w:rsidRDefault="00740D64">
      <w:pPr>
        <w:pStyle w:val="P68B1DB1-Normal4"/>
        <w:spacing w:before="40" w:after="0" w:line="259" w:lineRule="auto"/>
        <w:jc w:val="both"/>
        <w:rPr>
          <w:rFonts w:eastAsiaTheme="minorEastAsia" w:cs="Times New Roman"/>
          <w:noProof/>
        </w:rPr>
      </w:pPr>
      <w:r>
        <w:rPr>
          <w:noProof/>
        </w:rPr>
        <w:t xml:space="preserve">Genomförandet av reformen ska vara slutfört senast den 31 mars 2022. </w:t>
      </w:r>
    </w:p>
    <w:p w14:paraId="71EFA567" w14:textId="77777777" w:rsidR="00E040FD" w:rsidRDefault="00740D64">
      <w:pPr>
        <w:pStyle w:val="P68B1DB1-Normal5"/>
        <w:spacing w:before="240" w:after="0" w:line="259" w:lineRule="auto"/>
        <w:ind w:left="851"/>
        <w:jc w:val="both"/>
        <w:outlineLvl w:val="2"/>
        <w:rPr>
          <w:rFonts w:eastAsiaTheme="minorEastAsia" w:cs="Times New Roman"/>
          <w:noProof/>
        </w:rPr>
      </w:pPr>
      <w:r>
        <w:rPr>
          <w:noProof/>
        </w:rPr>
        <w:t>Investeringar TD-C16-i01: Företagens digitala egenmakt</w:t>
      </w:r>
    </w:p>
    <w:p w14:paraId="11A95DC7" w14:textId="74636A6E" w:rsidR="00E040FD" w:rsidRDefault="00740D64">
      <w:pPr>
        <w:pStyle w:val="P68B1DB1-Normal4"/>
        <w:spacing w:before="40" w:after="0" w:line="259" w:lineRule="auto"/>
        <w:jc w:val="both"/>
        <w:rPr>
          <w:rFonts w:eastAsiaTheme="minorEastAsia" w:cs="Times New Roman"/>
          <w:noProof/>
        </w:rPr>
      </w:pPr>
      <w:r>
        <w:rPr>
          <w:noProof/>
        </w:rPr>
        <w:t>Syftet med åtgärden är att öka de digitala färdigheterna hos befolkningen i arbetsför ålder, inbegripet anställda och chefer, med särskilt fokus på företag inom industri-, handels-, tjänste-, turism- och jordbrukssektorerna, för att öka antalet arbetstagare med digital kompetens och förbättra företagens konkurrenskraft och motståndskraft, och därigenom också bidra till att bevara och skapa arbetstillfällen. Denna investering ska bidra till att öka antalet kvalificerade arbetstillfällen i befintliga företag och främja skapandet av nya företag.</w:t>
      </w:r>
    </w:p>
    <w:p w14:paraId="297F4A6D" w14:textId="77777777" w:rsidR="00E040FD" w:rsidRDefault="00740D64">
      <w:pPr>
        <w:pStyle w:val="P68B1DB1-Normal4"/>
        <w:spacing w:before="40" w:after="0" w:line="259" w:lineRule="auto"/>
        <w:jc w:val="both"/>
        <w:rPr>
          <w:rFonts w:eastAsiaTheme="minorEastAsia" w:cs="Times New Roman"/>
          <w:noProof/>
        </w:rPr>
      </w:pPr>
      <w:r>
        <w:rPr>
          <w:noProof/>
        </w:rPr>
        <w:t>Investeringen ska bestå av två sammanlänkade utbildningsprogram som ska inrättas för att åtgärda brister i de digitala färdigheterna hos arbetstagare (anställda och chefer) och företag. Investeringen förväntas påverka ny politik och bidra till utvecklingen av livslånga yrkesfärdigheter och fortbildningsmetoder. Investeringen förväntas också förbättra företagens förmåga att möta utmaningar och ta vara på de möjligheter som tekniken för med sig. De två åtgärderna är följande:</w:t>
      </w:r>
    </w:p>
    <w:p w14:paraId="1356F4BE" w14:textId="24F6FE3D" w:rsidR="00E040FD" w:rsidRDefault="00740D64">
      <w:pPr>
        <w:pStyle w:val="P68B1DB1-Normal4"/>
        <w:keepNext/>
        <w:numPr>
          <w:ilvl w:val="0"/>
          <w:numId w:val="48"/>
        </w:numPr>
        <w:spacing w:before="40" w:after="160" w:line="259" w:lineRule="auto"/>
        <w:contextualSpacing/>
        <w:jc w:val="both"/>
        <w:rPr>
          <w:rFonts w:eastAsiaTheme="minorEastAsia" w:cs="Times New Roman"/>
          <w:noProof/>
        </w:rPr>
      </w:pPr>
      <w:r>
        <w:rPr>
          <w:noProof/>
        </w:rPr>
        <w:t>Academy Portugal Digital: tillgängligt för hela befolkningen i arbetsför ålder, med målet att uppnå 500 000 diagnoser av digitala färdigheter och 125 000 deltagare på nätet, blandad utbildning och personlig utbildning i digitala färdigheter. Detta inbegriper också inrättandet av 50 särskilda storskaliga öppna nätkurser som ska göras tillgängliga på onlineplattformen.</w:t>
      </w:r>
    </w:p>
    <w:p w14:paraId="09F7D8E5" w14:textId="328442CD" w:rsidR="00E040FD" w:rsidRDefault="00740D64">
      <w:pPr>
        <w:pStyle w:val="P68B1DB1-Normal4"/>
        <w:keepNext/>
        <w:numPr>
          <w:ilvl w:val="0"/>
          <w:numId w:val="48"/>
        </w:numPr>
        <w:spacing w:before="40" w:after="160" w:line="259" w:lineRule="auto"/>
        <w:contextualSpacing/>
        <w:jc w:val="both"/>
        <w:rPr>
          <w:rFonts w:eastAsiaTheme="minorEastAsia" w:cs="Times New Roman"/>
          <w:noProof/>
        </w:rPr>
      </w:pPr>
      <w:r>
        <w:rPr>
          <w:noProof/>
        </w:rPr>
        <w:t>Sysselsättning + Digitalt 2025: målet är att erbjuda 200 000 deltagare en djupare utbildning på nätet, personlig utbildning eller blandad utbildning i digitala färdigheter</w:t>
      </w:r>
    </w:p>
    <w:p w14:paraId="044881B1" w14:textId="77777777" w:rsidR="00E040FD" w:rsidRDefault="00740D64">
      <w:pPr>
        <w:pStyle w:val="P68B1DB1-Normal4"/>
        <w:spacing w:before="40" w:after="0" w:line="259" w:lineRule="auto"/>
        <w:jc w:val="both"/>
        <w:rPr>
          <w:rFonts w:eastAsiaTheme="minorEastAsia" w:cs="Times New Roman"/>
          <w:noProof/>
        </w:rPr>
      </w:pPr>
      <w:r>
        <w:rPr>
          <w:noProof/>
        </w:rPr>
        <w:t>Investeringen ska vara genomförd senast den 31 september 2025.</w:t>
      </w:r>
    </w:p>
    <w:p w14:paraId="6CA41520" w14:textId="77777777" w:rsidR="00E040FD" w:rsidRDefault="00740D64">
      <w:pPr>
        <w:pStyle w:val="P68B1DB1-Normal5"/>
        <w:spacing w:before="240" w:after="0" w:line="259" w:lineRule="auto"/>
        <w:ind w:left="851"/>
        <w:jc w:val="both"/>
        <w:outlineLvl w:val="2"/>
        <w:rPr>
          <w:rFonts w:eastAsiaTheme="minorEastAsia" w:cs="Times New Roman"/>
          <w:noProof/>
        </w:rPr>
      </w:pPr>
      <w:r>
        <w:rPr>
          <w:noProof/>
        </w:rPr>
        <w:t>Investeringar TD-C16-i02: Företagens digitala omställning</w:t>
      </w:r>
    </w:p>
    <w:p w14:paraId="6DCB64CF" w14:textId="77777777" w:rsidR="00E040FD" w:rsidRDefault="00740D64">
      <w:pPr>
        <w:pStyle w:val="P68B1DB1-Normal4"/>
        <w:spacing w:before="40" w:after="0" w:line="259" w:lineRule="auto"/>
        <w:jc w:val="both"/>
        <w:rPr>
          <w:rFonts w:eastAsiaTheme="minorEastAsia" w:cs="Times New Roman"/>
          <w:noProof/>
        </w:rPr>
      </w:pPr>
      <w:r>
        <w:rPr>
          <w:noProof/>
        </w:rPr>
        <w:t xml:space="preserve">Syftet med åtgärden är att bidra till omvandlingen av de portugisiska små och medelstora företagens affärsmodeller och deras digitalisering. Detta är särskilt relevant med tanke på att den portugisiska ekonomin främst domineras av mikroföretag, som är mindre digitalt aktiva än större företag. Genom att involvera små och medelstora företag i digitaliseringen av företag är syftet med investeringen således att omvandla den portugisiska ekonomins affärsmodell och bidra till ökad konkurrenskraft och motståndskraft. </w:t>
      </w:r>
    </w:p>
    <w:p w14:paraId="2EE74087" w14:textId="77777777" w:rsidR="00E040FD" w:rsidRDefault="00740D64">
      <w:pPr>
        <w:pStyle w:val="P68B1DB1-Normal4"/>
        <w:spacing w:before="40" w:after="0" w:line="259" w:lineRule="auto"/>
        <w:jc w:val="both"/>
        <w:rPr>
          <w:rFonts w:eastAsiaTheme="minorEastAsia" w:cs="Times New Roman"/>
          <w:noProof/>
        </w:rPr>
      </w:pPr>
      <w:r>
        <w:rPr>
          <w:noProof/>
        </w:rPr>
        <w:t>Investeringen består av fyra grupper av åtgärder:</w:t>
      </w:r>
    </w:p>
    <w:p w14:paraId="78A34119" w14:textId="7D7B529F" w:rsidR="00E040FD" w:rsidRDefault="00740D64">
      <w:pPr>
        <w:pStyle w:val="P68B1DB1-Normal4"/>
        <w:keepNext/>
        <w:numPr>
          <w:ilvl w:val="0"/>
          <w:numId w:val="33"/>
        </w:numPr>
        <w:spacing w:before="40" w:after="160" w:line="259" w:lineRule="auto"/>
        <w:contextualSpacing/>
        <w:jc w:val="both"/>
        <w:rPr>
          <w:rFonts w:eastAsiaTheme="minorEastAsia" w:cs="Times New Roman"/>
          <w:noProof/>
        </w:rPr>
      </w:pPr>
      <w:r>
        <w:rPr>
          <w:noProof/>
        </w:rPr>
        <w:t>Nationellt nätverk för testbäddar: inrättandet av ett nationellt nätverk av testbäddar syftade till att skapa förutsättningar för företag att utveckla och testa nya produkter och tjänster och påskynda den digitala omvandlingsprocessen, antingen genom fysisk utrustning och testutrustning för infrastruktur eller virtuella/digitala simulatorer. Målet är att inrätta 30 testbäddsinfrastrukturer och testa minst 3 000 pilotprodukter eller pilottjänster.</w:t>
      </w:r>
    </w:p>
    <w:p w14:paraId="2A0555EB" w14:textId="2B9E5CCC" w:rsidR="00E040FD" w:rsidRDefault="00740D64">
      <w:pPr>
        <w:pStyle w:val="P68B1DB1-Normal4"/>
        <w:keepNext/>
        <w:numPr>
          <w:ilvl w:val="0"/>
          <w:numId w:val="33"/>
        </w:numPr>
        <w:spacing w:before="40" w:after="160" w:line="259" w:lineRule="auto"/>
        <w:contextualSpacing/>
        <w:jc w:val="both"/>
        <w:rPr>
          <w:rFonts w:eastAsiaTheme="minorEastAsia" w:cs="Times New Roman"/>
          <w:noProof/>
        </w:rPr>
      </w:pPr>
      <w:r>
        <w:rPr>
          <w:noProof/>
        </w:rPr>
        <w:t>Digital handel: ett program för digitalisering av små och medelstora företag, med fokus på mikroföretag inom den kommersiella sektorn, för att aktivera deras digitala handelskanaler, införliva teknik i affärsmodeller och dematerialisera processer med kunder och leverantörer genom användning av informations- och kommunikationsteknik. Den ska bestå av tre projekt: i) ”Digital Trade accelerators” med inrättandet av 25 lokala, regionala eller sektoriella acceleratorer (enheter som tillhandahåller handledning, mentorskap, finansieringsstöd till nystartade företag och små och medelstora företag för att hjälpa dem att växa) och ett system med ekonomiska incitament för att digitalisera små och medelstora företags affärsmodeller (med målet 25 000 små och medelstora företag). II) ”Digitala handelsområden” som ska stödja digitaliseringen (med lokala e-handels- och leveransplattformar) av 75 köpområden i stadsområden, förorts- eller landsbygdsområden för att främja dessa områden och främja territoriell sammanhållning och den lokala ekonomin. III) Internationalisering via e-handel, för att hjälpa företag att utveckla nya försäljningskanaler utomlands via onlineförsäljning.</w:t>
      </w:r>
    </w:p>
    <w:p w14:paraId="29BDD956" w14:textId="77777777" w:rsidR="00E040FD" w:rsidRDefault="00740D64">
      <w:pPr>
        <w:pStyle w:val="P68B1DB1-Normal4"/>
        <w:keepNext/>
        <w:numPr>
          <w:ilvl w:val="0"/>
          <w:numId w:val="33"/>
        </w:numPr>
        <w:spacing w:before="40" w:after="160" w:line="259" w:lineRule="auto"/>
        <w:contextualSpacing/>
        <w:jc w:val="both"/>
        <w:rPr>
          <w:rFonts w:eastAsiaTheme="minorEastAsia" w:cs="Times New Roman"/>
          <w:noProof/>
        </w:rPr>
      </w:pPr>
      <w:r>
        <w:rPr>
          <w:noProof/>
        </w:rPr>
        <w:t xml:space="preserve">Stöd till den digitala omställningen av företagsmodellerna: Coachning 4.0, ett program för att stödja företag i införandet av avancerad digital teknik. </w:t>
      </w:r>
    </w:p>
    <w:p w14:paraId="73477E39" w14:textId="77777777" w:rsidR="00E040FD" w:rsidRDefault="00740D64">
      <w:pPr>
        <w:pStyle w:val="P68B1DB1-Normal4"/>
        <w:keepNext/>
        <w:numPr>
          <w:ilvl w:val="0"/>
          <w:numId w:val="33"/>
        </w:numPr>
        <w:spacing w:before="40" w:after="160" w:line="259" w:lineRule="auto"/>
        <w:contextualSpacing/>
        <w:jc w:val="both"/>
        <w:rPr>
          <w:rFonts w:eastAsiaTheme="minorEastAsia" w:cs="Times New Roman"/>
          <w:noProof/>
        </w:rPr>
      </w:pPr>
      <w:r>
        <w:rPr>
          <w:noProof/>
        </w:rPr>
        <w:t>Företagaranda: med åtgärder som i) kuponger för uppstartsföretag – nya gröna och digitala produkter (Voucher for Start-ups – New Green and Digital Products) ett kupongprogram som syftar till att stödja nystartade företag som vill utveckla digitala och gröna affärsmodeller, II) ”Stärka den nationella entreprenörsstrukturen – Startup Portugal” med investeringar för att kartlägga förutsättningarna för uppstartsföretag för att identifiera utmaningar och lösningar i samband med agendan för entreprenörskap och genomförandet av respektive handlingsplaner. och iii) ”Startup Incubators/Accelerators vouchers” för att stödja inkubatorer och acceleratorer i deras utveckling, inbegripet införande av ny digital teknik, förbättra de resurser som står till deras förfogande och stärka deras kunskap och kapacitet för att stödja nystartade företag med digitalt baserade affärsmodeller.</w:t>
      </w:r>
    </w:p>
    <w:p w14:paraId="18C24393" w14:textId="77777777" w:rsidR="00E040FD" w:rsidRDefault="00740D64">
      <w:pPr>
        <w:pStyle w:val="P68B1DB1-Normal4"/>
        <w:keepNext/>
        <w:spacing w:before="40" w:after="0" w:line="259" w:lineRule="auto"/>
        <w:jc w:val="both"/>
        <w:rPr>
          <w:rFonts w:eastAsiaTheme="minorEastAsia" w:cs="Times New Roman"/>
          <w:noProof/>
        </w:rPr>
      </w:pPr>
      <w:r>
        <w:rPr>
          <w:noProof/>
        </w:rPr>
        <w:t>För finansieringsinstrument, inom ramen för åtgärden ”acceleratorer för digital handel” som tillhandahåller finansieringsstöd och ekonomiska incitament, för att säkerställa att åtgärden är förenlig med den tekniska vägledningen om att inte orsaka betydande skada (2021/C58/01), ska den rättsliga överenskommelsen mellan de portugisiska myndigheterna och den enhet som anförtrotts uppdraget eller den finansiella intermediär som ansvarar för finansieringsinstrumentet och finansieringsinstrumentets efterföljande investeringspolicy</w:t>
      </w:r>
    </w:p>
    <w:p w14:paraId="6FA72369" w14:textId="77777777" w:rsidR="00E040FD" w:rsidRDefault="00740D64">
      <w:pPr>
        <w:pStyle w:val="P68B1DB1-Normal4"/>
        <w:keepNext/>
        <w:numPr>
          <w:ilvl w:val="0"/>
          <w:numId w:val="33"/>
        </w:numPr>
        <w:spacing w:before="40" w:after="160" w:line="259" w:lineRule="auto"/>
        <w:contextualSpacing/>
        <w:jc w:val="both"/>
        <w:rPr>
          <w:rFonts w:eastAsiaTheme="minorEastAsia" w:cs="Times New Roman"/>
          <w:noProof/>
        </w:rPr>
      </w:pPr>
      <w:r>
        <w:rPr>
          <w:noProof/>
        </w:rPr>
        <w:t>kräva tillämpning av kommissionens tekniska vägledning om hållbarhetssäkring för InvestEU-fonden. och</w:t>
      </w:r>
    </w:p>
    <w:p w14:paraId="7A065825" w14:textId="77777777" w:rsidR="00E040FD" w:rsidRDefault="00740D64">
      <w:pPr>
        <w:pStyle w:val="P68B1DB1-Normal4"/>
        <w:keepNext/>
        <w:numPr>
          <w:ilvl w:val="0"/>
          <w:numId w:val="33"/>
        </w:numPr>
        <w:spacing w:before="40" w:after="160" w:line="259" w:lineRule="auto"/>
        <w:contextualSpacing/>
        <w:jc w:val="both"/>
        <w:rPr>
          <w:rFonts w:eastAsiaTheme="minorEastAsia" w:cs="Times New Roman"/>
          <w:noProof/>
        </w:rPr>
      </w:pPr>
      <w:r>
        <w:rPr>
          <w:noProof/>
        </w:rPr>
        <w:t>undanta följande verksamheter och tillgångar från stödberättigande: i) Verksamheter och tillgångar som rör fossila bränslen, inbegripet användning i senare led</w:t>
      </w:r>
      <w:r>
        <w:rPr>
          <w:noProof/>
        </w:rPr>
        <w:footnoteReference w:id="52"/>
      </w:r>
      <w:r>
        <w:rPr>
          <w:noProof/>
        </w:rPr>
        <w:t>. verksamheter och tillgångar inom ramen för EU:s utsläppshandelssystem som uppnår beräknade växthusgasutsläpp som inte är lägre än de relevanta riktmärkena</w:t>
      </w:r>
      <w:r>
        <w:rPr>
          <w:noProof/>
        </w:rPr>
        <w:footnoteReference w:id="53"/>
      </w:r>
      <w:r>
        <w:rPr>
          <w:noProof/>
        </w:rPr>
        <w:t>. III) Verksamhet och tillgångar i samband med avfallsdeponier, förbränningsanläggningar</w:t>
      </w:r>
      <w:r>
        <w:rPr>
          <w:noProof/>
        </w:rPr>
        <w:footnoteReference w:id="54"/>
      </w:r>
      <w:r>
        <w:rPr>
          <w:noProof/>
        </w:rPr>
        <w:t xml:space="preserve"> och anläggningar för mekanisk biologisk behandling</w:t>
      </w:r>
      <w:r>
        <w:rPr>
          <w:noProof/>
        </w:rPr>
        <w:footnoteReference w:id="55"/>
      </w:r>
      <w:r>
        <w:rPr>
          <w:noProof/>
        </w:rPr>
        <w:t>. och iv) verksamheter och tillgångar där det långsiktiga bortskaffandet av avfall kan skada miljön. och</w:t>
      </w:r>
    </w:p>
    <w:p w14:paraId="6BD38B90" w14:textId="77777777" w:rsidR="00E040FD" w:rsidRDefault="00740D64">
      <w:pPr>
        <w:pStyle w:val="P68B1DB1-Normal4"/>
        <w:keepNext/>
        <w:numPr>
          <w:ilvl w:val="0"/>
          <w:numId w:val="33"/>
        </w:numPr>
        <w:spacing w:before="40" w:after="160" w:line="259" w:lineRule="auto"/>
        <w:contextualSpacing/>
        <w:jc w:val="both"/>
        <w:rPr>
          <w:rFonts w:eastAsiaTheme="minorEastAsia" w:cs="Times New Roman"/>
          <w:noProof/>
        </w:rPr>
      </w:pPr>
      <w:r>
        <w:rPr>
          <w:noProof/>
        </w:rPr>
        <w:t>kräva att den anförtrodda enheten/den finansiella intermediären kontrollerar att projekten följer relevant EU-lagstiftning och nationell miljölagstiftning för alla transaktioner, även de som är undantagna från hållbarhetssäkring.</w:t>
      </w:r>
    </w:p>
    <w:p w14:paraId="2D9DFB3D" w14:textId="77777777" w:rsidR="00E040FD" w:rsidRDefault="00740D64">
      <w:pPr>
        <w:pStyle w:val="P68B1DB1-Normal4"/>
        <w:keepNext/>
        <w:spacing w:before="40" w:after="0" w:line="259" w:lineRule="auto"/>
        <w:jc w:val="both"/>
        <w:rPr>
          <w:rFonts w:eastAsiaTheme="minorEastAsia" w:cs="Times New Roman"/>
          <w:noProof/>
          <w:highlight w:val="green"/>
        </w:rPr>
      </w:pPr>
      <w:r>
        <w:rPr>
          <w:noProof/>
        </w:rPr>
        <w:t>För att säkerställa att åtgärden är förenlig med den tekniska vägledningen om att inte orsaka betydande skada (2021/C58/01) ska kriterierna för stödberättigande i kravspecifikationen för kommande projektansökningsomgångar utesluta följande verksamheter: i) Verksamhet som rör fossila bränslen, inbegripet användning i senare led</w:t>
      </w:r>
      <w:r>
        <w:rPr>
          <w:noProof/>
        </w:rPr>
        <w:footnoteReference w:id="56"/>
      </w:r>
      <w:r>
        <w:rPr>
          <w:noProof/>
        </w:rPr>
        <w:t>. II) Verksamhet inom ramen för EU:s utsläppshandelssystem som uppnår beräknade växthusgasutsläpp som inte är lägre än de relevanta riktmärkena</w:t>
      </w:r>
      <w:r>
        <w:rPr>
          <w:noProof/>
        </w:rPr>
        <w:footnoteReference w:id="57"/>
      </w:r>
      <w:r>
        <w:rPr>
          <w:noProof/>
        </w:rPr>
        <w:t>. III) Verksamhet i samband med avfallsdeponier, förbränningsanläggningar</w:t>
      </w:r>
      <w:r>
        <w:rPr>
          <w:noProof/>
        </w:rPr>
        <w:footnoteReference w:id="58"/>
      </w:r>
      <w:r>
        <w:rPr>
          <w:noProof/>
        </w:rPr>
        <w:t xml:space="preserve"> och anläggningar för mekanisk biologisk behandling</w:t>
      </w:r>
      <w:r>
        <w:rPr>
          <w:noProof/>
        </w:rPr>
        <w:footnoteReference w:id="59"/>
      </w:r>
      <w:r>
        <w:rPr>
          <w:noProof/>
        </w:rPr>
        <w:t>. och iv) verksamheter där långsiktigt bortskaffande av avfall kan skada miljön. Uppdragsbeskrivningen ska dessutom innehålla krav på att endast verksamheter som är förenliga med relevant EU-lagstiftning och nationell miljölagstiftning får väljas ut.</w:t>
      </w:r>
    </w:p>
    <w:p w14:paraId="5BF7FFC2" w14:textId="77777777" w:rsidR="00E040FD" w:rsidRDefault="00740D64">
      <w:pPr>
        <w:pStyle w:val="P68B1DB1-Normal4"/>
        <w:spacing w:before="40" w:after="0" w:line="259" w:lineRule="auto"/>
        <w:jc w:val="both"/>
        <w:rPr>
          <w:rFonts w:eastAsiaTheme="minorEastAsia" w:cs="Times New Roman"/>
          <w:noProof/>
        </w:rPr>
      </w:pPr>
      <w:r>
        <w:rPr>
          <w:noProof/>
        </w:rPr>
        <w:t>Investeringen ska vara genomförd senast den 31 september 2025.</w:t>
      </w:r>
    </w:p>
    <w:p w14:paraId="541BAAE3" w14:textId="77777777" w:rsidR="00E040FD" w:rsidRDefault="00740D64">
      <w:pPr>
        <w:pStyle w:val="P68B1DB1-Normal5"/>
        <w:spacing w:before="240" w:after="0" w:line="259" w:lineRule="auto"/>
        <w:ind w:left="851"/>
        <w:jc w:val="both"/>
        <w:outlineLvl w:val="2"/>
        <w:rPr>
          <w:rFonts w:eastAsiaTheme="minorEastAsia" w:cs="Times New Roman"/>
          <w:noProof/>
        </w:rPr>
      </w:pPr>
      <w:r>
        <w:rPr>
          <w:noProof/>
        </w:rPr>
        <w:t>Investeringar TD-C16-i03: katalysator för företagens digitala omställning</w:t>
      </w:r>
    </w:p>
    <w:p w14:paraId="4477B881" w14:textId="77777777" w:rsidR="00E040FD" w:rsidRDefault="00740D64">
      <w:pPr>
        <w:pStyle w:val="P68B1DB1-Normal4"/>
        <w:spacing w:before="40" w:after="0" w:line="259" w:lineRule="auto"/>
        <w:jc w:val="both"/>
        <w:rPr>
          <w:rFonts w:eastAsiaTheme="minorEastAsia" w:cs="Times New Roman"/>
          <w:noProof/>
        </w:rPr>
      </w:pPr>
      <w:r>
        <w:rPr>
          <w:noProof/>
        </w:rPr>
        <w:t>Syftet med åtgärden är att bidra till den digitala och miljömässiga omställningen av samhället och näringslivet.</w:t>
      </w:r>
    </w:p>
    <w:p w14:paraId="3FEE183C" w14:textId="77777777" w:rsidR="00E040FD" w:rsidRDefault="00740D64">
      <w:pPr>
        <w:pStyle w:val="P68B1DB1-Normal4"/>
        <w:spacing w:before="40" w:after="0" w:line="259" w:lineRule="auto"/>
        <w:jc w:val="both"/>
        <w:rPr>
          <w:rFonts w:eastAsiaTheme="minorEastAsia" w:cs="Times New Roman"/>
          <w:noProof/>
        </w:rPr>
      </w:pPr>
      <w:r>
        <w:rPr>
          <w:noProof/>
        </w:rPr>
        <w:t>Investeringen ska bestå av följande tre åtgärder:</w:t>
      </w:r>
    </w:p>
    <w:p w14:paraId="2C249ACD" w14:textId="77777777" w:rsidR="00E040FD" w:rsidRDefault="00740D64">
      <w:pPr>
        <w:pStyle w:val="P68B1DB1-Normal4"/>
        <w:keepNext/>
        <w:numPr>
          <w:ilvl w:val="0"/>
          <w:numId w:val="34"/>
        </w:numPr>
        <w:spacing w:before="40" w:after="160" w:line="259" w:lineRule="auto"/>
        <w:contextualSpacing/>
        <w:jc w:val="both"/>
        <w:rPr>
          <w:rFonts w:eastAsiaTheme="minorEastAsia" w:cs="Times New Roman"/>
          <w:noProof/>
        </w:rPr>
      </w:pPr>
      <w:r>
        <w:rPr>
          <w:noProof/>
        </w:rPr>
        <w:t>”Dematerialisering av fakturering”, med ett projekt som syftar till att minska pappersanvändningen genom en digital plattform för utsändning av fakturor.</w:t>
      </w:r>
    </w:p>
    <w:p w14:paraId="13537E9F" w14:textId="77777777" w:rsidR="00E040FD" w:rsidRDefault="00740D64">
      <w:pPr>
        <w:pStyle w:val="P68B1DB1-Normal4"/>
        <w:keepNext/>
        <w:numPr>
          <w:ilvl w:val="0"/>
          <w:numId w:val="34"/>
        </w:numPr>
        <w:spacing w:before="40" w:after="160" w:line="259" w:lineRule="auto"/>
        <w:contextualSpacing/>
        <w:jc w:val="both"/>
        <w:rPr>
          <w:rFonts w:eastAsiaTheme="minorEastAsia" w:cs="Times New Roman"/>
          <w:noProof/>
        </w:rPr>
      </w:pPr>
      <w:r>
        <w:rPr>
          <w:noProof/>
        </w:rPr>
        <w:t>Förseglingar för cybersäkerhet, integritet, användbarhet och hållbarhet – en investering i skapa fyra nya stämplar för cybersäkerhet, integritet, användbarhet och hållbarhet. inrättande av plattformar som stöder kommunikationen mellan alla partner och enheter som deltar i processen (samt genererar förfarandeuppgifter som är relevanta för övervakningen av programmet). en kampanj för att sprida initiativet och stärka de organ för bedömning av överensstämmelse eller tekniska bedömningsorgan som stöder certifieringsmärkningen på dessa områden. och</w:t>
      </w:r>
    </w:p>
    <w:p w14:paraId="052D4C91" w14:textId="7B1A0935" w:rsidR="00E040FD" w:rsidRDefault="00740D64">
      <w:pPr>
        <w:pStyle w:val="P68B1DB1-Normal4"/>
        <w:keepNext/>
        <w:numPr>
          <w:ilvl w:val="0"/>
          <w:numId w:val="34"/>
        </w:numPr>
        <w:spacing w:before="40" w:after="160" w:line="259" w:lineRule="auto"/>
        <w:contextualSpacing/>
        <w:jc w:val="both"/>
        <w:rPr>
          <w:rFonts w:eastAsiaTheme="minorEastAsia" w:cs="Times New Roman"/>
          <w:noProof/>
        </w:rPr>
      </w:pPr>
      <w:r>
        <w:rPr>
          <w:noProof/>
        </w:rPr>
        <w:t>Digitala innovationsknutpunkter: en tjänst för att hjälpa företag och offentliga förvaltningsenheter att bli mer konkurrenskraftiga på det digitala området, i syfte att förbättra deras produktionsprocesser genom automatisering eller införlivande av banbrytande teknik. Denna investering ska stärka och komplettera det nätverk som redan håller på att utvecklas inom programmet för ett digitalt Europa för att nå totalt 16 digitala innovationsknutpunkter som är etablerade i Portugal.</w:t>
      </w:r>
    </w:p>
    <w:p w14:paraId="35DF0FFF" w14:textId="77777777" w:rsidR="00E040FD" w:rsidRDefault="00740D64">
      <w:pPr>
        <w:pStyle w:val="P68B1DB1-Normal4"/>
        <w:spacing w:before="40" w:after="0" w:line="259" w:lineRule="auto"/>
        <w:jc w:val="both"/>
        <w:rPr>
          <w:rFonts w:eastAsiaTheme="minorEastAsia" w:cs="Times New Roman"/>
          <w:noProof/>
        </w:rPr>
      </w:pPr>
      <w:r>
        <w:rPr>
          <w:noProof/>
        </w:rPr>
        <w:t>För anbudsförfaranden som rör inrättandet av digitala innovationsknutpunkter och för urvalet av stödmottagare som stöds av de digitala innovationsknutpunkterna ska, för att säkerställa att åtgärden är förenlig med den tekniska vägledningen om att inte orsaka betydande skada (2021/C58/01), de kriterier för stödberättigande som ingår i kravspecifikationen för kommande ansökningsomgångar för projekt utesluta följande verksamheter: i) Verksamhet som rör fossila bränslen, inbegripet användning i senare led</w:t>
      </w:r>
      <w:r>
        <w:rPr>
          <w:noProof/>
        </w:rPr>
        <w:footnoteReference w:id="60"/>
      </w:r>
      <w:r>
        <w:rPr>
          <w:noProof/>
        </w:rPr>
        <w:t>. II) Verksamhet inom ramen för EU:s utsläppshandelssystem som uppnår beräknade växthusgasutsläpp som inte är lägre än de relevanta riktmärkena</w:t>
      </w:r>
      <w:r>
        <w:rPr>
          <w:noProof/>
        </w:rPr>
        <w:footnoteReference w:id="61"/>
      </w:r>
      <w:r>
        <w:rPr>
          <w:noProof/>
        </w:rPr>
        <w:t>. III) Verksamhet i samband med avfallsdeponier, förbränningsanläggningar</w:t>
      </w:r>
      <w:r>
        <w:rPr>
          <w:noProof/>
        </w:rPr>
        <w:footnoteReference w:id="62"/>
      </w:r>
      <w:r>
        <w:rPr>
          <w:noProof/>
        </w:rPr>
        <w:t xml:space="preserve"> och anläggningar för mekanisk biologisk behandling</w:t>
      </w:r>
      <w:r>
        <w:rPr>
          <w:noProof/>
        </w:rPr>
        <w:footnoteReference w:id="63"/>
      </w:r>
      <w:r>
        <w:rPr>
          <w:noProof/>
        </w:rPr>
        <w:t>. och iv) verksamheter där långsiktigt bortskaffande av avfall kan skada miljön. Uppdragsbeskrivningen ska dessutom innehålla krav på att endast verksamheter som är förenliga med relevant EU-lagstiftning och nationell miljölagstiftning får väljas ut.</w:t>
      </w:r>
    </w:p>
    <w:p w14:paraId="0B19FF08" w14:textId="77777777" w:rsidR="00E040FD" w:rsidRDefault="00740D64">
      <w:pPr>
        <w:pStyle w:val="P68B1DB1-Normal4"/>
        <w:spacing w:before="40" w:after="0" w:line="259" w:lineRule="auto"/>
        <w:jc w:val="both"/>
        <w:rPr>
          <w:rFonts w:eastAsiaTheme="minorEastAsia" w:cs="Times New Roman"/>
          <w:noProof/>
        </w:rPr>
      </w:pPr>
      <w:r>
        <w:rPr>
          <w:noProof/>
        </w:rPr>
        <w:t>Investeringen ska vara genomförd senast den 31 december 2025.</w:t>
      </w:r>
    </w:p>
    <w:p w14:paraId="5085FC73" w14:textId="1BD6ADCA" w:rsidR="00E040FD" w:rsidRDefault="00740D64">
      <w:pPr>
        <w:pStyle w:val="P68B1DB1-Normal5"/>
        <w:spacing w:before="240" w:after="0" w:line="259" w:lineRule="auto"/>
        <w:ind w:left="851"/>
        <w:jc w:val="both"/>
        <w:outlineLvl w:val="2"/>
        <w:rPr>
          <w:rFonts w:eastAsiaTheme="minorEastAsia" w:cs="Times New Roman"/>
          <w:noProof/>
        </w:rPr>
      </w:pPr>
      <w:r>
        <w:rPr>
          <w:noProof/>
        </w:rPr>
        <w:t xml:space="preserve">Investeringar TD-C16-i04: </w:t>
      </w:r>
      <w:bookmarkStart w:id="29" w:name="_Toc137472467"/>
      <w:r>
        <w:rPr>
          <w:noProof/>
        </w:rPr>
        <w:t>Industri 4.0</w:t>
      </w:r>
      <w:bookmarkEnd w:id="29"/>
    </w:p>
    <w:p w14:paraId="3F32B16D" w14:textId="77777777" w:rsidR="00E040FD" w:rsidRDefault="00740D64">
      <w:pPr>
        <w:pStyle w:val="P68B1DB1-Normal4"/>
        <w:spacing w:after="0"/>
        <w:jc w:val="both"/>
        <w:rPr>
          <w:rFonts w:cs="Times New Roman"/>
          <w:noProof/>
        </w:rPr>
      </w:pPr>
      <w:r>
        <w:rPr>
          <w:noProof/>
        </w:rPr>
        <w:t xml:space="preserve">Syftet med åtgärderna är att stödja industriell forskning, experimentell utveckling, organisations- och processinnovationsprojekt, att främja företagens digitala omvandling och därmed förbättra deras miljömässiga hållbarhet. </w:t>
      </w:r>
    </w:p>
    <w:p w14:paraId="16CD80C9" w14:textId="77233703" w:rsidR="00E040FD" w:rsidRDefault="00740D64">
      <w:pPr>
        <w:pStyle w:val="P68B1DB1-Normal4"/>
        <w:spacing w:after="0"/>
        <w:jc w:val="both"/>
        <w:rPr>
          <w:rFonts w:cs="Times New Roman"/>
          <w:noProof/>
        </w:rPr>
      </w:pPr>
      <w:r>
        <w:rPr>
          <w:noProof/>
        </w:rPr>
        <w:t>Denna åtgärd ska stödja 200 investeringsprojekt som omfattas av minst ett av följande åtgärdsområden:</w:t>
      </w:r>
    </w:p>
    <w:p w14:paraId="64D25EDB" w14:textId="77777777" w:rsidR="00E040FD" w:rsidRDefault="00740D64">
      <w:pPr>
        <w:pStyle w:val="P68B1DB1-Normal4"/>
        <w:spacing w:after="0"/>
        <w:ind w:left="720"/>
        <w:jc w:val="both"/>
        <w:rPr>
          <w:rFonts w:cs="Times New Roman"/>
          <w:noProof/>
        </w:rPr>
      </w:pPr>
      <w:r>
        <w:rPr>
          <w:noProof/>
        </w:rPr>
        <w:t>1.</w:t>
      </w:r>
      <w:r>
        <w:rPr>
          <w:noProof/>
        </w:rPr>
        <w:tab/>
        <w:t>Digital omställning av driftsprocesser, inbegripet produktions- och logistikförvaltning och planering.</w:t>
      </w:r>
    </w:p>
    <w:p w14:paraId="758DEE78" w14:textId="77777777" w:rsidR="00E040FD" w:rsidRDefault="00740D64">
      <w:pPr>
        <w:pStyle w:val="P68B1DB1-Normal4"/>
        <w:spacing w:after="0"/>
        <w:ind w:left="720"/>
        <w:jc w:val="both"/>
        <w:rPr>
          <w:rFonts w:cs="Times New Roman"/>
          <w:noProof/>
        </w:rPr>
      </w:pPr>
      <w:r>
        <w:rPr>
          <w:noProof/>
        </w:rPr>
        <w:t>2.</w:t>
      </w:r>
      <w:r>
        <w:rPr>
          <w:noProof/>
        </w:rPr>
        <w:tab/>
        <w:t>Lösningar för avancerad datalagring, datahantering och databehandling.</w:t>
      </w:r>
    </w:p>
    <w:p w14:paraId="6102558C" w14:textId="77777777" w:rsidR="00E040FD" w:rsidRDefault="00740D64">
      <w:pPr>
        <w:pStyle w:val="P68B1DB1-Normal4"/>
        <w:spacing w:after="0"/>
        <w:ind w:left="720"/>
        <w:jc w:val="both"/>
        <w:rPr>
          <w:rFonts w:cs="Times New Roman"/>
          <w:noProof/>
        </w:rPr>
      </w:pPr>
      <w:r>
        <w:rPr>
          <w:noProof/>
        </w:rPr>
        <w:t>3.</w:t>
      </w:r>
      <w:r>
        <w:rPr>
          <w:noProof/>
        </w:rPr>
        <w:tab/>
        <w:t>AI-lösningar som tillämpas på produktionsprocessen.</w:t>
      </w:r>
    </w:p>
    <w:p w14:paraId="3198C1B0" w14:textId="729CD56A" w:rsidR="00E040FD" w:rsidRDefault="00740D64">
      <w:pPr>
        <w:spacing w:after="0"/>
        <w:ind w:left="720"/>
        <w:jc w:val="both"/>
        <w:rPr>
          <w:rFonts w:ascii="Times New Roman" w:hAnsi="Times New Roman" w:cs="Times New Roman"/>
          <w:noProof/>
          <w:sz w:val="24"/>
        </w:rPr>
      </w:pPr>
      <w:r>
        <w:rPr>
          <w:rFonts w:ascii="Times New Roman" w:hAnsi="Times New Roman"/>
          <w:noProof/>
          <w:sz w:val="24"/>
        </w:rPr>
        <w:t>4.</w:t>
      </w:r>
      <w:r>
        <w:rPr>
          <w:noProof/>
        </w:rPr>
        <w:tab/>
      </w:r>
      <w:r>
        <w:rPr>
          <w:rFonts w:ascii="Times New Roman" w:hAnsi="Times New Roman"/>
          <w:noProof/>
          <w:sz w:val="24"/>
        </w:rPr>
        <w:t>Digitala representationer och virtuell modellering (digitala tvillingar), simulering och industriell modellering.</w:t>
      </w:r>
    </w:p>
    <w:p w14:paraId="4C4B5102" w14:textId="77777777" w:rsidR="00E040FD" w:rsidRDefault="00740D64">
      <w:pPr>
        <w:pStyle w:val="P68B1DB1-Normal4"/>
        <w:spacing w:after="0"/>
        <w:ind w:left="720"/>
        <w:jc w:val="both"/>
        <w:rPr>
          <w:rFonts w:cs="Times New Roman"/>
          <w:noProof/>
        </w:rPr>
      </w:pPr>
      <w:r>
        <w:rPr>
          <w:noProof/>
        </w:rPr>
        <w:t>5.</w:t>
      </w:r>
      <w:r>
        <w:rPr>
          <w:noProof/>
        </w:rPr>
        <w:tab/>
        <w:t>Skiss och additiv tillverkning.</w:t>
      </w:r>
    </w:p>
    <w:p w14:paraId="006F8BED" w14:textId="77777777" w:rsidR="00E040FD" w:rsidRDefault="00740D64">
      <w:pPr>
        <w:pStyle w:val="P68B1DB1-Normal4"/>
        <w:spacing w:after="0"/>
        <w:ind w:left="720"/>
        <w:jc w:val="both"/>
        <w:rPr>
          <w:rFonts w:cs="Times New Roman"/>
          <w:noProof/>
        </w:rPr>
      </w:pPr>
      <w:r>
        <w:rPr>
          <w:noProof/>
        </w:rPr>
        <w:t>6.</w:t>
      </w:r>
      <w:r>
        <w:rPr>
          <w:noProof/>
        </w:rPr>
        <w:tab/>
        <w:t>Projekt för förstärkt verklighet, virtuell verklighet och artificiell vision som tillämpas på processer.</w:t>
      </w:r>
    </w:p>
    <w:p w14:paraId="5257C08A" w14:textId="77777777" w:rsidR="00E040FD" w:rsidRDefault="00740D64">
      <w:pPr>
        <w:pStyle w:val="P68B1DB1-Normal4"/>
        <w:spacing w:after="0"/>
        <w:ind w:left="720"/>
        <w:jc w:val="both"/>
        <w:rPr>
          <w:rFonts w:cs="Times New Roman"/>
          <w:noProof/>
        </w:rPr>
      </w:pPr>
      <w:r>
        <w:rPr>
          <w:noProof/>
        </w:rPr>
        <w:t>7.</w:t>
      </w:r>
      <w:r>
        <w:rPr>
          <w:noProof/>
        </w:rPr>
        <w:tab/>
        <w:t>Samarbetsinriktad och kognitiv robotteknik, gränssnitt mellan människa och maskin och cyberfysik.</w:t>
      </w:r>
    </w:p>
    <w:p w14:paraId="0B8245E1" w14:textId="26E5916E" w:rsidR="00E040FD" w:rsidRDefault="00740D64">
      <w:pPr>
        <w:spacing w:after="0"/>
        <w:ind w:left="720"/>
        <w:jc w:val="both"/>
        <w:rPr>
          <w:rFonts w:ascii="Times New Roman" w:hAnsi="Times New Roman" w:cs="Times New Roman"/>
          <w:noProof/>
          <w:sz w:val="24"/>
        </w:rPr>
      </w:pPr>
      <w:r>
        <w:rPr>
          <w:rFonts w:ascii="Times New Roman" w:hAnsi="Times New Roman"/>
          <w:noProof/>
          <w:sz w:val="24"/>
        </w:rPr>
        <w:t>8.</w:t>
      </w:r>
      <w:r>
        <w:rPr>
          <w:noProof/>
        </w:rPr>
        <w:tab/>
      </w:r>
      <w:r>
        <w:rPr>
          <w:rFonts w:ascii="Times New Roman" w:hAnsi="Times New Roman"/>
          <w:noProof/>
          <w:sz w:val="24"/>
        </w:rPr>
        <w:t>Sensor- och avancerad elektronik, sakernas internet, moln- och edge lösningar.</w:t>
      </w:r>
    </w:p>
    <w:p w14:paraId="1FBF7C37" w14:textId="77777777" w:rsidR="00E040FD" w:rsidRDefault="00740D64">
      <w:pPr>
        <w:pStyle w:val="P68B1DB1-Normal4"/>
        <w:spacing w:after="0"/>
        <w:ind w:left="720"/>
        <w:jc w:val="both"/>
        <w:rPr>
          <w:rFonts w:cs="Times New Roman"/>
          <w:noProof/>
        </w:rPr>
      </w:pPr>
      <w:r>
        <w:rPr>
          <w:noProof/>
        </w:rPr>
        <w:t>9.</w:t>
      </w:r>
      <w:r>
        <w:rPr>
          <w:noProof/>
        </w:rPr>
        <w:tab/>
        <w:t>Nätverks-, kommunikations- och avancerade datorinfrastrukturer kopplade till processer.</w:t>
      </w:r>
    </w:p>
    <w:p w14:paraId="100D1BA8" w14:textId="77777777" w:rsidR="00E040FD" w:rsidRDefault="00740D64">
      <w:pPr>
        <w:pStyle w:val="P68B1DB1-Normal4"/>
        <w:spacing w:after="0"/>
        <w:ind w:left="720"/>
        <w:jc w:val="both"/>
        <w:rPr>
          <w:rFonts w:cs="Times New Roman"/>
          <w:noProof/>
        </w:rPr>
      </w:pPr>
      <w:r>
        <w:rPr>
          <w:noProof/>
        </w:rPr>
        <w:t>10.</w:t>
      </w:r>
      <w:r>
        <w:rPr>
          <w:noProof/>
        </w:rPr>
        <w:tab/>
        <w:t>Innovativ programvara, systemens driftskompatibilitet.</w:t>
      </w:r>
    </w:p>
    <w:p w14:paraId="61EAAF0E" w14:textId="09B532F8" w:rsidR="00E040FD" w:rsidRDefault="00740D64">
      <w:pPr>
        <w:pStyle w:val="P68B1DB1-Normal4"/>
        <w:spacing w:after="0"/>
        <w:jc w:val="both"/>
        <w:rPr>
          <w:rFonts w:cs="Times New Roman"/>
          <w:noProof/>
        </w:rPr>
      </w:pPr>
      <w:r>
        <w:rPr>
          <w:noProof/>
        </w:rPr>
        <w:t>För att säkerställa att åtgärden är förenlig med den tekniska vägledningen om att inte orsaka betydande skada (2021/C58/01) ska kriterierna för stödberättigande i kravspecifikationen för kommande projektansökningsomgångar utesluta följande verksamheter: i) Verksamhet som rör fossila bränslen, inbegripet användning i senare led</w:t>
      </w:r>
      <w:r>
        <w:rPr>
          <w:noProof/>
        </w:rPr>
        <w:footnoteReference w:id="64"/>
      </w:r>
      <w:r>
        <w:rPr>
          <w:noProof/>
        </w:rPr>
        <w:t>. II) Verksamhet inom ramen för EU:s utsläppshandelssystem som uppnår beräknade växthusgasutsläpp som inte är lägre än de relevanta riktmärkena</w:t>
      </w:r>
      <w:r>
        <w:rPr>
          <w:noProof/>
        </w:rPr>
        <w:footnoteReference w:id="65"/>
      </w:r>
      <w:r>
        <w:rPr>
          <w:noProof/>
        </w:rPr>
        <w:t>. III) Verksamhet i samband med avfallsdeponier, förbränningsanläggningar</w:t>
      </w:r>
      <w:r>
        <w:rPr>
          <w:noProof/>
        </w:rPr>
        <w:footnoteReference w:id="66"/>
      </w:r>
      <w:r>
        <w:rPr>
          <w:noProof/>
        </w:rPr>
        <w:t xml:space="preserve"> och anläggningar för mekanisk biologisk behandling</w:t>
      </w:r>
      <w:r>
        <w:rPr>
          <w:noProof/>
        </w:rPr>
        <w:footnoteReference w:id="67"/>
      </w:r>
      <w:r>
        <w:rPr>
          <w:noProof/>
        </w:rPr>
        <w:t>. Uppdragsbeskrivningen ska dessutom innehålla krav på att endast verksamheter som är förenliga med relevant EU-lagstiftning och nationell miljölagstiftning får väljas ut.</w:t>
      </w:r>
    </w:p>
    <w:p w14:paraId="6102D899" w14:textId="33A71017" w:rsidR="00E040FD" w:rsidRDefault="00740D64">
      <w:pPr>
        <w:pStyle w:val="P68B1DB1-Normal4"/>
        <w:jc w:val="both"/>
        <w:rPr>
          <w:rFonts w:cs="Times New Roman"/>
          <w:noProof/>
        </w:rPr>
      </w:pPr>
      <w:r>
        <w:rPr>
          <w:noProof/>
        </w:rPr>
        <w:t>Investeringen ska vara genomförd senast den 31 december 2025.</w:t>
      </w:r>
    </w:p>
    <w:p w14:paraId="0DED3033" w14:textId="15D5D742" w:rsidR="00E040FD" w:rsidRDefault="00740D64">
      <w:pPr>
        <w:pStyle w:val="P68B1DB1-Heading214"/>
        <w:spacing w:before="240"/>
        <w:rPr>
          <w:noProof/>
        </w:rPr>
      </w:pPr>
      <w:bookmarkStart w:id="30" w:name="_Toc137472468"/>
      <w:r>
        <w:rPr>
          <w:noProof/>
        </w:rPr>
        <w:t>Investeringar TD-C16-i05-RAA: Digital kapacitet och företagsomvandling på Azorerna</w:t>
      </w:r>
      <w:bookmarkEnd w:id="30"/>
    </w:p>
    <w:p w14:paraId="5F5ED56A" w14:textId="77777777" w:rsidR="00E040FD" w:rsidRDefault="00740D64">
      <w:pPr>
        <w:pStyle w:val="P68B1DB1-Normal4"/>
        <w:spacing w:before="40" w:after="0" w:line="22" w:lineRule="atLeast"/>
        <w:jc w:val="both"/>
        <w:rPr>
          <w:rFonts w:cs="Times New Roman"/>
          <w:noProof/>
        </w:rPr>
      </w:pPr>
      <w:r>
        <w:rPr>
          <w:noProof/>
        </w:rPr>
        <w:t>Syftet med åtgärden är att finansiera inrättandet av ett incitamentsystem för digital omställning för företag på Azorerna samt dator- och nätverksutrustning och utbyggnad av Azorernas vetenskaps- och teknikparker.</w:t>
      </w:r>
    </w:p>
    <w:p w14:paraId="542E28E3" w14:textId="77777777" w:rsidR="00E040FD" w:rsidRDefault="00740D64">
      <w:pPr>
        <w:pStyle w:val="P68B1DB1-Normal4"/>
        <w:spacing w:before="40" w:after="0" w:line="22" w:lineRule="atLeast"/>
        <w:jc w:val="both"/>
        <w:rPr>
          <w:rFonts w:cs="Times New Roman"/>
          <w:noProof/>
        </w:rPr>
      </w:pPr>
      <w:r>
        <w:rPr>
          <w:noProof/>
        </w:rPr>
        <w:t>Incitamentssystemet för företagens digitala omställning syftar till att hjälpa regionala företag att anpassa och integrera digital teknik, med åtgärder inriktade på bland annat förvaltning, e-handel, automatiseringsverktyg, stärkt cybersäkerhet, artificiell intelligens och sakernas internet.</w:t>
      </w:r>
    </w:p>
    <w:p w14:paraId="09E35D17" w14:textId="77777777" w:rsidR="00E040FD" w:rsidRDefault="00740D64">
      <w:pPr>
        <w:pStyle w:val="P68B1DB1-Normal4"/>
        <w:spacing w:before="40" w:after="0" w:line="22" w:lineRule="atLeast"/>
        <w:jc w:val="both"/>
        <w:rPr>
          <w:rFonts w:cs="Times New Roman"/>
          <w:noProof/>
        </w:rPr>
      </w:pPr>
      <w:r>
        <w:rPr>
          <w:noProof/>
        </w:rPr>
        <w:t>Investeringen i vetenskaps- och teknikparker på Azorerna (Nonagon och Terinov) syftar till att stödja de logistiska och tekniska villkoren i regionens entreprenörsekosystem. Denna investering syftar till att bidra till utvecklingen av den teknikbaserade ekonomin i strategiska sektorer, möjliggöra know-how och förbättra kvaliteten och tillförlitligheten hos de tjänster som tillhandahålls av dessa parker.</w:t>
      </w:r>
    </w:p>
    <w:p w14:paraId="5A449590" w14:textId="77777777" w:rsidR="00E040FD" w:rsidRDefault="00740D64">
      <w:pPr>
        <w:pStyle w:val="P68B1DB1-Normal4"/>
        <w:spacing w:before="40" w:after="0" w:line="22" w:lineRule="atLeast"/>
        <w:jc w:val="both"/>
        <w:rPr>
          <w:rFonts w:cs="Times New Roman"/>
          <w:noProof/>
        </w:rPr>
      </w:pPr>
      <w:r>
        <w:rPr>
          <w:noProof/>
        </w:rPr>
        <w:t>Incitamentsystemet för den digitala omställningen för företag är uppbyggt kring 3 handlingslinjer, och stödberättigande projekt ska bidra till minst ett av dem:</w:t>
      </w:r>
    </w:p>
    <w:p w14:paraId="142AA256" w14:textId="77777777" w:rsidR="00E040FD" w:rsidRDefault="00740D64">
      <w:pPr>
        <w:pStyle w:val="ListParagraph"/>
        <w:keepNext w:val="0"/>
        <w:numPr>
          <w:ilvl w:val="0"/>
          <w:numId w:val="74"/>
        </w:numPr>
        <w:spacing w:before="40" w:after="0" w:line="22" w:lineRule="atLeast"/>
        <w:rPr>
          <w:noProof/>
        </w:rPr>
      </w:pPr>
      <w:r>
        <w:rPr>
          <w:noProof/>
        </w:rPr>
        <w:t>Handlingslinje 1 – Att stödja regionala företag när det gäller att anpassa och integrera digital teknik som ökar konkurrenskraften, förbättrar produktiviteten, främjar innovation och minskar kostnaderna för affärsprocesser.</w:t>
      </w:r>
    </w:p>
    <w:p w14:paraId="42A27BBC" w14:textId="77777777" w:rsidR="00E040FD" w:rsidRDefault="00740D64">
      <w:pPr>
        <w:pStyle w:val="ListParagraph"/>
        <w:keepNext w:val="0"/>
        <w:numPr>
          <w:ilvl w:val="0"/>
          <w:numId w:val="74"/>
        </w:numPr>
        <w:spacing w:before="40" w:after="0" w:line="22" w:lineRule="atLeast"/>
        <w:rPr>
          <w:noProof/>
        </w:rPr>
      </w:pPr>
      <w:r>
        <w:rPr>
          <w:noProof/>
        </w:rPr>
        <w:t>Handlingslinje 2 – Att ge Azorerna möjlighet att använda specialiserade rådgivningstjänster för att genomföra påskyndande av affärsprocesser och cybersäkerhetsmetoder.</w:t>
      </w:r>
    </w:p>
    <w:p w14:paraId="6E71A181" w14:textId="77777777" w:rsidR="00E040FD" w:rsidRDefault="00740D64">
      <w:pPr>
        <w:pStyle w:val="ListParagraph"/>
        <w:keepNext w:val="0"/>
        <w:numPr>
          <w:ilvl w:val="0"/>
          <w:numId w:val="74"/>
        </w:numPr>
        <w:spacing w:before="40" w:after="0" w:line="22" w:lineRule="atLeast"/>
        <w:rPr>
          <w:noProof/>
        </w:rPr>
      </w:pPr>
      <w:r>
        <w:rPr>
          <w:noProof/>
        </w:rPr>
        <w:t>Handlingslinje 3 – att stödja offentliga eller privata enheters anordnande av tematiska evenemang för att främja synergier mellan företag i Azorerna genom utbyte av tekniska lösningar, verktyg, metoder och bästa praxis.</w:t>
      </w:r>
    </w:p>
    <w:p w14:paraId="184DB346" w14:textId="77777777" w:rsidR="00E040FD" w:rsidRDefault="00740D64">
      <w:pPr>
        <w:pStyle w:val="P68B1DB1-Normal4"/>
        <w:spacing w:before="40" w:after="0" w:line="22" w:lineRule="atLeast"/>
        <w:jc w:val="both"/>
        <w:rPr>
          <w:rFonts w:cs="Times New Roman"/>
          <w:noProof/>
        </w:rPr>
      </w:pPr>
      <w:r>
        <w:rPr>
          <w:noProof/>
        </w:rPr>
        <w:t>Investeringen i vetenskaps- och teknikparker ska tillhandahålla nya nätverks- och datorinfrastrukturtillgångar (hårdvara) i vetenskaps- och teknikparken Nonangon och uppförandet av en ny energieffektiv byggnad i Terinov Science and Technology Park.</w:t>
      </w:r>
    </w:p>
    <w:p w14:paraId="63A80828" w14:textId="089A50CF" w:rsidR="00E040FD" w:rsidRDefault="00740D64">
      <w:pPr>
        <w:pStyle w:val="P68B1DB1-Normal4"/>
        <w:spacing w:before="40" w:after="0" w:line="22" w:lineRule="atLeast"/>
        <w:jc w:val="both"/>
        <w:rPr>
          <w:rFonts w:cs="Times New Roman"/>
          <w:noProof/>
        </w:rPr>
      </w:pPr>
      <w:r>
        <w:rPr>
          <w:noProof/>
        </w:rPr>
        <w:t>För att säkerställa att åtgärden är förenlig med den tekniska vägledningen om att inte orsaka betydande skada (2021/C58/01) ska kriterierna för stödberättigande i kravspecifikationen för kommande projektansökningsomgångar utesluta följande verksamheter: i) Verksamhet som rör fossila bränslen, inbegripet användning i senare led</w:t>
      </w:r>
      <w:r>
        <w:rPr>
          <w:noProof/>
        </w:rPr>
        <w:footnoteReference w:id="68"/>
      </w:r>
      <w:r>
        <w:rPr>
          <w:noProof/>
        </w:rPr>
        <w:t>. II) Verksamhet inom ramen för EU:s utsläppshandelssystem som uppnår beräknade växthusgasutsläpp som inte är lägre än de relevanta riktmärkena</w:t>
      </w:r>
      <w:r>
        <w:rPr>
          <w:noProof/>
        </w:rPr>
        <w:footnoteReference w:id="69"/>
      </w:r>
      <w:r>
        <w:rPr>
          <w:noProof/>
        </w:rPr>
        <w:t>. III) Verksamhet i samband med avfallsdeponier, förbränningsanläggningar</w:t>
      </w:r>
      <w:r>
        <w:rPr>
          <w:noProof/>
        </w:rPr>
        <w:footnoteReference w:id="70"/>
      </w:r>
      <w:r>
        <w:rPr>
          <w:noProof/>
        </w:rPr>
        <w:t xml:space="preserve"> och anläggningar för mekanisk biologisk behandling</w:t>
      </w:r>
      <w:r>
        <w:rPr>
          <w:noProof/>
        </w:rPr>
        <w:footnoteReference w:id="71"/>
      </w:r>
      <w:r>
        <w:rPr>
          <w:noProof/>
        </w:rPr>
        <w:t>. Uppdragsbeskrivningen ska dessutom innehålla krav på att endast verksamheter som är förenliga med relevant EU-lagstiftning och nationell miljölagstiftning får väljas ut.</w:t>
      </w:r>
    </w:p>
    <w:p w14:paraId="05CDA0AA" w14:textId="77777777" w:rsidR="00E040FD" w:rsidRDefault="00740D64">
      <w:pPr>
        <w:pStyle w:val="P68B1DB1-Normal4"/>
        <w:spacing w:before="40" w:after="0" w:line="22" w:lineRule="atLeast"/>
        <w:jc w:val="both"/>
        <w:rPr>
          <w:rFonts w:cs="Times New Roman"/>
          <w:noProof/>
          <w:highlight w:val="green"/>
        </w:rPr>
      </w:pPr>
      <w:r>
        <w:rPr>
          <w:noProof/>
        </w:rPr>
        <w:t>Nya byggnader ska ha ett primärenergibehov som är minst 20 % lägre än kraven för nära-nollenergibyggnader. Energieffektivitetsrenoveringar ska i genomsnitt leda till en renovering av minst medelstor omfattning enligt definitionen i kommissionens rekommendation om byggnadsrenovering (EU) 2019/786.</w:t>
      </w:r>
    </w:p>
    <w:p w14:paraId="61377CD4" w14:textId="77777777" w:rsidR="00E040FD" w:rsidRDefault="00740D64">
      <w:pPr>
        <w:pStyle w:val="P68B1DB1-Normal4"/>
        <w:spacing w:before="40" w:after="0" w:line="22" w:lineRule="atLeast"/>
        <w:jc w:val="both"/>
        <w:rPr>
          <w:rFonts w:cs="Times New Roman"/>
          <w:noProof/>
        </w:rPr>
      </w:pPr>
      <w:r>
        <w:rPr>
          <w:noProof/>
        </w:rPr>
        <w:t>Investeringen ska vara genomförd senast den 31 augusti 2026.</w:t>
      </w:r>
    </w:p>
    <w:p w14:paraId="28BCB725" w14:textId="47AFAD48" w:rsidR="00E040FD" w:rsidRDefault="00740D64">
      <w:pPr>
        <w:pStyle w:val="P68B1DB1-Heading214"/>
        <w:spacing w:before="240"/>
        <w:rPr>
          <w:noProof/>
        </w:rPr>
      </w:pPr>
      <w:bookmarkStart w:id="31" w:name="_Toc137472469"/>
      <w:r>
        <w:rPr>
          <w:noProof/>
        </w:rPr>
        <w:t>Investeringar TD-C16-i06-RAM: Näringsliv 4.0</w:t>
      </w:r>
      <w:bookmarkEnd w:id="31"/>
    </w:p>
    <w:p w14:paraId="6ACAD005" w14:textId="77777777" w:rsidR="00E040FD" w:rsidRDefault="00740D64">
      <w:pPr>
        <w:pStyle w:val="P68B1DB1-Normal4"/>
        <w:spacing w:before="40" w:after="0" w:line="22" w:lineRule="atLeast"/>
        <w:jc w:val="both"/>
        <w:rPr>
          <w:rFonts w:cs="Times New Roman"/>
          <w:noProof/>
        </w:rPr>
      </w:pPr>
      <w:r>
        <w:rPr>
          <w:noProof/>
        </w:rPr>
        <w:t xml:space="preserve">Syftet med åtgärden är att bidra till omvandlingen av affärsmodellerna för små och medelstora företag i den autonoma regionen Madeira, i syfte att göra den mer digital, konkurrenskraftig och motståndskraftig. </w:t>
      </w:r>
    </w:p>
    <w:p w14:paraId="019B37E5" w14:textId="77777777" w:rsidR="00E040FD" w:rsidRDefault="00740D64">
      <w:pPr>
        <w:pStyle w:val="P68B1DB1-Normal4"/>
        <w:spacing w:before="40" w:after="0" w:line="22" w:lineRule="atLeast"/>
        <w:jc w:val="both"/>
        <w:rPr>
          <w:rFonts w:cs="Times New Roman"/>
          <w:noProof/>
        </w:rPr>
      </w:pPr>
      <w:r>
        <w:rPr>
          <w:noProof/>
        </w:rPr>
        <w:t>Åtgärden ska stödja investeringar på följande två områden:</w:t>
      </w:r>
    </w:p>
    <w:p w14:paraId="3ABC0B35" w14:textId="77777777" w:rsidR="00E040FD" w:rsidRDefault="00740D64">
      <w:pPr>
        <w:pStyle w:val="ListParagraph"/>
        <w:keepNext w:val="0"/>
        <w:numPr>
          <w:ilvl w:val="0"/>
          <w:numId w:val="74"/>
        </w:numPr>
        <w:spacing w:before="40" w:after="0" w:line="22" w:lineRule="atLeast"/>
        <w:rPr>
          <w:noProof/>
        </w:rPr>
      </w:pPr>
      <w:r>
        <w:rPr>
          <w:noProof/>
        </w:rPr>
        <w:t>Materiella tillgångar, inbegripet förvärv av maskiner och utrustning som är direkt kopplade till investeringen i den digitala omställningen samt förvärv av it-utrustning, inklusive den programvara som krävs för dess drift, med direkt anknytning till utvecklingen av projektet.</w:t>
      </w:r>
    </w:p>
    <w:p w14:paraId="5B06C0E0" w14:textId="77777777" w:rsidR="00E040FD" w:rsidRDefault="00740D64">
      <w:pPr>
        <w:pStyle w:val="ListParagraph"/>
        <w:keepNext w:val="0"/>
        <w:numPr>
          <w:ilvl w:val="0"/>
          <w:numId w:val="74"/>
        </w:numPr>
        <w:spacing w:before="40" w:after="0" w:line="22" w:lineRule="atLeast"/>
        <w:rPr>
          <w:noProof/>
        </w:rPr>
      </w:pPr>
      <w:r>
        <w:rPr>
          <w:noProof/>
        </w:rPr>
        <w:t>Immateriella tillgångar, inbegripet tekniköverföring genom förvärv av patenträttigheter och standardiserad eller särskilt utvecklad programvara.</w:t>
      </w:r>
    </w:p>
    <w:p w14:paraId="1727DD62" w14:textId="0C896F62" w:rsidR="00E040FD" w:rsidRDefault="00740D64">
      <w:pPr>
        <w:pStyle w:val="P68B1DB1-Normal4"/>
        <w:spacing w:before="40" w:after="0" w:line="22" w:lineRule="atLeast"/>
        <w:jc w:val="both"/>
        <w:rPr>
          <w:rFonts w:cs="Times New Roman"/>
          <w:noProof/>
        </w:rPr>
      </w:pPr>
      <w:r>
        <w:rPr>
          <w:noProof/>
        </w:rPr>
        <w:t>För att säkerställa att åtgärden är förenlig med den tekniska vägledningen om att inte orsaka betydande skada (2021/C58/01) ska kriterierna för stödberättigande i kravspecifikationen för kommande projektansökningsomgångar utesluta följande verksamheter: i) Verksamhet som rör fossila bränslen, inbegripet användning i senare led</w:t>
      </w:r>
      <w:r>
        <w:rPr>
          <w:noProof/>
        </w:rPr>
        <w:footnoteReference w:id="72"/>
      </w:r>
      <w:r>
        <w:rPr>
          <w:noProof/>
        </w:rPr>
        <w:t>. II) Verksamhet inom ramen för EU:s utsläppshandelssystem som uppnår beräknade växthusgasutsläpp som inte är lägre än de relevanta riktmärkena</w:t>
      </w:r>
      <w:r>
        <w:rPr>
          <w:noProof/>
        </w:rPr>
        <w:footnoteReference w:id="73"/>
      </w:r>
      <w:r>
        <w:rPr>
          <w:noProof/>
        </w:rPr>
        <w:t>. III) Verksamhet i samband med avfallsdeponier, förbränningsanläggningar</w:t>
      </w:r>
      <w:r>
        <w:rPr>
          <w:noProof/>
        </w:rPr>
        <w:footnoteReference w:id="74"/>
      </w:r>
      <w:r>
        <w:rPr>
          <w:noProof/>
        </w:rPr>
        <w:t xml:space="preserve"> och anläggningar för mekanisk biologisk behandling</w:t>
      </w:r>
      <w:r>
        <w:rPr>
          <w:noProof/>
        </w:rPr>
        <w:footnoteReference w:id="75"/>
      </w:r>
      <w:r>
        <w:rPr>
          <w:noProof/>
        </w:rPr>
        <w:t>. Uppdragsbeskrivningen ska dessutom innehålla krav på att endast verksamheter som är förenliga med relevant EU-lagstiftning och nationell miljölagstiftning får väljas ut.</w:t>
      </w:r>
    </w:p>
    <w:p w14:paraId="048368EF" w14:textId="77777777" w:rsidR="00E040FD" w:rsidRDefault="00740D64">
      <w:pPr>
        <w:pStyle w:val="P68B1DB1-Normal4"/>
        <w:spacing w:before="40" w:after="0" w:line="22" w:lineRule="atLeast"/>
        <w:jc w:val="both"/>
        <w:rPr>
          <w:rFonts w:cs="Times New Roman"/>
          <w:noProof/>
        </w:rPr>
      </w:pPr>
      <w:r>
        <w:rPr>
          <w:noProof/>
        </w:rPr>
        <w:t>Investeringen ska vara genomförd senast den 31 december 2025.</w:t>
      </w:r>
    </w:p>
    <w:p w14:paraId="164509CF" w14:textId="77777777" w:rsidR="00E040FD" w:rsidRDefault="00E040FD">
      <w:pPr>
        <w:spacing w:before="40" w:after="0" w:line="259" w:lineRule="auto"/>
        <w:jc w:val="both"/>
        <w:rPr>
          <w:rFonts w:ascii="Times New Roman" w:eastAsiaTheme="minorEastAsia" w:hAnsi="Times New Roman" w:cs="Times New Roman"/>
          <w:noProof/>
          <w:sz w:val="24"/>
        </w:rPr>
      </w:pPr>
    </w:p>
    <w:p w14:paraId="362ADC30" w14:textId="079570EE" w:rsidR="00E040FD" w:rsidRDefault="00E040FD">
      <w:pPr>
        <w:spacing w:before="40" w:after="0" w:line="259" w:lineRule="auto"/>
        <w:jc w:val="both"/>
        <w:rPr>
          <w:rFonts w:ascii="Times New Roman" w:eastAsiaTheme="minorEastAsia" w:hAnsi="Times New Roman" w:cs="Times New Roman"/>
          <w:noProof/>
          <w:sz w:val="24"/>
        </w:rPr>
        <w:sectPr w:rsidR="00E040FD" w:rsidSect="00E00EDD">
          <w:headerReference w:type="even" r:id="rId306"/>
          <w:headerReference w:type="default" r:id="rId307"/>
          <w:footerReference w:type="even" r:id="rId308"/>
          <w:footerReference w:type="default" r:id="rId309"/>
          <w:headerReference w:type="first" r:id="rId310"/>
          <w:footerReference w:type="first" r:id="rId311"/>
          <w:pgSz w:w="11907" w:h="16839"/>
          <w:pgMar w:top="1134" w:right="1134" w:bottom="1134" w:left="1134" w:header="567" w:footer="567" w:gutter="0"/>
          <w:cols w:space="720"/>
          <w:docGrid w:linePitch="360"/>
        </w:sectPr>
      </w:pPr>
    </w:p>
    <w:p w14:paraId="254DFD7F"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P.2. Delmål, mål, indikatorer och tidsplan för övervakning och genomförande avseende icke återbetalningspliktigt ekonomiskt stöd</w:t>
      </w:r>
    </w:p>
    <w:p w14:paraId="3C02C5BB"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426"/>
        <w:gridCol w:w="708"/>
        <w:gridCol w:w="3969"/>
      </w:tblGrid>
      <w:tr w:rsidR="00E040FD" w14:paraId="7423F777" w14:textId="77777777">
        <w:trPr>
          <w:trHeight w:val="910"/>
          <w:tblHeader/>
        </w:trPr>
        <w:tc>
          <w:tcPr>
            <w:tcW w:w="1135" w:type="dxa"/>
            <w:vMerge w:val="restart"/>
            <w:shd w:val="clear" w:color="auto" w:fill="BDD6EE"/>
            <w:vAlign w:val="center"/>
            <w:hideMark/>
          </w:tcPr>
          <w:p w14:paraId="5168738B"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vAlign w:val="center"/>
            <w:hideMark/>
          </w:tcPr>
          <w:p w14:paraId="2F2588D1"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vAlign w:val="center"/>
            <w:hideMark/>
          </w:tcPr>
          <w:p w14:paraId="29213AC1" w14:textId="77777777" w:rsidR="00E040FD" w:rsidRDefault="00740D64">
            <w:pPr>
              <w:pStyle w:val="P68B1DB1-Normal6"/>
              <w:spacing w:after="0" w:line="240" w:lineRule="auto"/>
              <w:jc w:val="center"/>
              <w:rPr>
                <w:rFonts w:eastAsia="Times New Roman" w:cs="Times New Roman"/>
                <w:noProof/>
              </w:rPr>
            </w:pPr>
            <w:r>
              <w:rPr>
                <w:noProof/>
              </w:rPr>
              <w:t>Milementon/</w:t>
            </w:r>
          </w:p>
          <w:p w14:paraId="4DFE944A" w14:textId="7AD7D494" w:rsidR="00E040FD" w:rsidRDefault="00740D64">
            <w:pPr>
              <w:pStyle w:val="P68B1DB1-Normal6"/>
              <w:spacing w:after="0" w:line="240" w:lineRule="auto"/>
              <w:jc w:val="center"/>
              <w:rPr>
                <w:rFonts w:eastAsia="Times New Roman" w:cs="Times New Roman"/>
                <w:noProof/>
              </w:rPr>
            </w:pPr>
            <w:r>
              <w:rPr>
                <w:noProof/>
              </w:rPr>
              <w:t>Mål</w:t>
            </w:r>
          </w:p>
        </w:tc>
        <w:tc>
          <w:tcPr>
            <w:tcW w:w="1701" w:type="dxa"/>
            <w:vMerge w:val="restart"/>
            <w:shd w:val="clear" w:color="auto" w:fill="BDD6EE"/>
            <w:vAlign w:val="center"/>
            <w:hideMark/>
          </w:tcPr>
          <w:p w14:paraId="3A8BB6F8"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75" w:type="dxa"/>
            <w:vMerge w:val="restart"/>
            <w:shd w:val="clear" w:color="auto" w:fill="BDD6EE"/>
            <w:vAlign w:val="center"/>
            <w:hideMark/>
          </w:tcPr>
          <w:p w14:paraId="1CF72B00"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835" w:type="dxa"/>
            <w:gridSpan w:val="3"/>
            <w:shd w:val="clear" w:color="auto" w:fill="BDD6EE"/>
            <w:vAlign w:val="center"/>
            <w:hideMark/>
          </w:tcPr>
          <w:p w14:paraId="51396FD9"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134" w:type="dxa"/>
            <w:gridSpan w:val="2"/>
            <w:shd w:val="clear" w:color="auto" w:fill="BDD6EE"/>
            <w:vAlign w:val="center"/>
            <w:hideMark/>
          </w:tcPr>
          <w:p w14:paraId="2384B14C"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3969" w:type="dxa"/>
            <w:vMerge w:val="restart"/>
            <w:shd w:val="clear" w:color="auto" w:fill="BDD6EE"/>
            <w:vAlign w:val="center"/>
            <w:hideMark/>
          </w:tcPr>
          <w:p w14:paraId="349285CE"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18352C4C" w14:textId="77777777">
        <w:trPr>
          <w:trHeight w:val="470"/>
          <w:tblHeader/>
        </w:trPr>
        <w:tc>
          <w:tcPr>
            <w:tcW w:w="1135" w:type="dxa"/>
            <w:vMerge/>
            <w:vAlign w:val="center"/>
            <w:hideMark/>
          </w:tcPr>
          <w:p w14:paraId="22D982F3"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0D815B5A"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shd w:val="clear" w:color="auto" w:fill="BDD6EE"/>
            <w:vAlign w:val="center"/>
            <w:hideMark/>
          </w:tcPr>
          <w:p w14:paraId="369A5294" w14:textId="6750FDB0" w:rsidR="00E040FD" w:rsidRDefault="00E040FD">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95ECB29" w14:textId="77777777" w:rsidR="00E040FD" w:rsidRDefault="00E040FD">
            <w:pPr>
              <w:spacing w:after="0" w:line="240" w:lineRule="auto"/>
              <w:rPr>
                <w:rFonts w:ascii="Times New Roman" w:eastAsia="Times New Roman" w:hAnsi="Times New Roman" w:cs="Times New Roman"/>
                <w:b/>
                <w:noProof/>
                <w:sz w:val="18"/>
              </w:rPr>
            </w:pPr>
          </w:p>
        </w:tc>
        <w:tc>
          <w:tcPr>
            <w:tcW w:w="1275" w:type="dxa"/>
            <w:vMerge/>
            <w:vAlign w:val="center"/>
            <w:hideMark/>
          </w:tcPr>
          <w:p w14:paraId="24A4C41B" w14:textId="77777777" w:rsidR="00E040FD" w:rsidRDefault="00E040FD">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6003FBF9"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vAlign w:val="center"/>
            <w:hideMark/>
          </w:tcPr>
          <w:p w14:paraId="13E67A31"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850" w:type="dxa"/>
            <w:shd w:val="clear" w:color="auto" w:fill="BDD6EE"/>
            <w:vAlign w:val="center"/>
            <w:hideMark/>
          </w:tcPr>
          <w:p w14:paraId="0BEA7183" w14:textId="77777777" w:rsidR="00E040FD" w:rsidRDefault="00740D64">
            <w:pPr>
              <w:pStyle w:val="P68B1DB1-Normal6"/>
              <w:spacing w:after="0" w:line="240" w:lineRule="auto"/>
              <w:jc w:val="center"/>
              <w:rPr>
                <w:rFonts w:eastAsia="Times New Roman" w:cs="Times New Roman"/>
                <w:noProof/>
              </w:rPr>
            </w:pPr>
            <w:r>
              <w:rPr>
                <w:noProof/>
              </w:rPr>
              <w:t>Mål</w:t>
            </w:r>
          </w:p>
        </w:tc>
        <w:tc>
          <w:tcPr>
            <w:tcW w:w="426" w:type="dxa"/>
            <w:shd w:val="clear" w:color="auto" w:fill="BDD6EE"/>
            <w:vAlign w:val="center"/>
            <w:hideMark/>
          </w:tcPr>
          <w:p w14:paraId="3C115B8C"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00F1E31A" w14:textId="77777777" w:rsidR="00E040FD" w:rsidRDefault="00740D64">
            <w:pPr>
              <w:pStyle w:val="P68B1DB1-Normal6"/>
              <w:spacing w:after="0" w:line="240" w:lineRule="auto"/>
              <w:jc w:val="center"/>
              <w:rPr>
                <w:rFonts w:eastAsia="Times New Roman" w:cs="Times New Roman"/>
                <w:noProof/>
              </w:rPr>
            </w:pPr>
            <w:r>
              <w:rPr>
                <w:noProof/>
              </w:rPr>
              <w:t>Året</w:t>
            </w:r>
          </w:p>
        </w:tc>
        <w:tc>
          <w:tcPr>
            <w:tcW w:w="3969" w:type="dxa"/>
            <w:vMerge/>
            <w:vAlign w:val="center"/>
            <w:hideMark/>
          </w:tcPr>
          <w:p w14:paraId="5AA21CBC" w14:textId="77777777" w:rsidR="00E040FD" w:rsidRDefault="00E040FD">
            <w:pPr>
              <w:spacing w:after="0" w:line="240" w:lineRule="auto"/>
              <w:rPr>
                <w:rFonts w:ascii="Times New Roman" w:eastAsia="Times New Roman" w:hAnsi="Times New Roman" w:cs="Times New Roman"/>
                <w:b/>
                <w:noProof/>
                <w:sz w:val="18"/>
              </w:rPr>
            </w:pPr>
          </w:p>
        </w:tc>
      </w:tr>
      <w:tr w:rsidR="00E040FD" w14:paraId="7B1ED792" w14:textId="77777777">
        <w:trPr>
          <w:trHeight w:val="1480"/>
        </w:trPr>
        <w:tc>
          <w:tcPr>
            <w:tcW w:w="1135" w:type="dxa"/>
            <w:shd w:val="clear" w:color="auto" w:fill="C5EFCE"/>
            <w:vAlign w:val="center"/>
            <w:hideMark/>
          </w:tcPr>
          <w:p w14:paraId="4AF10FF0" w14:textId="77777777" w:rsidR="00E040FD" w:rsidRDefault="00740D64">
            <w:pPr>
              <w:pStyle w:val="P68B1DB1-Normal7"/>
              <w:spacing w:after="0" w:line="240" w:lineRule="auto"/>
              <w:jc w:val="center"/>
              <w:rPr>
                <w:rFonts w:eastAsia="Times New Roman" w:cs="Calibri"/>
                <w:noProof/>
              </w:rPr>
            </w:pPr>
            <w:r>
              <w:rPr>
                <w:noProof/>
              </w:rPr>
              <w:t>16.1</w:t>
            </w:r>
          </w:p>
        </w:tc>
        <w:tc>
          <w:tcPr>
            <w:tcW w:w="1276" w:type="dxa"/>
            <w:shd w:val="clear" w:color="auto" w:fill="C4EFCE"/>
            <w:noWrap/>
            <w:vAlign w:val="center"/>
            <w:hideMark/>
          </w:tcPr>
          <w:p w14:paraId="1CFD4A19" w14:textId="77777777" w:rsidR="00E040FD" w:rsidRDefault="00740D64">
            <w:pPr>
              <w:pStyle w:val="P68B1DB1-Normal8"/>
              <w:spacing w:after="0" w:line="240" w:lineRule="auto"/>
              <w:jc w:val="center"/>
              <w:rPr>
                <w:rFonts w:eastAsia="Times New Roman" w:cs="Calibri"/>
                <w:noProof/>
              </w:rPr>
            </w:pPr>
            <w:r>
              <w:rPr>
                <w:noProof/>
              </w:rPr>
              <w:t>TD-C16-r31</w:t>
            </w:r>
          </w:p>
        </w:tc>
        <w:tc>
          <w:tcPr>
            <w:tcW w:w="1134" w:type="dxa"/>
            <w:shd w:val="clear" w:color="auto" w:fill="C4EFCE"/>
            <w:noWrap/>
            <w:vAlign w:val="center"/>
            <w:hideMark/>
          </w:tcPr>
          <w:p w14:paraId="3C1067BD"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C68A283" w14:textId="77777777" w:rsidR="00E040FD" w:rsidRDefault="00740D64">
            <w:pPr>
              <w:pStyle w:val="P68B1DB1-Normal8"/>
              <w:spacing w:after="0" w:line="240" w:lineRule="auto"/>
              <w:jc w:val="center"/>
              <w:rPr>
                <w:rFonts w:eastAsia="Times New Roman" w:cs="Calibri"/>
                <w:noProof/>
              </w:rPr>
            </w:pPr>
            <w:r>
              <w:rPr>
                <w:noProof/>
              </w:rPr>
              <w:t>Ikraftträdande av översynen av utbildningsinnehållet i den nationella kvalifikationskatalogen när det gäller moduler på området digitala färdigheter och lagstiftning eller reglering för skapande av digitala signaturer och stämplar</w:t>
            </w:r>
          </w:p>
        </w:tc>
        <w:tc>
          <w:tcPr>
            <w:tcW w:w="1275" w:type="dxa"/>
            <w:shd w:val="clear" w:color="auto" w:fill="C4EFCE"/>
            <w:noWrap/>
            <w:vAlign w:val="center"/>
            <w:hideMark/>
          </w:tcPr>
          <w:p w14:paraId="352F6829" w14:textId="77777777" w:rsidR="00E040FD" w:rsidRDefault="00740D64">
            <w:pPr>
              <w:pStyle w:val="P68B1DB1-Normal8"/>
              <w:spacing w:after="0" w:line="240" w:lineRule="auto"/>
              <w:jc w:val="center"/>
              <w:rPr>
                <w:rFonts w:eastAsia="Times New Roman" w:cs="Calibri"/>
                <w:noProof/>
              </w:rPr>
            </w:pPr>
            <w:r>
              <w:rPr>
                <w:noProof/>
              </w:rPr>
              <w:t>Ikraftträdande av översynen av utbildningsinnehållet i den nationella kvalifikationskatalogen när det gäller moduler på området digitala färdigheter och lagstiftning eller reglering för skapande av digitala signaturer och stämplar</w:t>
            </w:r>
          </w:p>
        </w:tc>
        <w:tc>
          <w:tcPr>
            <w:tcW w:w="993" w:type="dxa"/>
            <w:shd w:val="clear" w:color="auto" w:fill="C4EFCE"/>
            <w:noWrap/>
            <w:vAlign w:val="center"/>
            <w:hideMark/>
          </w:tcPr>
          <w:p w14:paraId="76BBCE4C"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DE63EE9" w14:textId="77777777" w:rsidR="00E040FD" w:rsidRDefault="00740D6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25082984" w14:textId="77777777" w:rsidR="00E040FD" w:rsidRDefault="00740D64">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452D819F" w14:textId="77777777" w:rsidR="00E040FD" w:rsidRDefault="00740D64">
            <w:pPr>
              <w:pStyle w:val="P68B1DB1-Normal8"/>
              <w:spacing w:after="0" w:line="240" w:lineRule="auto"/>
              <w:jc w:val="center"/>
              <w:rPr>
                <w:rFonts w:eastAsia="Times New Roman" w:cs="Calibri"/>
                <w:noProof/>
              </w:rPr>
            </w:pPr>
            <w:r>
              <w:rPr>
                <w:noProof/>
              </w:rPr>
              <w:t>KVARTAL 1</w:t>
            </w:r>
          </w:p>
        </w:tc>
        <w:tc>
          <w:tcPr>
            <w:tcW w:w="708" w:type="dxa"/>
            <w:shd w:val="clear" w:color="auto" w:fill="C4EFCE"/>
            <w:noWrap/>
            <w:vAlign w:val="center"/>
            <w:hideMark/>
          </w:tcPr>
          <w:p w14:paraId="7DD29457" w14:textId="77777777" w:rsidR="00E040FD" w:rsidRDefault="00740D6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1291B6CF" w14:textId="77777777" w:rsidR="00E040FD" w:rsidRDefault="00740D64">
            <w:pPr>
              <w:pStyle w:val="P68B1DB1-Normal8"/>
              <w:spacing w:after="0" w:line="240" w:lineRule="auto"/>
              <w:jc w:val="both"/>
              <w:rPr>
                <w:rFonts w:eastAsia="Times New Roman" w:cs="Calibri"/>
                <w:noProof/>
              </w:rPr>
            </w:pPr>
            <w:r>
              <w:rPr>
                <w:noProof/>
              </w:rPr>
              <w:t>Ikraftträdande av följande lagar och andra författningar: (1) översyn av yrkesutbildningens innehåll i den nationella kvalifikationskatalogen på området digitala färdigheter, nämligen utbildningsmoduler med anknytning till teknik och verktyg, i syfte att utveckla de färdigheter som mest behövs i ett yrkessammanhang baserat på förutseende av färdigheter. (2) lagstiftning eller reglering som krävs för att skapa digitala signaturer och stämplar på områdena cybersäkerhet, integritet, hållbarhet och användbarhet. Inrättandet av denna rättsliga ram och främjandet av digitalt förtroende är en förutsättning för genomförandet av den investering för digitala stämplar som planeras i denna del.</w:t>
            </w:r>
          </w:p>
        </w:tc>
      </w:tr>
      <w:tr w:rsidR="00E040FD" w14:paraId="6459D986" w14:textId="77777777">
        <w:trPr>
          <w:trHeight w:val="630"/>
        </w:trPr>
        <w:tc>
          <w:tcPr>
            <w:tcW w:w="1135" w:type="dxa"/>
            <w:shd w:val="clear" w:color="auto" w:fill="C5EFCE"/>
            <w:vAlign w:val="center"/>
            <w:hideMark/>
          </w:tcPr>
          <w:p w14:paraId="6940FAF7" w14:textId="77777777" w:rsidR="00E040FD" w:rsidRDefault="00740D64">
            <w:pPr>
              <w:pStyle w:val="P68B1DB1-Normal7"/>
              <w:spacing w:after="0" w:line="240" w:lineRule="auto"/>
              <w:jc w:val="center"/>
              <w:rPr>
                <w:rFonts w:eastAsia="Times New Roman" w:cs="Calibri"/>
                <w:noProof/>
              </w:rPr>
            </w:pPr>
            <w:r>
              <w:rPr>
                <w:noProof/>
              </w:rPr>
              <w:t>16.2</w:t>
            </w:r>
          </w:p>
        </w:tc>
        <w:tc>
          <w:tcPr>
            <w:tcW w:w="1276" w:type="dxa"/>
            <w:shd w:val="clear" w:color="auto" w:fill="C4EFCE"/>
            <w:noWrap/>
            <w:vAlign w:val="center"/>
            <w:hideMark/>
          </w:tcPr>
          <w:p w14:paraId="7CE8CA8A" w14:textId="77777777" w:rsidR="00E040FD" w:rsidRDefault="00740D64">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09AF1728"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D18194C" w14:textId="77777777" w:rsidR="00E040FD" w:rsidRDefault="00740D64">
            <w:pPr>
              <w:pStyle w:val="P68B1DB1-Normal8"/>
              <w:spacing w:after="0" w:line="240" w:lineRule="auto"/>
              <w:jc w:val="center"/>
              <w:rPr>
                <w:rFonts w:eastAsia="Times New Roman" w:cs="Calibri"/>
                <w:noProof/>
              </w:rPr>
            </w:pPr>
            <w:r>
              <w:rPr>
                <w:noProof/>
              </w:rPr>
              <w:t xml:space="preserve">Portugals digitala akademi och sysselsättning + Digitala program inleds </w:t>
            </w:r>
          </w:p>
        </w:tc>
        <w:tc>
          <w:tcPr>
            <w:tcW w:w="1275" w:type="dxa"/>
            <w:shd w:val="clear" w:color="auto" w:fill="C4EFCE"/>
            <w:noWrap/>
            <w:vAlign w:val="center"/>
            <w:hideMark/>
          </w:tcPr>
          <w:p w14:paraId="408F4230" w14:textId="77777777" w:rsidR="00E040FD" w:rsidRDefault="00740D64">
            <w:pPr>
              <w:pStyle w:val="P68B1DB1-Normal8"/>
              <w:spacing w:after="0" w:line="240" w:lineRule="auto"/>
              <w:jc w:val="center"/>
              <w:rPr>
                <w:rFonts w:eastAsia="Times New Roman" w:cs="Calibri"/>
                <w:noProof/>
              </w:rPr>
            </w:pPr>
            <w:r>
              <w:rPr>
                <w:noProof/>
              </w:rPr>
              <w:t>Portugals digitala akademi och sysselsättning + Digitala program inleds</w:t>
            </w:r>
          </w:p>
        </w:tc>
        <w:tc>
          <w:tcPr>
            <w:tcW w:w="993" w:type="dxa"/>
            <w:shd w:val="clear" w:color="auto" w:fill="C4EFCE"/>
            <w:noWrap/>
            <w:vAlign w:val="center"/>
            <w:hideMark/>
          </w:tcPr>
          <w:p w14:paraId="52EB1383" w14:textId="77777777" w:rsidR="00E040FD" w:rsidRDefault="00740D64">
            <w:pPr>
              <w:pStyle w:val="P68B1DB1-Normal9"/>
              <w:spacing w:after="0" w:line="240" w:lineRule="auto"/>
              <w:rPr>
                <w:rFonts w:eastAsia="Times New Roman" w:cs="Calibri"/>
                <w:noProof/>
              </w:rPr>
            </w:pPr>
            <w:r>
              <w:rPr>
                <w:noProof/>
              </w:rPr>
              <w:t> </w:t>
            </w:r>
          </w:p>
        </w:tc>
        <w:tc>
          <w:tcPr>
            <w:tcW w:w="992" w:type="dxa"/>
            <w:shd w:val="clear" w:color="auto" w:fill="C4EFCE"/>
            <w:noWrap/>
            <w:vAlign w:val="center"/>
            <w:hideMark/>
          </w:tcPr>
          <w:p w14:paraId="1F586DE5" w14:textId="77777777" w:rsidR="00E040FD" w:rsidRDefault="00740D6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1E7CB3D9" w14:textId="77777777" w:rsidR="00E040FD" w:rsidRDefault="00740D64">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310C5484" w14:textId="77777777" w:rsidR="00E040FD" w:rsidRDefault="00740D64">
            <w:pPr>
              <w:pStyle w:val="P68B1DB1-Normal8"/>
              <w:spacing w:after="0" w:line="240" w:lineRule="auto"/>
              <w:jc w:val="center"/>
              <w:rPr>
                <w:rFonts w:eastAsia="Times New Roman" w:cs="Calibri"/>
                <w:noProof/>
              </w:rPr>
            </w:pPr>
            <w:r>
              <w:rPr>
                <w:noProof/>
              </w:rPr>
              <w:t>KVARTAL 1</w:t>
            </w:r>
          </w:p>
        </w:tc>
        <w:tc>
          <w:tcPr>
            <w:tcW w:w="708" w:type="dxa"/>
            <w:shd w:val="clear" w:color="auto" w:fill="C4EFCE"/>
            <w:noWrap/>
            <w:vAlign w:val="center"/>
            <w:hideMark/>
          </w:tcPr>
          <w:p w14:paraId="411306C6" w14:textId="77777777" w:rsidR="00E040FD" w:rsidRDefault="00740D6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498F74B2" w14:textId="77777777" w:rsidR="00E040FD" w:rsidRDefault="00740D64">
            <w:pPr>
              <w:pStyle w:val="P68B1DB1-Normal8"/>
              <w:spacing w:after="0" w:line="240" w:lineRule="auto"/>
              <w:jc w:val="both"/>
              <w:rPr>
                <w:rFonts w:eastAsia="Times New Roman" w:cs="Calibri"/>
                <w:noProof/>
              </w:rPr>
            </w:pPr>
            <w:r>
              <w:rPr>
                <w:noProof/>
              </w:rPr>
              <w:t xml:space="preserve">Portugals digitala akademi – (1) onlineplattformen är i drift och tillgänglig för användarna, (2) diagnostiska förfaranden har fastställts för att bedöma rekommendationerna om digitala färdigheter för deltagarna och för att definiera de individanpassade kurser som de behöver, och den första uppsättningen onlinekurser lanseras och är tillgängliga för praktikanter. </w:t>
            </w:r>
          </w:p>
          <w:p w14:paraId="11F7A3F6" w14:textId="421B983E" w:rsidR="00E040FD" w:rsidRDefault="00740D64">
            <w:pPr>
              <w:pStyle w:val="P68B1DB1-Normal8"/>
              <w:spacing w:after="0" w:line="240" w:lineRule="auto"/>
              <w:jc w:val="both"/>
              <w:rPr>
                <w:rFonts w:eastAsia="Times New Roman" w:cs="Calibri"/>
                <w:noProof/>
              </w:rPr>
            </w:pPr>
            <w:r>
              <w:rPr>
                <w:noProof/>
              </w:rPr>
              <w:t>Sysselsättning + Digitalt – (1) de ekonomiska sektorer som ska omfattas identifieras och de viktigaste digitala utmaningar som kurserna ska ta itu med fastställs, (2) partner och intressenter för genomförandet av programmet identifieras. (3) utbildningsprogrammet lanseras och utbildningen online, ansikte mot ansikte eller blandad utbildning inleds.</w:t>
            </w:r>
          </w:p>
        </w:tc>
      </w:tr>
      <w:tr w:rsidR="00E040FD" w14:paraId="641661D3" w14:textId="77777777">
        <w:trPr>
          <w:trHeight w:val="640"/>
        </w:trPr>
        <w:tc>
          <w:tcPr>
            <w:tcW w:w="1135" w:type="dxa"/>
            <w:shd w:val="clear" w:color="auto" w:fill="C5EFCE"/>
            <w:vAlign w:val="center"/>
            <w:hideMark/>
          </w:tcPr>
          <w:p w14:paraId="7B9A6855" w14:textId="77777777" w:rsidR="00E040FD" w:rsidRDefault="00740D64">
            <w:pPr>
              <w:pStyle w:val="P68B1DB1-Normal7"/>
              <w:spacing w:after="0" w:line="240" w:lineRule="auto"/>
              <w:jc w:val="center"/>
              <w:rPr>
                <w:rFonts w:eastAsia="Times New Roman" w:cs="Calibri"/>
                <w:noProof/>
              </w:rPr>
            </w:pPr>
            <w:r>
              <w:rPr>
                <w:noProof/>
              </w:rPr>
              <w:t>16.3</w:t>
            </w:r>
          </w:p>
        </w:tc>
        <w:tc>
          <w:tcPr>
            <w:tcW w:w="1276" w:type="dxa"/>
            <w:shd w:val="clear" w:color="auto" w:fill="C4EFCE"/>
            <w:noWrap/>
            <w:vAlign w:val="center"/>
            <w:hideMark/>
          </w:tcPr>
          <w:p w14:paraId="6DA18CB9" w14:textId="77777777" w:rsidR="00E040FD" w:rsidRDefault="00740D64">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69A0921C"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0123495" w14:textId="77777777" w:rsidR="00E040FD" w:rsidRDefault="00740D64">
            <w:pPr>
              <w:pStyle w:val="P68B1DB1-Normal8"/>
              <w:spacing w:after="0" w:line="240" w:lineRule="auto"/>
              <w:jc w:val="center"/>
              <w:rPr>
                <w:rFonts w:eastAsia="Times New Roman" w:cs="Calibri"/>
                <w:noProof/>
              </w:rPr>
            </w:pPr>
            <w:r>
              <w:rPr>
                <w:noProof/>
              </w:rPr>
              <w:t>Sysselsättning + deltagare i digital utbildning</w:t>
            </w:r>
          </w:p>
        </w:tc>
        <w:tc>
          <w:tcPr>
            <w:tcW w:w="1275" w:type="dxa"/>
            <w:shd w:val="clear" w:color="auto" w:fill="C4EFCE"/>
            <w:noWrap/>
            <w:vAlign w:val="center"/>
            <w:hideMark/>
          </w:tcPr>
          <w:p w14:paraId="65780DFF"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9BDCF9F"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11D2D464"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02ABAB2" w14:textId="77777777" w:rsidR="00E040FD" w:rsidRDefault="00740D64">
            <w:pPr>
              <w:pStyle w:val="P68B1DB1-Normal8"/>
              <w:spacing w:after="0" w:line="240" w:lineRule="auto"/>
              <w:jc w:val="center"/>
              <w:rPr>
                <w:rFonts w:eastAsia="Times New Roman" w:cs="Calibri"/>
                <w:noProof/>
              </w:rPr>
            </w:pPr>
            <w:r>
              <w:rPr>
                <w:noProof/>
              </w:rPr>
              <w:t>200 000</w:t>
            </w:r>
          </w:p>
        </w:tc>
        <w:tc>
          <w:tcPr>
            <w:tcW w:w="426" w:type="dxa"/>
            <w:shd w:val="clear" w:color="auto" w:fill="C4EFCE"/>
            <w:noWrap/>
            <w:vAlign w:val="center"/>
            <w:hideMark/>
          </w:tcPr>
          <w:p w14:paraId="62492B9C"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2C1ADD8F"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1DB28148" w14:textId="409C353B" w:rsidR="00E040FD" w:rsidRDefault="00740D64">
            <w:pPr>
              <w:pStyle w:val="P68B1DB1-Normal8"/>
              <w:spacing w:after="0" w:line="240" w:lineRule="auto"/>
              <w:jc w:val="both"/>
              <w:rPr>
                <w:rFonts w:eastAsia="Times New Roman" w:cs="Calibri"/>
                <w:noProof/>
              </w:rPr>
            </w:pPr>
            <w:r>
              <w:rPr>
                <w:noProof/>
              </w:rPr>
              <w:t>Antal deltagare i utbildning som har genomgått en utbildningsmodul online, fysisk närvaro eller blandad omskolning och kompetenshöjning, med fokus på digitala färdigheter som tar itu med utmaningar inom de identifierade ekonomiska sektorerna i programmet Employment + Digital. De utvalda ekonomiska sektorerna är de som identifierades i delmålet för fjärde kvartalet 1 2022.</w:t>
            </w:r>
          </w:p>
        </w:tc>
      </w:tr>
      <w:tr w:rsidR="00E040FD" w14:paraId="3B45A3FB" w14:textId="77777777">
        <w:trPr>
          <w:trHeight w:val="430"/>
        </w:trPr>
        <w:tc>
          <w:tcPr>
            <w:tcW w:w="1135" w:type="dxa"/>
            <w:shd w:val="clear" w:color="auto" w:fill="C5EFCE"/>
            <w:vAlign w:val="center"/>
            <w:hideMark/>
          </w:tcPr>
          <w:p w14:paraId="49B3BE1C" w14:textId="77777777" w:rsidR="00E040FD" w:rsidRDefault="00740D64">
            <w:pPr>
              <w:pStyle w:val="P68B1DB1-Normal7"/>
              <w:spacing w:after="0" w:line="240" w:lineRule="auto"/>
              <w:jc w:val="center"/>
              <w:rPr>
                <w:rFonts w:eastAsia="Times New Roman" w:cs="Calibri"/>
                <w:noProof/>
              </w:rPr>
            </w:pPr>
            <w:r>
              <w:rPr>
                <w:noProof/>
              </w:rPr>
              <w:t>16.4</w:t>
            </w:r>
          </w:p>
        </w:tc>
        <w:tc>
          <w:tcPr>
            <w:tcW w:w="1276" w:type="dxa"/>
            <w:shd w:val="clear" w:color="auto" w:fill="C4EFCE"/>
            <w:noWrap/>
            <w:vAlign w:val="center"/>
            <w:hideMark/>
          </w:tcPr>
          <w:p w14:paraId="0F910593" w14:textId="77777777" w:rsidR="00E040FD" w:rsidRDefault="00740D64">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498FA43B"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69C3E62" w14:textId="77777777" w:rsidR="00E040FD" w:rsidRDefault="00740D64">
            <w:pPr>
              <w:pStyle w:val="P68B1DB1-Normal8"/>
              <w:spacing w:after="0" w:line="240" w:lineRule="auto"/>
              <w:jc w:val="center"/>
              <w:rPr>
                <w:rFonts w:eastAsia="Times New Roman" w:cs="Calibri"/>
                <w:noProof/>
              </w:rPr>
            </w:pPr>
            <w:r>
              <w:rPr>
                <w:noProof/>
              </w:rPr>
              <w:t>Utbildningsdeltagare i Portugals digitala akademi</w:t>
            </w:r>
          </w:p>
        </w:tc>
        <w:tc>
          <w:tcPr>
            <w:tcW w:w="1275" w:type="dxa"/>
            <w:shd w:val="clear" w:color="auto" w:fill="C4EFCE"/>
            <w:noWrap/>
            <w:vAlign w:val="center"/>
            <w:hideMark/>
          </w:tcPr>
          <w:p w14:paraId="5311EC00"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19790E4"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5E9E7350"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FBAA0E5" w14:textId="755ABA93" w:rsidR="00E040FD" w:rsidRDefault="00740D64">
            <w:pPr>
              <w:pStyle w:val="P68B1DB1-Normal8"/>
              <w:spacing w:after="0" w:line="240" w:lineRule="auto"/>
              <w:jc w:val="center"/>
              <w:rPr>
                <w:rFonts w:eastAsia="Times New Roman" w:cs="Calibri"/>
                <w:noProof/>
              </w:rPr>
            </w:pPr>
            <w:r>
              <w:rPr>
                <w:noProof/>
              </w:rPr>
              <w:t>500 000</w:t>
            </w:r>
          </w:p>
        </w:tc>
        <w:tc>
          <w:tcPr>
            <w:tcW w:w="426" w:type="dxa"/>
            <w:shd w:val="clear" w:color="auto" w:fill="C4EFCE"/>
            <w:noWrap/>
            <w:vAlign w:val="center"/>
            <w:hideMark/>
          </w:tcPr>
          <w:p w14:paraId="35BB736B"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73479E05"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2B4C4465" w14:textId="72846C38" w:rsidR="00E040FD" w:rsidRDefault="00740D64">
            <w:pPr>
              <w:pStyle w:val="P68B1DB1-Normal8"/>
              <w:spacing w:after="0" w:line="240" w:lineRule="auto"/>
              <w:jc w:val="both"/>
              <w:rPr>
                <w:rFonts w:eastAsia="Times New Roman" w:cs="Calibri"/>
                <w:noProof/>
              </w:rPr>
            </w:pPr>
            <w:r>
              <w:rPr>
                <w:noProof/>
              </w:rPr>
              <w:t>Antal deltagare i utbildning som har fått en diagnos av digitala färdigheter. 125 000 deltagare ska också fylla i en webbaserad blandad modul eller modul på plats i Portugals program Digital Academy.</w:t>
            </w:r>
          </w:p>
          <w:p w14:paraId="1D8610F7" w14:textId="5BE4E11C" w:rsidR="00E040FD" w:rsidRDefault="00740D64">
            <w:pPr>
              <w:pStyle w:val="P68B1DB1-Normal8"/>
              <w:spacing w:after="0" w:line="240" w:lineRule="auto"/>
              <w:jc w:val="both"/>
              <w:rPr>
                <w:rFonts w:eastAsia="Times New Roman" w:cs="Calibri"/>
                <w:noProof/>
              </w:rPr>
            </w:pPr>
            <w:r>
              <w:rPr>
                <w:noProof/>
              </w:rPr>
              <w:t>Dessutom ska femtio nyutvecklade storskaliga öppna nätkurser göras tillgängliga.</w:t>
            </w:r>
          </w:p>
        </w:tc>
      </w:tr>
      <w:tr w:rsidR="00E040FD" w14:paraId="36F65094" w14:textId="77777777">
        <w:trPr>
          <w:trHeight w:val="840"/>
        </w:trPr>
        <w:tc>
          <w:tcPr>
            <w:tcW w:w="1135" w:type="dxa"/>
            <w:shd w:val="clear" w:color="auto" w:fill="C5EFCE"/>
            <w:vAlign w:val="center"/>
            <w:hideMark/>
          </w:tcPr>
          <w:p w14:paraId="79B09C43" w14:textId="77777777" w:rsidR="00E040FD" w:rsidRDefault="00740D64">
            <w:pPr>
              <w:pStyle w:val="P68B1DB1-Normal7"/>
              <w:spacing w:after="0" w:line="240" w:lineRule="auto"/>
              <w:jc w:val="center"/>
              <w:rPr>
                <w:rFonts w:eastAsia="Times New Roman" w:cs="Calibri"/>
                <w:noProof/>
              </w:rPr>
            </w:pPr>
            <w:r>
              <w:rPr>
                <w:noProof/>
              </w:rPr>
              <w:t>16.5</w:t>
            </w:r>
          </w:p>
        </w:tc>
        <w:tc>
          <w:tcPr>
            <w:tcW w:w="1276" w:type="dxa"/>
            <w:shd w:val="clear" w:color="auto" w:fill="C4EFCE"/>
            <w:noWrap/>
            <w:vAlign w:val="center"/>
            <w:hideMark/>
          </w:tcPr>
          <w:p w14:paraId="0767AC81" w14:textId="77777777" w:rsidR="00E040FD" w:rsidRDefault="00740D6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2F519593"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7E3F188" w14:textId="77777777" w:rsidR="00E040FD" w:rsidRDefault="00740D64">
            <w:pPr>
              <w:pStyle w:val="P68B1DB1-Normal8"/>
              <w:spacing w:after="0" w:line="240" w:lineRule="auto"/>
              <w:jc w:val="center"/>
              <w:rPr>
                <w:rFonts w:eastAsia="Times New Roman" w:cs="Calibri"/>
                <w:noProof/>
              </w:rPr>
            </w:pPr>
            <w:r>
              <w:rPr>
                <w:noProof/>
              </w:rPr>
              <w:t xml:space="preserve">Små och medelstora företag som stöds av acceleratorer för digital handel </w:t>
            </w:r>
          </w:p>
        </w:tc>
        <w:tc>
          <w:tcPr>
            <w:tcW w:w="1275" w:type="dxa"/>
            <w:shd w:val="clear" w:color="auto" w:fill="C4EFCE"/>
            <w:noWrap/>
            <w:vAlign w:val="center"/>
            <w:hideMark/>
          </w:tcPr>
          <w:p w14:paraId="2EB5D309"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06DD7F0"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6101D998"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1F057A08" w14:textId="769CE70E" w:rsidR="00E040FD" w:rsidRDefault="00740D64">
            <w:pPr>
              <w:pStyle w:val="P68B1DB1-Normal8"/>
              <w:spacing w:after="0" w:line="240" w:lineRule="auto"/>
              <w:jc w:val="center"/>
              <w:rPr>
                <w:rFonts w:eastAsia="Times New Roman" w:cs="Calibri"/>
                <w:noProof/>
              </w:rPr>
            </w:pPr>
            <w:r>
              <w:rPr>
                <w:noProof/>
              </w:rPr>
              <w:t>12 500</w:t>
            </w:r>
          </w:p>
        </w:tc>
        <w:tc>
          <w:tcPr>
            <w:tcW w:w="426" w:type="dxa"/>
            <w:shd w:val="clear" w:color="auto" w:fill="C4EFCE"/>
            <w:noWrap/>
            <w:vAlign w:val="center"/>
            <w:hideMark/>
          </w:tcPr>
          <w:p w14:paraId="30274845"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6E0C3DDB" w14:textId="7C58F5E6"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317110C0" w14:textId="77777777" w:rsidR="00E040FD" w:rsidRDefault="00740D64">
            <w:pPr>
              <w:pStyle w:val="P68B1DB1-Normal8"/>
              <w:spacing w:after="0" w:line="240" w:lineRule="auto"/>
              <w:jc w:val="both"/>
              <w:rPr>
                <w:rFonts w:eastAsia="Times New Roman" w:cs="Calibri"/>
                <w:noProof/>
              </w:rPr>
            </w:pPr>
            <w:r>
              <w:rPr>
                <w:noProof/>
              </w:rPr>
              <w:t xml:space="preserve">Antal små och medelstora företag som får stöd genom inrättandet av 25 lokala, regionala eller sektoriella acceleratorer för digital handel samt ett system med ekonomiska incitament för att digitalisera små och medelstora företags affärsmodeller. Stödet ska bestå i att bedöma och diagnostisera digitaliseringsnivån hos stödmottagande små och medelstora företag samt tillhandahålla riktade tjänster och incitament för att öka införandet av digital teknik i stödmottagarnas affärsmodell. </w:t>
            </w:r>
          </w:p>
          <w:p w14:paraId="66ADDCA3" w14:textId="10D0B309" w:rsidR="00E040FD" w:rsidRDefault="00740D64">
            <w:pPr>
              <w:pStyle w:val="P68B1DB1-Normal8"/>
              <w:spacing w:after="0" w:line="240" w:lineRule="auto"/>
              <w:jc w:val="both"/>
              <w:rPr>
                <w:rFonts w:eastAsia="Times New Roman" w:cs="Calibri"/>
                <w:noProof/>
              </w:rPr>
            </w:pPr>
            <w:r>
              <w:rPr>
                <w:noProof/>
              </w:rPr>
              <w:t>Urvalskriterierna ska säkerställa överensstämmelse med den tekniska vägledningen om att inte orsaka betydande skada (2021/C58/01) för transaktioner som får stöd inom ramen för denna åtgärd genom användning av hållbarhetssäkring, användning av en uteslutningsförteckning och kravet på överensstämmelse med relevant EU-lagstiftning och nationell miljölagstiftning.</w:t>
            </w:r>
          </w:p>
        </w:tc>
      </w:tr>
      <w:tr w:rsidR="00E040FD" w14:paraId="5705A32B" w14:textId="77777777">
        <w:trPr>
          <w:trHeight w:val="420"/>
        </w:trPr>
        <w:tc>
          <w:tcPr>
            <w:tcW w:w="1135" w:type="dxa"/>
            <w:shd w:val="clear" w:color="auto" w:fill="C5EFCE"/>
            <w:vAlign w:val="center"/>
            <w:hideMark/>
          </w:tcPr>
          <w:p w14:paraId="000270AE" w14:textId="77777777" w:rsidR="00E040FD" w:rsidRDefault="00740D64">
            <w:pPr>
              <w:pStyle w:val="P68B1DB1-Normal7"/>
              <w:spacing w:after="0" w:line="240" w:lineRule="auto"/>
              <w:jc w:val="center"/>
              <w:rPr>
                <w:rFonts w:eastAsia="Times New Roman" w:cs="Calibri"/>
                <w:noProof/>
              </w:rPr>
            </w:pPr>
            <w:r>
              <w:rPr>
                <w:noProof/>
              </w:rPr>
              <w:t>16.6</w:t>
            </w:r>
          </w:p>
        </w:tc>
        <w:tc>
          <w:tcPr>
            <w:tcW w:w="1276" w:type="dxa"/>
            <w:shd w:val="clear" w:color="auto" w:fill="C4EFCE"/>
            <w:noWrap/>
            <w:vAlign w:val="center"/>
            <w:hideMark/>
          </w:tcPr>
          <w:p w14:paraId="78A96FDD" w14:textId="77777777" w:rsidR="00E040FD" w:rsidRDefault="00740D6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17357B62"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9CB16DF" w14:textId="46C25FDB" w:rsidR="00E040FD" w:rsidRDefault="00740D64">
            <w:pPr>
              <w:pStyle w:val="P68B1DB1-Normal8"/>
              <w:spacing w:after="0" w:line="240" w:lineRule="auto"/>
              <w:jc w:val="center"/>
              <w:rPr>
                <w:rFonts w:eastAsia="Times New Roman" w:cs="Calibri"/>
                <w:noProof/>
              </w:rPr>
            </w:pPr>
            <w:r>
              <w:rPr>
                <w:noProof/>
              </w:rPr>
              <w:t>Nationella pilotprodukter och pilottjänster för testbäddnätverket</w:t>
            </w:r>
          </w:p>
        </w:tc>
        <w:tc>
          <w:tcPr>
            <w:tcW w:w="1275" w:type="dxa"/>
            <w:shd w:val="clear" w:color="auto" w:fill="C4EFCE"/>
            <w:noWrap/>
            <w:vAlign w:val="center"/>
            <w:hideMark/>
          </w:tcPr>
          <w:p w14:paraId="7F3952A8"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524FBBA"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06DA02CA"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4A9A84A" w14:textId="7BDE7575" w:rsidR="00E040FD" w:rsidRDefault="00740D64">
            <w:pPr>
              <w:pStyle w:val="P68B1DB1-Normal8"/>
              <w:spacing w:after="0" w:line="240" w:lineRule="auto"/>
              <w:jc w:val="center"/>
              <w:rPr>
                <w:rFonts w:eastAsia="Times New Roman" w:cs="Calibri"/>
                <w:noProof/>
              </w:rPr>
            </w:pPr>
            <w:r>
              <w:rPr>
                <w:noProof/>
              </w:rPr>
              <w:t>600</w:t>
            </w:r>
          </w:p>
        </w:tc>
        <w:tc>
          <w:tcPr>
            <w:tcW w:w="426" w:type="dxa"/>
            <w:shd w:val="clear" w:color="auto" w:fill="C4EFCE"/>
            <w:noWrap/>
            <w:vAlign w:val="center"/>
            <w:hideMark/>
          </w:tcPr>
          <w:p w14:paraId="2BAA25D5" w14:textId="204D01EA"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397A151A" w14:textId="454F43F3"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A17EC12" w14:textId="0CEEA83B" w:rsidR="00E040FD" w:rsidRDefault="00740D64">
            <w:pPr>
              <w:pStyle w:val="P68B1DB1-Normal8"/>
              <w:spacing w:after="0" w:line="240" w:lineRule="auto"/>
              <w:jc w:val="both"/>
              <w:rPr>
                <w:rFonts w:eastAsia="Times New Roman" w:cs="Calibri"/>
                <w:noProof/>
              </w:rPr>
            </w:pPr>
            <w:r>
              <w:rPr>
                <w:noProof/>
              </w:rPr>
              <w:t xml:space="preserve">Antal pilotprodukter eller pilottjänster som utvecklats (i syfte att uppnå minst teknisk mognadsgrad 5) i det nationella testnätverket. </w:t>
            </w:r>
          </w:p>
          <w:p w14:paraId="1B884D2E" w14:textId="229931CB" w:rsidR="00E040FD" w:rsidRDefault="00740D64">
            <w:pPr>
              <w:pStyle w:val="P68B1DB1-Normal8"/>
              <w:spacing w:after="0" w:line="240" w:lineRule="auto"/>
              <w:jc w:val="both"/>
              <w:rPr>
                <w:rFonts w:eastAsia="Times New Roman" w:cs="Calibri"/>
                <w:noProof/>
              </w:rPr>
            </w:pPr>
            <w:r>
              <w:rPr>
                <w:noProof/>
              </w:rPr>
              <w:t>Urvalskriterierna ska säkerställa efterlevnad av den tekniska vägledningen om att inte orsaka betydande skada (2021/C58/01) för transaktioner som får stöd inom ramen för denna åtgärd genom användning av en uteslutningslista och kravet på efterlevnad av relevant EU-lagstiftning och nationell miljölagstiftning.</w:t>
            </w:r>
          </w:p>
        </w:tc>
      </w:tr>
      <w:tr w:rsidR="00E040FD" w14:paraId="302E1901" w14:textId="77777777">
        <w:trPr>
          <w:trHeight w:val="920"/>
        </w:trPr>
        <w:tc>
          <w:tcPr>
            <w:tcW w:w="1135" w:type="dxa"/>
            <w:shd w:val="clear" w:color="auto" w:fill="C5EFCE"/>
            <w:vAlign w:val="center"/>
            <w:hideMark/>
          </w:tcPr>
          <w:p w14:paraId="04EB0D69" w14:textId="77777777" w:rsidR="00E040FD" w:rsidRDefault="00740D64">
            <w:pPr>
              <w:pStyle w:val="P68B1DB1-Normal7"/>
              <w:spacing w:after="0" w:line="240" w:lineRule="auto"/>
              <w:jc w:val="center"/>
              <w:rPr>
                <w:rFonts w:eastAsia="Times New Roman" w:cs="Calibri"/>
                <w:noProof/>
              </w:rPr>
            </w:pPr>
            <w:r>
              <w:rPr>
                <w:noProof/>
              </w:rPr>
              <w:t>16.7</w:t>
            </w:r>
          </w:p>
        </w:tc>
        <w:tc>
          <w:tcPr>
            <w:tcW w:w="1276" w:type="dxa"/>
            <w:shd w:val="clear" w:color="auto" w:fill="C4EFCE"/>
            <w:noWrap/>
            <w:vAlign w:val="center"/>
            <w:hideMark/>
          </w:tcPr>
          <w:p w14:paraId="486E2805" w14:textId="77777777" w:rsidR="00E040FD" w:rsidRDefault="00740D6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45022E78"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FBD8596" w14:textId="77777777" w:rsidR="00E040FD" w:rsidRDefault="00740D64">
            <w:pPr>
              <w:pStyle w:val="P68B1DB1-Normal8"/>
              <w:spacing w:after="0" w:line="240" w:lineRule="auto"/>
              <w:jc w:val="center"/>
              <w:rPr>
                <w:rFonts w:eastAsia="Times New Roman" w:cs="Calibri"/>
                <w:noProof/>
              </w:rPr>
            </w:pPr>
            <w:r>
              <w:rPr>
                <w:noProof/>
              </w:rPr>
              <w:t>Testbäddar som valts ut för det nationella nätverket för testbäddar</w:t>
            </w:r>
          </w:p>
        </w:tc>
        <w:tc>
          <w:tcPr>
            <w:tcW w:w="1275" w:type="dxa"/>
            <w:shd w:val="clear" w:color="auto" w:fill="C4EFCE"/>
            <w:noWrap/>
            <w:vAlign w:val="center"/>
            <w:hideMark/>
          </w:tcPr>
          <w:p w14:paraId="24BABD16" w14:textId="77777777" w:rsidR="00E040FD" w:rsidRDefault="00740D64">
            <w:pPr>
              <w:pStyle w:val="P68B1DB1-Normal9"/>
              <w:spacing w:after="0" w:line="240" w:lineRule="auto"/>
              <w:rPr>
                <w:rFonts w:eastAsia="Times New Roman" w:cs="Calibri"/>
                <w:noProof/>
              </w:rPr>
            </w:pPr>
            <w:r>
              <w:rPr>
                <w:noProof/>
              </w:rPr>
              <w:t> </w:t>
            </w:r>
          </w:p>
        </w:tc>
        <w:tc>
          <w:tcPr>
            <w:tcW w:w="993" w:type="dxa"/>
            <w:shd w:val="clear" w:color="auto" w:fill="C4EFCE"/>
            <w:noWrap/>
            <w:vAlign w:val="center"/>
            <w:hideMark/>
          </w:tcPr>
          <w:p w14:paraId="2AF4B68E"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090C3CF5" w14:textId="77777777" w:rsidR="00E040FD" w:rsidRDefault="00740D64">
            <w:pPr>
              <w:pStyle w:val="P68B1DB1-Normal8"/>
              <w:spacing w:after="0" w:line="240" w:lineRule="auto"/>
              <w:jc w:val="center"/>
              <w:rPr>
                <w:rFonts w:eastAsia="Times New Roman" w:cs="Calibri"/>
                <w:noProof/>
              </w:rPr>
            </w:pPr>
            <w:r>
              <w:rPr>
                <w:noProof/>
              </w:rPr>
              <w:t> 0</w:t>
            </w:r>
          </w:p>
        </w:tc>
        <w:tc>
          <w:tcPr>
            <w:tcW w:w="850" w:type="dxa"/>
            <w:shd w:val="clear" w:color="auto" w:fill="C4EFCE"/>
            <w:noWrap/>
            <w:vAlign w:val="center"/>
            <w:hideMark/>
          </w:tcPr>
          <w:p w14:paraId="358B2E8A" w14:textId="77777777" w:rsidR="00E040FD" w:rsidRDefault="00740D64">
            <w:pPr>
              <w:pStyle w:val="P68B1DB1-Normal8"/>
              <w:spacing w:after="0" w:line="240" w:lineRule="auto"/>
              <w:jc w:val="center"/>
              <w:rPr>
                <w:rFonts w:eastAsia="Times New Roman" w:cs="Calibri"/>
                <w:noProof/>
              </w:rPr>
            </w:pPr>
            <w:r>
              <w:rPr>
                <w:noProof/>
              </w:rPr>
              <w:t>30 </w:t>
            </w:r>
          </w:p>
        </w:tc>
        <w:tc>
          <w:tcPr>
            <w:tcW w:w="426" w:type="dxa"/>
            <w:shd w:val="clear" w:color="auto" w:fill="C4EFCE"/>
            <w:noWrap/>
            <w:vAlign w:val="center"/>
            <w:hideMark/>
          </w:tcPr>
          <w:p w14:paraId="37852C11"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0AF84A0B" w14:textId="77777777" w:rsidR="00E040FD" w:rsidRDefault="00740D6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3D5DF3F" w14:textId="77777777" w:rsidR="00E040FD" w:rsidRDefault="00740D64">
            <w:pPr>
              <w:pStyle w:val="P68B1DB1-Normal9"/>
              <w:spacing w:after="0" w:line="240" w:lineRule="auto"/>
              <w:jc w:val="both"/>
              <w:rPr>
                <w:rFonts w:eastAsia="Times New Roman" w:cs="Calibri"/>
                <w:noProof/>
                <w:sz w:val="16"/>
              </w:rPr>
            </w:pPr>
            <w:r>
              <w:rPr>
                <w:noProof/>
                <w:sz w:val="16"/>
              </w:rPr>
              <w:t xml:space="preserve">Antal testbäddar som valts ut för att installeras ytterligare med nödvändig utrustning för att möjliggöra utveckling och testning av pilotprodukter i det nationella nätverket för testbäddar. Täckningen av industrisektorerna och deras delsektorer ska motsvara dem som beräknas för nätverket av digitala innovationsknutpunkter (DIH) för att skapa synergier och komplementaritet med nätverket för digitala innovationsknutpunkter. </w:t>
            </w:r>
          </w:p>
          <w:p w14:paraId="723D2E82" w14:textId="1C437B17" w:rsidR="00E040FD" w:rsidRDefault="00740D64">
            <w:pPr>
              <w:pStyle w:val="P68B1DB1-Normal8"/>
              <w:spacing w:after="0" w:line="240" w:lineRule="auto"/>
              <w:jc w:val="both"/>
              <w:rPr>
                <w:rFonts w:eastAsia="Times New Roman" w:cs="Calibri"/>
                <w:noProof/>
              </w:rPr>
            </w:pPr>
            <w:r>
              <w:rPr>
                <w:noProof/>
              </w:rPr>
              <w:t>Urvalskriterierna ska säkerställa överensstämmelse med den tekniska vägledningen om att inte orsaka betydande skada (2021/C58/01) för transaktioner som får stöd inom ramen för denna åtgärd genom användning av en uteslutningslista och kravet på efterlevnad av relevant EU-lagstiftning och nationell miljölagstiftning.</w:t>
            </w:r>
          </w:p>
        </w:tc>
      </w:tr>
      <w:tr w:rsidR="00E040FD" w14:paraId="642663A6" w14:textId="77777777">
        <w:trPr>
          <w:trHeight w:val="420"/>
        </w:trPr>
        <w:tc>
          <w:tcPr>
            <w:tcW w:w="1135" w:type="dxa"/>
            <w:shd w:val="clear" w:color="auto" w:fill="C5EFCE"/>
            <w:vAlign w:val="center"/>
            <w:hideMark/>
          </w:tcPr>
          <w:p w14:paraId="0C199B10" w14:textId="77777777" w:rsidR="00E040FD" w:rsidRDefault="00740D64">
            <w:pPr>
              <w:pStyle w:val="P68B1DB1-Normal7"/>
              <w:spacing w:after="0" w:line="240" w:lineRule="auto"/>
              <w:jc w:val="center"/>
              <w:rPr>
                <w:rFonts w:eastAsia="Times New Roman" w:cs="Calibri"/>
                <w:noProof/>
              </w:rPr>
            </w:pPr>
            <w:r>
              <w:rPr>
                <w:noProof/>
              </w:rPr>
              <w:t>16.8</w:t>
            </w:r>
          </w:p>
        </w:tc>
        <w:tc>
          <w:tcPr>
            <w:tcW w:w="1276" w:type="dxa"/>
            <w:shd w:val="clear" w:color="auto" w:fill="C4EFCE"/>
            <w:noWrap/>
            <w:vAlign w:val="center"/>
            <w:hideMark/>
          </w:tcPr>
          <w:p w14:paraId="4D5E6E95" w14:textId="77777777" w:rsidR="00E040FD" w:rsidRDefault="00740D6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3AC525B1"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843CFCB" w14:textId="17138ACC" w:rsidR="00E040FD" w:rsidRDefault="00740D64">
            <w:pPr>
              <w:pStyle w:val="P68B1DB1-Normal8"/>
              <w:spacing w:after="0" w:line="240" w:lineRule="auto"/>
              <w:jc w:val="center"/>
              <w:rPr>
                <w:rFonts w:eastAsia="Times New Roman" w:cs="Calibri"/>
                <w:noProof/>
              </w:rPr>
            </w:pPr>
            <w:r>
              <w:rPr>
                <w:noProof/>
              </w:rPr>
              <w:t xml:space="preserve">Nationella pilotprodukter och pilottjänster för testbäddnätverket </w:t>
            </w:r>
          </w:p>
        </w:tc>
        <w:tc>
          <w:tcPr>
            <w:tcW w:w="1275" w:type="dxa"/>
            <w:shd w:val="clear" w:color="auto" w:fill="C4EFCE"/>
            <w:noWrap/>
            <w:vAlign w:val="center"/>
            <w:hideMark/>
          </w:tcPr>
          <w:p w14:paraId="1C876615"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163E41C"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4032CDA7" w14:textId="3AB8A8F0" w:rsidR="00E040FD" w:rsidRDefault="00740D64">
            <w:pPr>
              <w:pStyle w:val="P68B1DB1-Normal8"/>
              <w:spacing w:after="0" w:line="240" w:lineRule="auto"/>
              <w:jc w:val="center"/>
              <w:rPr>
                <w:rFonts w:eastAsia="Times New Roman" w:cs="Calibri"/>
                <w:noProof/>
              </w:rPr>
            </w:pPr>
            <w:r>
              <w:rPr>
                <w:noProof/>
              </w:rPr>
              <w:t>600</w:t>
            </w:r>
          </w:p>
        </w:tc>
        <w:tc>
          <w:tcPr>
            <w:tcW w:w="850" w:type="dxa"/>
            <w:shd w:val="clear" w:color="auto" w:fill="C4EFCE"/>
            <w:noWrap/>
            <w:vAlign w:val="center"/>
            <w:hideMark/>
          </w:tcPr>
          <w:p w14:paraId="78086472" w14:textId="5935E04B" w:rsidR="00E040FD" w:rsidRDefault="00740D64">
            <w:pPr>
              <w:pStyle w:val="P68B1DB1-Normal8"/>
              <w:spacing w:after="0" w:line="240" w:lineRule="auto"/>
              <w:jc w:val="center"/>
              <w:rPr>
                <w:rFonts w:eastAsia="Times New Roman" w:cs="Calibri"/>
                <w:noProof/>
              </w:rPr>
            </w:pPr>
            <w:r>
              <w:rPr>
                <w:noProof/>
              </w:rPr>
              <w:t>3 000</w:t>
            </w:r>
          </w:p>
        </w:tc>
        <w:tc>
          <w:tcPr>
            <w:tcW w:w="426" w:type="dxa"/>
            <w:shd w:val="clear" w:color="auto" w:fill="C4EFCE"/>
            <w:noWrap/>
            <w:vAlign w:val="center"/>
            <w:hideMark/>
          </w:tcPr>
          <w:p w14:paraId="75024F04"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749E31FA"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5E28F56" w14:textId="02EA86AD" w:rsidR="00E040FD" w:rsidRDefault="00740D64">
            <w:pPr>
              <w:pStyle w:val="P68B1DB1-Normal8"/>
              <w:spacing w:after="0" w:line="240" w:lineRule="auto"/>
              <w:jc w:val="both"/>
              <w:rPr>
                <w:rFonts w:eastAsia="Times New Roman" w:cs="Calibri"/>
                <w:noProof/>
              </w:rPr>
            </w:pPr>
            <w:r>
              <w:rPr>
                <w:noProof/>
              </w:rPr>
              <w:t xml:space="preserve">Antal pilotprodukter eller pilottjänster som utvecklats i syfte att uppnå teknisk mognadsgrad 5) i det nationella testnätverket. </w:t>
            </w:r>
          </w:p>
          <w:p w14:paraId="73F048D1" w14:textId="0BEE092C" w:rsidR="00E040FD" w:rsidRDefault="00740D64">
            <w:pPr>
              <w:pStyle w:val="P68B1DB1-Normal8"/>
              <w:spacing w:after="0" w:line="240" w:lineRule="auto"/>
              <w:jc w:val="both"/>
              <w:rPr>
                <w:rFonts w:eastAsia="Times New Roman" w:cs="Calibri"/>
                <w:noProof/>
              </w:rPr>
            </w:pPr>
            <w:r>
              <w:rPr>
                <w:noProof/>
              </w:rPr>
              <w:t>Urvalskriterierna ska säkerställa överensstämmelse med den tekniska vägledningen om att inte orsaka betydande skada (2021/C58/01) för transaktioner som får stöd inom ramen för denna åtgärd genom användning av en uteslutningslista och kravet på efterlevnad av relevant EU-lagstiftning och nationell miljölagstiftning.</w:t>
            </w:r>
          </w:p>
        </w:tc>
      </w:tr>
      <w:tr w:rsidR="00E040FD" w14:paraId="5FCAF347" w14:textId="77777777">
        <w:trPr>
          <w:trHeight w:val="1050"/>
        </w:trPr>
        <w:tc>
          <w:tcPr>
            <w:tcW w:w="1135" w:type="dxa"/>
            <w:shd w:val="clear" w:color="auto" w:fill="C5EFCE"/>
            <w:vAlign w:val="center"/>
            <w:hideMark/>
          </w:tcPr>
          <w:p w14:paraId="6A609E24" w14:textId="77777777" w:rsidR="00E040FD" w:rsidRDefault="00740D64">
            <w:pPr>
              <w:pStyle w:val="P68B1DB1-Normal7"/>
              <w:spacing w:after="0" w:line="240" w:lineRule="auto"/>
              <w:jc w:val="center"/>
              <w:rPr>
                <w:rFonts w:eastAsia="Times New Roman" w:cs="Calibri"/>
                <w:noProof/>
              </w:rPr>
            </w:pPr>
            <w:r>
              <w:rPr>
                <w:noProof/>
              </w:rPr>
              <w:t>16.9</w:t>
            </w:r>
          </w:p>
        </w:tc>
        <w:tc>
          <w:tcPr>
            <w:tcW w:w="1276" w:type="dxa"/>
            <w:shd w:val="clear" w:color="auto" w:fill="C4EFCE"/>
            <w:noWrap/>
            <w:vAlign w:val="center"/>
            <w:hideMark/>
          </w:tcPr>
          <w:p w14:paraId="179FBF25" w14:textId="77777777" w:rsidR="00E040FD" w:rsidRDefault="00740D6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6674AFC7"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5884E1F" w14:textId="77777777" w:rsidR="00E040FD" w:rsidRDefault="00740D64">
            <w:pPr>
              <w:pStyle w:val="P68B1DB1-Normal8"/>
              <w:spacing w:after="0" w:line="240" w:lineRule="auto"/>
              <w:jc w:val="center"/>
              <w:rPr>
                <w:rFonts w:eastAsia="Times New Roman" w:cs="Calibri"/>
                <w:noProof/>
              </w:rPr>
            </w:pPr>
            <w:r>
              <w:rPr>
                <w:noProof/>
              </w:rPr>
              <w:t xml:space="preserve">Digitala handelsområden  </w:t>
            </w:r>
          </w:p>
        </w:tc>
        <w:tc>
          <w:tcPr>
            <w:tcW w:w="1275" w:type="dxa"/>
            <w:shd w:val="clear" w:color="auto" w:fill="C4EFCE"/>
            <w:noWrap/>
            <w:vAlign w:val="center"/>
            <w:hideMark/>
          </w:tcPr>
          <w:p w14:paraId="7929B328"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FCAF2B3"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37CDAFE5"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8E1A920" w14:textId="7A3D3DC3" w:rsidR="00E040FD" w:rsidRDefault="00740D64">
            <w:pPr>
              <w:pStyle w:val="P68B1DB1-Normal8"/>
              <w:spacing w:after="0" w:line="240" w:lineRule="auto"/>
              <w:jc w:val="center"/>
              <w:rPr>
                <w:rFonts w:eastAsia="Times New Roman" w:cs="Calibri"/>
                <w:noProof/>
              </w:rPr>
            </w:pPr>
            <w:r>
              <w:rPr>
                <w:noProof/>
              </w:rPr>
              <w:t>75</w:t>
            </w:r>
          </w:p>
        </w:tc>
        <w:tc>
          <w:tcPr>
            <w:tcW w:w="426" w:type="dxa"/>
            <w:shd w:val="clear" w:color="auto" w:fill="C4EFCE"/>
            <w:noWrap/>
            <w:vAlign w:val="center"/>
            <w:hideMark/>
          </w:tcPr>
          <w:p w14:paraId="34220EA9"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199941AA"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A0B7D8F" w14:textId="77777777" w:rsidR="00E040FD" w:rsidRDefault="00740D64">
            <w:pPr>
              <w:pStyle w:val="P68B1DB1-Normal8"/>
              <w:spacing w:after="0" w:line="240" w:lineRule="auto"/>
              <w:jc w:val="both"/>
              <w:rPr>
                <w:rFonts w:eastAsia="Times New Roman" w:cs="Calibri"/>
                <w:noProof/>
              </w:rPr>
            </w:pPr>
            <w:r>
              <w:rPr>
                <w:noProof/>
              </w:rPr>
              <w:t xml:space="preserve">Antal områden för digital handel i stadskärnor, förorts- eller landsbygdsområden. Dessa investeringar ska omfatta konnektivitet och lokal digital infrastruktur, särskilt installation (eller uppgradering) av befintlig utrustning och installationer för trådlös internetanslutning för kunder i köpområden. Det ska också omfatta integrering av tekniska lösningar för hantering av paketleveranser och införande av elektroniska betalningsmedel för att digitalisera konsumenternas erfarenheter och butikernas affärsmodell. </w:t>
            </w:r>
          </w:p>
          <w:p w14:paraId="2778C930" w14:textId="5EE6DF25" w:rsidR="00E040FD" w:rsidRDefault="00740D64">
            <w:pPr>
              <w:pStyle w:val="P68B1DB1-Normal8"/>
              <w:spacing w:after="0" w:line="240" w:lineRule="auto"/>
              <w:jc w:val="both"/>
              <w:rPr>
                <w:rFonts w:eastAsia="Times New Roman" w:cs="Calibri"/>
                <w:noProof/>
              </w:rPr>
            </w:pPr>
            <w:r>
              <w:rPr>
                <w:noProof/>
              </w:rPr>
              <w:t>Urvalskriterierna ska säkerställa överensstämmelse med den tekniska vägledningen om att inte orsaka betydande skada (2021/C58/01) för transaktioner som får stöd inom ramen för denna åtgärd genom användning av en uteslutningslista och kravet på efterlevnad av relevant EU-lagstiftning och nationell miljölagstiftning.</w:t>
            </w:r>
          </w:p>
        </w:tc>
      </w:tr>
      <w:tr w:rsidR="00E040FD" w14:paraId="3DFAB9AF" w14:textId="77777777">
        <w:trPr>
          <w:trHeight w:val="840"/>
        </w:trPr>
        <w:tc>
          <w:tcPr>
            <w:tcW w:w="1135" w:type="dxa"/>
            <w:shd w:val="clear" w:color="auto" w:fill="C5EFCE"/>
            <w:vAlign w:val="center"/>
            <w:hideMark/>
          </w:tcPr>
          <w:p w14:paraId="0F8CC808" w14:textId="77777777" w:rsidR="00E040FD" w:rsidRDefault="00740D64">
            <w:pPr>
              <w:pStyle w:val="P68B1DB1-Normal7"/>
              <w:spacing w:after="0" w:line="240" w:lineRule="auto"/>
              <w:jc w:val="center"/>
              <w:rPr>
                <w:rFonts w:eastAsia="Times New Roman" w:cs="Calibri"/>
                <w:noProof/>
              </w:rPr>
            </w:pPr>
            <w:r>
              <w:rPr>
                <w:noProof/>
              </w:rPr>
              <w:t>16.10</w:t>
            </w:r>
          </w:p>
        </w:tc>
        <w:tc>
          <w:tcPr>
            <w:tcW w:w="1276" w:type="dxa"/>
            <w:shd w:val="clear" w:color="auto" w:fill="C4EFCE"/>
            <w:noWrap/>
            <w:vAlign w:val="center"/>
            <w:hideMark/>
          </w:tcPr>
          <w:p w14:paraId="26E29367" w14:textId="77777777" w:rsidR="00E040FD" w:rsidRDefault="00740D6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5D3DAE9B"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260687F" w14:textId="77777777" w:rsidR="00E040FD" w:rsidRDefault="00740D64">
            <w:pPr>
              <w:pStyle w:val="P68B1DB1-Normal8"/>
              <w:spacing w:after="0" w:line="240" w:lineRule="auto"/>
              <w:jc w:val="center"/>
              <w:rPr>
                <w:rFonts w:eastAsia="Times New Roman" w:cs="Calibri"/>
                <w:noProof/>
              </w:rPr>
            </w:pPr>
            <w:r>
              <w:rPr>
                <w:noProof/>
              </w:rPr>
              <w:t xml:space="preserve">Små och medelstora företag som stöds av acceleratorer för digital handel </w:t>
            </w:r>
          </w:p>
        </w:tc>
        <w:tc>
          <w:tcPr>
            <w:tcW w:w="1275" w:type="dxa"/>
            <w:shd w:val="clear" w:color="auto" w:fill="C4EFCE"/>
            <w:noWrap/>
            <w:vAlign w:val="center"/>
            <w:hideMark/>
          </w:tcPr>
          <w:p w14:paraId="67959119"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EC586D"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59094076" w14:textId="1A775469" w:rsidR="00E040FD" w:rsidRDefault="00740D64">
            <w:pPr>
              <w:pStyle w:val="P68B1DB1-Normal8"/>
              <w:spacing w:after="0" w:line="240" w:lineRule="auto"/>
              <w:jc w:val="center"/>
              <w:rPr>
                <w:rFonts w:eastAsia="Times New Roman" w:cs="Calibri"/>
                <w:noProof/>
              </w:rPr>
            </w:pPr>
            <w:r>
              <w:rPr>
                <w:noProof/>
              </w:rPr>
              <w:t>12 500</w:t>
            </w:r>
          </w:p>
        </w:tc>
        <w:tc>
          <w:tcPr>
            <w:tcW w:w="850" w:type="dxa"/>
            <w:shd w:val="clear" w:color="auto" w:fill="C4EFCE"/>
            <w:noWrap/>
            <w:vAlign w:val="center"/>
            <w:hideMark/>
          </w:tcPr>
          <w:p w14:paraId="52FADA3D" w14:textId="6EEE0035" w:rsidR="00E040FD" w:rsidRDefault="00740D64">
            <w:pPr>
              <w:pStyle w:val="P68B1DB1-Normal8"/>
              <w:spacing w:after="0" w:line="240" w:lineRule="auto"/>
              <w:jc w:val="center"/>
              <w:rPr>
                <w:rFonts w:eastAsia="Times New Roman" w:cs="Calibri"/>
                <w:noProof/>
              </w:rPr>
            </w:pPr>
            <w:r>
              <w:rPr>
                <w:noProof/>
              </w:rPr>
              <w:t>25 000</w:t>
            </w:r>
          </w:p>
        </w:tc>
        <w:tc>
          <w:tcPr>
            <w:tcW w:w="426" w:type="dxa"/>
            <w:shd w:val="clear" w:color="auto" w:fill="C4EFCE"/>
            <w:noWrap/>
            <w:vAlign w:val="center"/>
            <w:hideMark/>
          </w:tcPr>
          <w:p w14:paraId="7C933B29"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37518E67" w14:textId="78F8B329"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3308F67E" w14:textId="77777777" w:rsidR="00E040FD" w:rsidRDefault="00740D64">
            <w:pPr>
              <w:pStyle w:val="P68B1DB1-Normal8"/>
              <w:spacing w:after="0" w:line="240" w:lineRule="auto"/>
              <w:jc w:val="both"/>
              <w:rPr>
                <w:rFonts w:eastAsia="Times New Roman" w:cs="Calibri"/>
                <w:noProof/>
              </w:rPr>
            </w:pPr>
            <w:r>
              <w:rPr>
                <w:noProof/>
              </w:rPr>
              <w:t xml:space="preserve">Antal små och medelstora företag som får stöd genom inrättandet av 25 lokala, regionala eller sektoriella acceleratorer för digital handel samt ett system med ekonomiska incitament för att digitalisera små och medelstora företags affärsmodeller. Stödet ska bestå i att bedöma och diagnostisera digitaliseringsnivån hos stödmottagande små och medelstora företag samt tillhandahålla riktade tjänster och incitament för att öka införandet av digital teknik i stödmottagarnas affärsmodell. </w:t>
            </w:r>
          </w:p>
          <w:p w14:paraId="4ED0DEA8" w14:textId="4B2A5B9A" w:rsidR="00E040FD" w:rsidRDefault="00740D64">
            <w:pPr>
              <w:pStyle w:val="P68B1DB1-Normal8"/>
              <w:spacing w:after="0" w:line="240" w:lineRule="auto"/>
              <w:jc w:val="both"/>
              <w:rPr>
                <w:rFonts w:eastAsia="Times New Roman" w:cs="Calibri"/>
                <w:noProof/>
              </w:rPr>
            </w:pPr>
            <w:r>
              <w:rPr>
                <w:noProof/>
              </w:rPr>
              <w:t>Urvalskriterierna ska säkerställa överensstämmelse med den tekniska vägledningen om att inte orsaka betydande skada (2021/C58/01) för transaktioner som får stöd inom ramen för denna åtgärd genom användning av hållbarhetssäkring, användning av en uteslutningsförteckning och kravet på överensstämmelse med relevant EU-lagstiftning och nationell miljölagstiftning.</w:t>
            </w:r>
          </w:p>
        </w:tc>
      </w:tr>
      <w:tr w:rsidR="00E040FD" w14:paraId="2F71EA50" w14:textId="77777777">
        <w:trPr>
          <w:trHeight w:val="840"/>
        </w:trPr>
        <w:tc>
          <w:tcPr>
            <w:tcW w:w="1135" w:type="dxa"/>
            <w:shd w:val="clear" w:color="auto" w:fill="C5EFCE"/>
            <w:vAlign w:val="center"/>
            <w:hideMark/>
          </w:tcPr>
          <w:p w14:paraId="3D28E0B0" w14:textId="77777777" w:rsidR="00E040FD" w:rsidRDefault="00740D64">
            <w:pPr>
              <w:pStyle w:val="P68B1DB1-Normal7"/>
              <w:spacing w:after="0" w:line="240" w:lineRule="auto"/>
              <w:jc w:val="center"/>
              <w:rPr>
                <w:rFonts w:eastAsia="Times New Roman" w:cs="Calibri"/>
                <w:noProof/>
              </w:rPr>
            </w:pPr>
            <w:r>
              <w:rPr>
                <w:noProof/>
              </w:rPr>
              <w:t>16.11</w:t>
            </w:r>
          </w:p>
        </w:tc>
        <w:tc>
          <w:tcPr>
            <w:tcW w:w="1276" w:type="dxa"/>
            <w:shd w:val="clear" w:color="auto" w:fill="C4EFCE"/>
            <w:noWrap/>
            <w:vAlign w:val="center"/>
            <w:hideMark/>
          </w:tcPr>
          <w:p w14:paraId="644097FA" w14:textId="77777777" w:rsidR="00E040FD" w:rsidRDefault="00740D6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1D133C12"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5F447BF" w14:textId="77777777" w:rsidR="00E040FD" w:rsidRDefault="00740D64">
            <w:pPr>
              <w:pStyle w:val="P68B1DB1-Normal8"/>
              <w:spacing w:after="0" w:line="240" w:lineRule="auto"/>
              <w:jc w:val="center"/>
              <w:rPr>
                <w:rFonts w:eastAsia="Times New Roman" w:cs="Calibri"/>
                <w:noProof/>
              </w:rPr>
            </w:pPr>
            <w:r>
              <w:rPr>
                <w:noProof/>
              </w:rPr>
              <w:t>Små och medelstora företag och företagskuvöser för nystartade företag som får direkt stöd genom digitaliseringsprogram</w:t>
            </w:r>
          </w:p>
        </w:tc>
        <w:tc>
          <w:tcPr>
            <w:tcW w:w="1275" w:type="dxa"/>
            <w:shd w:val="clear" w:color="auto" w:fill="C4EFCE"/>
            <w:noWrap/>
            <w:vAlign w:val="center"/>
            <w:hideMark/>
          </w:tcPr>
          <w:p w14:paraId="07712FA0"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C3CBA4F"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60C4307B"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184B8F8" w14:textId="3B8AD6B5" w:rsidR="00E040FD" w:rsidRDefault="00740D64">
            <w:pPr>
              <w:pStyle w:val="P68B1DB1-Normal8"/>
              <w:spacing w:after="0" w:line="240" w:lineRule="auto"/>
              <w:jc w:val="center"/>
              <w:rPr>
                <w:rFonts w:eastAsia="Times New Roman" w:cs="Calibri"/>
                <w:noProof/>
              </w:rPr>
            </w:pPr>
            <w:r>
              <w:rPr>
                <w:noProof/>
              </w:rPr>
              <w:t>8 600</w:t>
            </w:r>
          </w:p>
        </w:tc>
        <w:tc>
          <w:tcPr>
            <w:tcW w:w="426" w:type="dxa"/>
            <w:shd w:val="clear" w:color="auto" w:fill="C4EFCE"/>
            <w:noWrap/>
            <w:vAlign w:val="center"/>
            <w:hideMark/>
          </w:tcPr>
          <w:p w14:paraId="3BB8FD93"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42E4D76E"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019B1A1" w14:textId="514E9783" w:rsidR="00E040FD" w:rsidRDefault="00740D64">
            <w:pPr>
              <w:pStyle w:val="P68B1DB1-Normal8"/>
              <w:spacing w:after="0" w:line="240" w:lineRule="auto"/>
              <w:jc w:val="both"/>
              <w:rPr>
                <w:rFonts w:eastAsia="Times New Roman" w:cs="Calibri"/>
                <w:noProof/>
              </w:rPr>
            </w:pPr>
            <w:r>
              <w:rPr>
                <w:noProof/>
              </w:rPr>
              <w:t xml:space="preserve">Antal små och medelstora företag (8500) och företagskuvöser för nystartade företag (100) som får stöd från något av följande program: (1) internationalisering via e-handel; (2) coachning 4.0 åtgärder till stöd för affärsmodeller för den digitala omställningen. (3) kuponger för nystartade företag för utveckling av nya gröna och digitala produkter. (4) kuponger för företagsinkubatorer och acceleratorer för deras tekniska utveckling. </w:t>
            </w:r>
          </w:p>
          <w:p w14:paraId="6029676F" w14:textId="7C82C703" w:rsidR="00E040FD" w:rsidRDefault="00740D64">
            <w:pPr>
              <w:pStyle w:val="P68B1DB1-Normal8"/>
              <w:spacing w:after="0" w:line="240" w:lineRule="auto"/>
              <w:jc w:val="both"/>
              <w:rPr>
                <w:rFonts w:eastAsia="Times New Roman" w:cs="Calibri"/>
                <w:noProof/>
              </w:rPr>
            </w:pPr>
            <w:r>
              <w:rPr>
                <w:noProof/>
              </w:rPr>
              <w:t>Urvalskriterierna ska säkerställa överensstämmelse med den tekniska vägledningen om att inte orsaka betydande skada (2021/C58/01) för transaktioner som får stöd inom ramen för denna åtgärd genom användning av en uteslutningslista och kravet på efterlevnad av relevant EU-lagstiftning och nationell miljölagstiftning.</w:t>
            </w:r>
          </w:p>
        </w:tc>
      </w:tr>
      <w:tr w:rsidR="00E040FD" w14:paraId="38A52C15" w14:textId="77777777">
        <w:trPr>
          <w:trHeight w:val="1643"/>
        </w:trPr>
        <w:tc>
          <w:tcPr>
            <w:tcW w:w="1135" w:type="dxa"/>
            <w:shd w:val="clear" w:color="auto" w:fill="C5EFCE"/>
            <w:vAlign w:val="center"/>
            <w:hideMark/>
          </w:tcPr>
          <w:p w14:paraId="4CAE8DE6" w14:textId="77777777" w:rsidR="00E040FD" w:rsidRDefault="00740D64">
            <w:pPr>
              <w:pStyle w:val="P68B1DB1-Normal7"/>
              <w:spacing w:after="0" w:line="240" w:lineRule="auto"/>
              <w:jc w:val="center"/>
              <w:rPr>
                <w:rFonts w:eastAsia="Times New Roman" w:cs="Calibri"/>
                <w:noProof/>
              </w:rPr>
            </w:pPr>
            <w:r>
              <w:rPr>
                <w:noProof/>
              </w:rPr>
              <w:t>16.12</w:t>
            </w:r>
          </w:p>
        </w:tc>
        <w:tc>
          <w:tcPr>
            <w:tcW w:w="1276" w:type="dxa"/>
            <w:shd w:val="clear" w:color="auto" w:fill="C4EFCE"/>
            <w:noWrap/>
            <w:vAlign w:val="center"/>
            <w:hideMark/>
          </w:tcPr>
          <w:p w14:paraId="5F867C02" w14:textId="77777777" w:rsidR="00E040FD" w:rsidRDefault="00740D6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45502F32"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02F5C2B" w14:textId="77777777" w:rsidR="00E040FD" w:rsidRDefault="00740D64">
            <w:pPr>
              <w:pStyle w:val="P68B1DB1-Normal8"/>
              <w:spacing w:after="0" w:line="240" w:lineRule="auto"/>
              <w:jc w:val="center"/>
              <w:rPr>
                <w:rFonts w:eastAsia="Times New Roman" w:cs="Calibri"/>
                <w:noProof/>
              </w:rPr>
            </w:pPr>
            <w:r>
              <w:rPr>
                <w:noProof/>
              </w:rPr>
              <w:t>Nystartade företag kartlagda på Startup Portugals plattform</w:t>
            </w:r>
          </w:p>
        </w:tc>
        <w:tc>
          <w:tcPr>
            <w:tcW w:w="1275" w:type="dxa"/>
            <w:shd w:val="clear" w:color="auto" w:fill="C4EFCE"/>
            <w:noWrap/>
            <w:vAlign w:val="center"/>
            <w:hideMark/>
          </w:tcPr>
          <w:p w14:paraId="23EFB0A5"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D58674F"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0380127A"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3517E74" w14:textId="77777777" w:rsidR="00E040FD" w:rsidRDefault="00740D64">
            <w:pPr>
              <w:pStyle w:val="P68B1DB1-Normal8"/>
              <w:spacing w:after="0" w:line="240" w:lineRule="auto"/>
              <w:jc w:val="center"/>
              <w:rPr>
                <w:rFonts w:eastAsia="Times New Roman" w:cs="Calibri"/>
                <w:noProof/>
              </w:rPr>
            </w:pPr>
            <w:r>
              <w:rPr>
                <w:noProof/>
              </w:rPr>
              <w:t>5 000</w:t>
            </w:r>
          </w:p>
        </w:tc>
        <w:tc>
          <w:tcPr>
            <w:tcW w:w="426" w:type="dxa"/>
            <w:shd w:val="clear" w:color="auto" w:fill="C4EFCE"/>
            <w:noWrap/>
            <w:vAlign w:val="center"/>
            <w:hideMark/>
          </w:tcPr>
          <w:p w14:paraId="486D0174"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18DDACC3"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B3984B8" w14:textId="77777777" w:rsidR="00E040FD" w:rsidRDefault="00740D64">
            <w:pPr>
              <w:pStyle w:val="P68B1DB1-Normal8"/>
              <w:spacing w:after="0" w:line="240" w:lineRule="auto"/>
              <w:jc w:val="both"/>
              <w:rPr>
                <w:rFonts w:eastAsia="Times New Roman" w:cs="Calibri"/>
                <w:noProof/>
              </w:rPr>
            </w:pPr>
            <w:r>
              <w:rPr>
                <w:noProof/>
              </w:rPr>
              <w:t>Antal nystartade företag som kartlagts genom att identifiera deras huvudsakliga affärsegenskaper på plattformen Start-up Portugal. Den nya plattformen ska övervaka ekosystemet för nystartade företag, särskilt, men inte begränsat till, digitala företag. Plattformen ska göras tillgänglig för hela ekosystemet (nystartade företag, investerare, acceleratorer/inkubatorer, offentliga organ).</w:t>
            </w:r>
          </w:p>
        </w:tc>
      </w:tr>
      <w:tr w:rsidR="00E040FD" w14:paraId="7350D2DA" w14:textId="77777777">
        <w:trPr>
          <w:trHeight w:val="840"/>
        </w:trPr>
        <w:tc>
          <w:tcPr>
            <w:tcW w:w="1135" w:type="dxa"/>
            <w:shd w:val="clear" w:color="auto" w:fill="C5EFCE"/>
            <w:vAlign w:val="center"/>
            <w:hideMark/>
          </w:tcPr>
          <w:p w14:paraId="33990609" w14:textId="77777777" w:rsidR="00E040FD" w:rsidRDefault="00740D64">
            <w:pPr>
              <w:pStyle w:val="P68B1DB1-Normal7"/>
              <w:spacing w:after="0" w:line="240" w:lineRule="auto"/>
              <w:jc w:val="center"/>
              <w:rPr>
                <w:rFonts w:eastAsia="Times New Roman" w:cs="Calibri"/>
                <w:noProof/>
              </w:rPr>
            </w:pPr>
            <w:r>
              <w:rPr>
                <w:noProof/>
              </w:rPr>
              <w:t>16.13</w:t>
            </w:r>
          </w:p>
        </w:tc>
        <w:tc>
          <w:tcPr>
            <w:tcW w:w="1276" w:type="dxa"/>
            <w:shd w:val="clear" w:color="auto" w:fill="C4EFCE"/>
            <w:noWrap/>
            <w:vAlign w:val="center"/>
            <w:hideMark/>
          </w:tcPr>
          <w:p w14:paraId="10894A09" w14:textId="77777777" w:rsidR="00E040FD" w:rsidRDefault="00740D64">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7DE9E8AC"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190118A" w14:textId="77777777" w:rsidR="00E040FD" w:rsidRDefault="00740D64">
            <w:pPr>
              <w:pStyle w:val="P68B1DB1-Normal8"/>
              <w:spacing w:after="0" w:line="240" w:lineRule="auto"/>
              <w:jc w:val="center"/>
              <w:rPr>
                <w:rFonts w:eastAsia="Times New Roman" w:cs="Calibri"/>
                <w:noProof/>
              </w:rPr>
            </w:pPr>
            <w:r>
              <w:rPr>
                <w:noProof/>
              </w:rPr>
              <w:t xml:space="preserve">Digitala innovationsknutpunkter </w:t>
            </w:r>
          </w:p>
        </w:tc>
        <w:tc>
          <w:tcPr>
            <w:tcW w:w="1275" w:type="dxa"/>
            <w:shd w:val="clear" w:color="auto" w:fill="C4EFCE"/>
            <w:noWrap/>
            <w:vAlign w:val="center"/>
            <w:hideMark/>
          </w:tcPr>
          <w:p w14:paraId="5EFD82C5" w14:textId="77777777" w:rsidR="00E040FD" w:rsidRDefault="00740D64">
            <w:pPr>
              <w:pStyle w:val="P68B1DB1-Normal9"/>
              <w:spacing w:after="0" w:line="240" w:lineRule="auto"/>
              <w:rPr>
                <w:rFonts w:eastAsia="Times New Roman" w:cs="Calibri"/>
                <w:noProof/>
              </w:rPr>
            </w:pPr>
            <w:r>
              <w:rPr>
                <w:noProof/>
              </w:rPr>
              <w:t> </w:t>
            </w:r>
          </w:p>
        </w:tc>
        <w:tc>
          <w:tcPr>
            <w:tcW w:w="993" w:type="dxa"/>
            <w:shd w:val="clear" w:color="auto" w:fill="C4EFCE"/>
            <w:noWrap/>
            <w:vAlign w:val="center"/>
            <w:hideMark/>
          </w:tcPr>
          <w:p w14:paraId="3E8E9CC7" w14:textId="77777777" w:rsidR="00E040FD" w:rsidRDefault="00740D64">
            <w:pPr>
              <w:pStyle w:val="P68B1DB1-Normal8"/>
              <w:spacing w:after="0" w:line="240" w:lineRule="auto"/>
              <w:jc w:val="center"/>
              <w:rPr>
                <w:rFonts w:eastAsia="Times New Roman" w:cs="Calibri"/>
                <w:noProof/>
              </w:rPr>
            </w:pPr>
            <w:r>
              <w:rPr>
                <w:noProof/>
              </w:rPr>
              <w:t> Antal</w:t>
            </w:r>
          </w:p>
        </w:tc>
        <w:tc>
          <w:tcPr>
            <w:tcW w:w="992" w:type="dxa"/>
            <w:shd w:val="clear" w:color="auto" w:fill="C4EFCE"/>
            <w:noWrap/>
            <w:vAlign w:val="center"/>
            <w:hideMark/>
          </w:tcPr>
          <w:p w14:paraId="002156A3" w14:textId="77777777" w:rsidR="00E040FD" w:rsidRDefault="00740D64">
            <w:pPr>
              <w:pStyle w:val="P68B1DB1-Normal8"/>
              <w:spacing w:after="0" w:line="240" w:lineRule="auto"/>
              <w:jc w:val="center"/>
              <w:rPr>
                <w:rFonts w:eastAsia="Times New Roman" w:cs="Calibri"/>
                <w:noProof/>
              </w:rPr>
            </w:pPr>
            <w:r>
              <w:rPr>
                <w:noProof/>
              </w:rPr>
              <w:t>0 </w:t>
            </w:r>
          </w:p>
        </w:tc>
        <w:tc>
          <w:tcPr>
            <w:tcW w:w="850" w:type="dxa"/>
            <w:shd w:val="clear" w:color="auto" w:fill="C4EFCE"/>
            <w:noWrap/>
            <w:vAlign w:val="center"/>
            <w:hideMark/>
          </w:tcPr>
          <w:p w14:paraId="1A05649D" w14:textId="77777777" w:rsidR="00E040FD" w:rsidRDefault="00740D64">
            <w:pPr>
              <w:pStyle w:val="P68B1DB1-Normal8"/>
              <w:spacing w:after="0" w:line="240" w:lineRule="auto"/>
              <w:jc w:val="center"/>
              <w:rPr>
                <w:rFonts w:eastAsia="Times New Roman" w:cs="Calibri"/>
                <w:noProof/>
              </w:rPr>
            </w:pPr>
            <w:r>
              <w:rPr>
                <w:noProof/>
              </w:rPr>
              <w:t>16 </w:t>
            </w:r>
          </w:p>
        </w:tc>
        <w:tc>
          <w:tcPr>
            <w:tcW w:w="426" w:type="dxa"/>
            <w:shd w:val="clear" w:color="auto" w:fill="C4EFCE"/>
            <w:noWrap/>
            <w:vAlign w:val="center"/>
            <w:hideMark/>
          </w:tcPr>
          <w:p w14:paraId="5BF193C2"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5DBE4E93" w14:textId="77777777" w:rsidR="00E040FD" w:rsidRDefault="00740D6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4DEDE547" w14:textId="77777777" w:rsidR="00E040FD" w:rsidRDefault="00740D64">
            <w:pPr>
              <w:pStyle w:val="P68B1DB1-Normal8"/>
              <w:spacing w:after="0" w:line="240" w:lineRule="auto"/>
              <w:jc w:val="both"/>
              <w:rPr>
                <w:rFonts w:eastAsia="Times New Roman" w:cs="Calibri"/>
                <w:noProof/>
              </w:rPr>
            </w:pPr>
            <w:r>
              <w:rPr>
                <w:noProof/>
              </w:rPr>
              <w:t xml:space="preserve">Antal DIH-konsortier som valts ut genom godkännande av anbud. Inrättandet av varje digital innovationsknutpunkt ska därefter innebära att det inrättas en inkubator/accelerator för att främja det företagsekosystem som är knutet till de sektorer som omfattas av navet. Denna investering ska stärka och komplettera det nätverk som redan håller på att utvecklas inom programmet för ett digitalt Europa. </w:t>
            </w:r>
          </w:p>
          <w:p w14:paraId="68D94C4B" w14:textId="6D8CCEFE" w:rsidR="00E040FD" w:rsidRDefault="00740D64">
            <w:pPr>
              <w:pStyle w:val="P68B1DB1-Normal8"/>
              <w:spacing w:after="0" w:line="240" w:lineRule="auto"/>
              <w:jc w:val="both"/>
              <w:rPr>
                <w:rFonts w:eastAsia="Times New Roman" w:cs="Calibri"/>
                <w:noProof/>
              </w:rPr>
            </w:pPr>
            <w:r>
              <w:rPr>
                <w:noProof/>
              </w:rPr>
              <w:t>Urvalskriterierna ska säkerställa överensstämmelse med den tekniska vägledningen om att inte orsaka betydande skada (2021/C58/01) för transaktioner som får stöd inom ramen för denna åtgärd genom användning av en uteslutningslista och kravet på efterlevnad av relevant EU-lagstiftning och nationell miljölagstiftning.</w:t>
            </w:r>
          </w:p>
        </w:tc>
      </w:tr>
      <w:tr w:rsidR="00E040FD" w14:paraId="79AB1DD3" w14:textId="77777777">
        <w:trPr>
          <w:trHeight w:val="1260"/>
        </w:trPr>
        <w:tc>
          <w:tcPr>
            <w:tcW w:w="1135" w:type="dxa"/>
            <w:shd w:val="clear" w:color="auto" w:fill="C5EFCE"/>
            <w:vAlign w:val="center"/>
            <w:hideMark/>
          </w:tcPr>
          <w:p w14:paraId="5646FF40" w14:textId="77777777" w:rsidR="00E040FD" w:rsidRDefault="00740D64">
            <w:pPr>
              <w:pStyle w:val="P68B1DB1-Normal7"/>
              <w:spacing w:after="0" w:line="240" w:lineRule="auto"/>
              <w:jc w:val="center"/>
              <w:rPr>
                <w:rFonts w:eastAsia="Times New Roman" w:cs="Calibri"/>
                <w:noProof/>
              </w:rPr>
            </w:pPr>
            <w:r>
              <w:rPr>
                <w:noProof/>
              </w:rPr>
              <w:t>16.14</w:t>
            </w:r>
          </w:p>
        </w:tc>
        <w:tc>
          <w:tcPr>
            <w:tcW w:w="1276" w:type="dxa"/>
            <w:shd w:val="clear" w:color="auto" w:fill="C4EFCE"/>
            <w:noWrap/>
            <w:vAlign w:val="center"/>
            <w:hideMark/>
          </w:tcPr>
          <w:p w14:paraId="7CBB2F82" w14:textId="77777777" w:rsidR="00E040FD" w:rsidRDefault="00740D64">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341A98B2"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B60B1E9" w14:textId="4F175647" w:rsidR="00E040FD" w:rsidRDefault="00740D64">
            <w:pPr>
              <w:pStyle w:val="P68B1DB1-Normal8"/>
              <w:spacing w:after="0" w:line="240" w:lineRule="auto"/>
              <w:jc w:val="center"/>
              <w:rPr>
                <w:rFonts w:eastAsia="Times New Roman" w:cs="Calibri"/>
                <w:noProof/>
              </w:rPr>
            </w:pPr>
            <w:r>
              <w:rPr>
                <w:noProof/>
              </w:rPr>
              <w:t>Inrättande av tjänster för att skicka digitala fakturor och cybersäkerhet, integritet, användbarhet och hållbarhetscertifiering</w:t>
            </w:r>
          </w:p>
        </w:tc>
        <w:tc>
          <w:tcPr>
            <w:tcW w:w="1275" w:type="dxa"/>
            <w:shd w:val="clear" w:color="auto" w:fill="C4EFCE"/>
            <w:noWrap/>
            <w:vAlign w:val="center"/>
            <w:hideMark/>
          </w:tcPr>
          <w:p w14:paraId="47964243" w14:textId="23D0FDDC" w:rsidR="00E040FD" w:rsidRDefault="00740D64">
            <w:pPr>
              <w:pStyle w:val="P68B1DB1-Normal8"/>
              <w:spacing w:after="0" w:line="240" w:lineRule="auto"/>
              <w:jc w:val="center"/>
              <w:rPr>
                <w:rFonts w:eastAsia="Times New Roman" w:cs="Calibri"/>
                <w:noProof/>
              </w:rPr>
            </w:pPr>
            <w:r>
              <w:rPr>
                <w:noProof/>
              </w:rPr>
              <w:t>Inrättande av tjänster för att skicka digitala fakturor och cybersäkerhet, integritet, användbarhet och hållbarhetscertifiering</w:t>
            </w:r>
          </w:p>
        </w:tc>
        <w:tc>
          <w:tcPr>
            <w:tcW w:w="993" w:type="dxa"/>
            <w:shd w:val="clear" w:color="auto" w:fill="C4EFCE"/>
            <w:noWrap/>
            <w:vAlign w:val="center"/>
            <w:hideMark/>
          </w:tcPr>
          <w:p w14:paraId="6A78DFAD"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A29D9CC" w14:textId="77777777" w:rsidR="00E040FD" w:rsidRDefault="00740D6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72953ACD" w14:textId="77777777" w:rsidR="00E040FD" w:rsidRDefault="00740D64">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61FDC68D"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5FB707A1" w14:textId="4D55CBE4" w:rsidR="00E040FD" w:rsidRDefault="00740D64">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47407F89" w14:textId="556CFAD8" w:rsidR="00E040FD" w:rsidRDefault="00740D64">
            <w:pPr>
              <w:pStyle w:val="P68B1DB1-Normal8"/>
              <w:spacing w:after="0" w:line="240" w:lineRule="auto"/>
              <w:jc w:val="both"/>
              <w:rPr>
                <w:rFonts w:eastAsia="Times New Roman" w:cs="Calibri"/>
                <w:noProof/>
              </w:rPr>
            </w:pPr>
            <w:r>
              <w:rPr>
                <w:noProof/>
              </w:rPr>
              <w:t xml:space="preserve">Fem nya tjänster ska inrättas för 1) skicka digitala fakturor. och 2) cybersäkerhetscertifiering, 3) integritetscertifiering, 4) användarbarhetscertifiering och 5) hållbarhetscertifiering. inklusive därtill hörande spridningskampanjer om alla tjänster. Certifieringstjänsterna ska stödja ansökningar och inlämning av begäranden om certifiering, processhantering, utfärdande och centraliserad databas över utfärdade certifikat och stämplar. Certifieringstjänsterna ska också stödja kommunikationen mellan alla partner och enheter som deltar i processerna samt generera förfarandeuppgifter som är relevanta för övervakningen av programmet. </w:t>
            </w:r>
          </w:p>
          <w:p w14:paraId="0BACA7B9" w14:textId="50E00C55" w:rsidR="00E040FD" w:rsidRDefault="00740D64">
            <w:pPr>
              <w:pStyle w:val="P68B1DB1-Normal8"/>
              <w:spacing w:after="0" w:line="240" w:lineRule="auto"/>
              <w:jc w:val="both"/>
              <w:rPr>
                <w:rFonts w:eastAsia="Times New Roman" w:cs="Calibri"/>
                <w:noProof/>
              </w:rPr>
            </w:pPr>
            <w:r>
              <w:rPr>
                <w:noProof/>
              </w:rPr>
              <w:t>Tjänsterna måste vara operativa och tillgängliga för de avsedda användarna.</w:t>
            </w:r>
          </w:p>
        </w:tc>
      </w:tr>
      <w:tr w:rsidR="00E040FD" w14:paraId="6CC3F169" w14:textId="77777777">
        <w:trPr>
          <w:trHeight w:val="420"/>
        </w:trPr>
        <w:tc>
          <w:tcPr>
            <w:tcW w:w="1135" w:type="dxa"/>
            <w:shd w:val="clear" w:color="auto" w:fill="C5EFCE"/>
            <w:vAlign w:val="center"/>
            <w:hideMark/>
          </w:tcPr>
          <w:p w14:paraId="1DB80902" w14:textId="77777777" w:rsidR="00E040FD" w:rsidRDefault="00740D64">
            <w:pPr>
              <w:pStyle w:val="P68B1DB1-Normal7"/>
              <w:spacing w:after="0" w:line="240" w:lineRule="auto"/>
              <w:jc w:val="center"/>
              <w:rPr>
                <w:rFonts w:eastAsia="Times New Roman" w:cs="Calibri"/>
                <w:noProof/>
              </w:rPr>
            </w:pPr>
            <w:r>
              <w:rPr>
                <w:noProof/>
              </w:rPr>
              <w:t>16.15</w:t>
            </w:r>
          </w:p>
        </w:tc>
        <w:tc>
          <w:tcPr>
            <w:tcW w:w="1276" w:type="dxa"/>
            <w:shd w:val="clear" w:color="auto" w:fill="C4EFCE"/>
            <w:noWrap/>
            <w:vAlign w:val="center"/>
            <w:hideMark/>
          </w:tcPr>
          <w:p w14:paraId="383E4833" w14:textId="77777777" w:rsidR="00E040FD" w:rsidRDefault="00740D64">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4864A864"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89CD254" w14:textId="77777777" w:rsidR="00E040FD" w:rsidRDefault="00740D64">
            <w:pPr>
              <w:pStyle w:val="P68B1DB1-Normal8"/>
              <w:spacing w:after="0" w:line="240" w:lineRule="auto"/>
              <w:jc w:val="center"/>
              <w:rPr>
                <w:rFonts w:eastAsia="Times New Roman" w:cs="Calibri"/>
                <w:noProof/>
              </w:rPr>
            </w:pPr>
            <w:r>
              <w:rPr>
                <w:noProof/>
              </w:rPr>
              <w:t xml:space="preserve">Mottagare av konsulttjänster från digitala innovationsknutpunkter </w:t>
            </w:r>
          </w:p>
        </w:tc>
        <w:tc>
          <w:tcPr>
            <w:tcW w:w="1275" w:type="dxa"/>
            <w:shd w:val="clear" w:color="auto" w:fill="C4EFCE"/>
            <w:noWrap/>
            <w:vAlign w:val="center"/>
            <w:hideMark/>
          </w:tcPr>
          <w:p w14:paraId="133DBDBB"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A460E9"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3726AA67" w14:textId="77777777" w:rsidR="00E040FD" w:rsidRDefault="00740D6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1641080" w14:textId="77777777" w:rsidR="00E040FD" w:rsidRDefault="00740D64">
            <w:pPr>
              <w:pStyle w:val="P68B1DB1-Normal8"/>
              <w:spacing w:after="0" w:line="240" w:lineRule="auto"/>
              <w:jc w:val="center"/>
              <w:rPr>
                <w:rFonts w:eastAsia="Times New Roman" w:cs="Calibri"/>
                <w:noProof/>
              </w:rPr>
            </w:pPr>
            <w:r>
              <w:rPr>
                <w:noProof/>
              </w:rPr>
              <w:t>4 000</w:t>
            </w:r>
          </w:p>
        </w:tc>
        <w:tc>
          <w:tcPr>
            <w:tcW w:w="426" w:type="dxa"/>
            <w:shd w:val="clear" w:color="auto" w:fill="C4EFCE"/>
            <w:noWrap/>
            <w:vAlign w:val="center"/>
            <w:hideMark/>
          </w:tcPr>
          <w:p w14:paraId="56D9EB98" w14:textId="7777777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hideMark/>
          </w:tcPr>
          <w:p w14:paraId="0130120B"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1636AA94" w14:textId="0B784B8C" w:rsidR="00E040FD" w:rsidRDefault="00740D64">
            <w:pPr>
              <w:pStyle w:val="P68B1DB1-Normal8"/>
              <w:spacing w:after="0" w:line="240" w:lineRule="auto"/>
              <w:jc w:val="both"/>
              <w:rPr>
                <w:rFonts w:eastAsia="Times New Roman" w:cs="Calibri"/>
                <w:noProof/>
              </w:rPr>
            </w:pPr>
            <w:r>
              <w:rPr>
                <w:noProof/>
              </w:rPr>
              <w:t xml:space="preserve">Antal företag och offentliga enheter som har fått konsulttjänster från nätverket av digitala innovationsknutpunkter för att förbättra kunskap och produktionsprocesser genom automatisering eller införlivande av banbrytande teknik. </w:t>
            </w:r>
          </w:p>
          <w:p w14:paraId="5AE72FC4" w14:textId="77777777" w:rsidR="00E040FD" w:rsidRDefault="00E040FD">
            <w:pPr>
              <w:spacing w:after="0" w:line="240" w:lineRule="auto"/>
              <w:jc w:val="both"/>
              <w:rPr>
                <w:rFonts w:ascii="Calibri" w:eastAsia="Times New Roman" w:hAnsi="Calibri" w:cs="Calibri"/>
                <w:noProof/>
                <w:sz w:val="16"/>
              </w:rPr>
            </w:pPr>
          </w:p>
          <w:p w14:paraId="2C30F216" w14:textId="36F5FEA4" w:rsidR="00E040FD" w:rsidRDefault="00740D64">
            <w:pPr>
              <w:pStyle w:val="P68B1DB1-Normal8"/>
              <w:spacing w:after="0" w:line="240" w:lineRule="auto"/>
              <w:jc w:val="both"/>
              <w:rPr>
                <w:rFonts w:eastAsia="Times New Roman" w:cs="Calibri"/>
                <w:noProof/>
              </w:rPr>
            </w:pPr>
            <w:r>
              <w:rPr>
                <w:noProof/>
              </w:rPr>
              <w:t>Urvalskriterierna ska säkerställa överensstämmelse med den tekniska vägledningen om att inte orsaka betydande skada (2021/C58/01) för transaktioner som får stöd inom ramen för denna åtgärd genom användning av en uteslutningslista och kravet på efterlevnad av relevant EU-lagstiftning och nationell miljölagstiftning.</w:t>
            </w:r>
          </w:p>
        </w:tc>
      </w:tr>
      <w:tr w:rsidR="00E040FD" w14:paraId="4304841E" w14:textId="77777777">
        <w:trPr>
          <w:trHeight w:val="420"/>
        </w:trPr>
        <w:tc>
          <w:tcPr>
            <w:tcW w:w="1135" w:type="dxa"/>
            <w:shd w:val="clear" w:color="auto" w:fill="C5EFCE"/>
            <w:vAlign w:val="center"/>
          </w:tcPr>
          <w:p w14:paraId="539E2D22" w14:textId="3A085AAA" w:rsidR="00E040FD" w:rsidRDefault="00740D64">
            <w:pPr>
              <w:pStyle w:val="P68B1DB1-Normal11"/>
              <w:spacing w:after="0" w:line="240" w:lineRule="auto"/>
              <w:jc w:val="center"/>
              <w:rPr>
                <w:rFonts w:eastAsia="Times New Roman"/>
                <w:noProof/>
              </w:rPr>
            </w:pPr>
            <w:r>
              <w:rPr>
                <w:noProof/>
              </w:rPr>
              <w:t>16.16</w:t>
            </w:r>
          </w:p>
        </w:tc>
        <w:tc>
          <w:tcPr>
            <w:tcW w:w="1276" w:type="dxa"/>
            <w:shd w:val="clear" w:color="auto" w:fill="C4EFCE"/>
            <w:noWrap/>
            <w:vAlign w:val="center"/>
          </w:tcPr>
          <w:p w14:paraId="763655D4" w14:textId="6D8AFDF4" w:rsidR="00E040FD" w:rsidRDefault="00740D64">
            <w:pPr>
              <w:pStyle w:val="P68B1DB1-Normal12"/>
              <w:spacing w:after="0" w:line="240" w:lineRule="auto"/>
              <w:jc w:val="center"/>
              <w:rPr>
                <w:rFonts w:eastAsia="Times New Roman"/>
                <w:noProof/>
              </w:rPr>
            </w:pPr>
            <w:r>
              <w:rPr>
                <w:noProof/>
              </w:rPr>
              <w:t>TD-C16-i04</w:t>
            </w:r>
          </w:p>
        </w:tc>
        <w:tc>
          <w:tcPr>
            <w:tcW w:w="1134" w:type="dxa"/>
            <w:shd w:val="clear" w:color="auto" w:fill="C4EFCE"/>
            <w:noWrap/>
            <w:vAlign w:val="center"/>
          </w:tcPr>
          <w:p w14:paraId="1D87961C" w14:textId="083D5D73" w:rsidR="00E040FD" w:rsidRDefault="00740D64">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75967FD1" w14:textId="3536B628" w:rsidR="00E040FD" w:rsidRDefault="00740D64">
            <w:pPr>
              <w:pStyle w:val="P68B1DB1-Normal12"/>
              <w:spacing w:after="0" w:line="240" w:lineRule="auto"/>
              <w:jc w:val="center"/>
              <w:rPr>
                <w:rFonts w:eastAsia="Times New Roman"/>
                <w:noProof/>
              </w:rPr>
            </w:pPr>
            <w:r>
              <w:rPr>
                <w:noProof/>
              </w:rPr>
              <w:t>Urval av projekt inom Industri 4.0</w:t>
            </w:r>
          </w:p>
        </w:tc>
        <w:tc>
          <w:tcPr>
            <w:tcW w:w="1275" w:type="dxa"/>
            <w:shd w:val="clear" w:color="auto" w:fill="C4EFCE"/>
            <w:noWrap/>
            <w:vAlign w:val="center"/>
          </w:tcPr>
          <w:p w14:paraId="29B2785A" w14:textId="77777777" w:rsidR="00E040FD" w:rsidRDefault="00E040FD">
            <w:pPr>
              <w:spacing w:after="0" w:line="240" w:lineRule="auto"/>
              <w:jc w:val="center"/>
              <w:rPr>
                <w:rFonts w:eastAsia="Times New Roman"/>
                <w:noProof/>
                <w:sz w:val="16"/>
              </w:rPr>
            </w:pPr>
          </w:p>
        </w:tc>
        <w:tc>
          <w:tcPr>
            <w:tcW w:w="993" w:type="dxa"/>
            <w:shd w:val="clear" w:color="auto" w:fill="C4EFCE"/>
            <w:noWrap/>
            <w:vAlign w:val="center"/>
          </w:tcPr>
          <w:p w14:paraId="3EBFDF40" w14:textId="0EF6EAE9" w:rsidR="00E040FD" w:rsidRDefault="00740D64">
            <w:pPr>
              <w:pStyle w:val="P68B1DB1-Normal12"/>
              <w:spacing w:after="0" w:line="240" w:lineRule="auto"/>
              <w:jc w:val="center"/>
              <w:rPr>
                <w:rFonts w:eastAsia="Times New Roman"/>
                <w:noProof/>
              </w:rPr>
            </w:pPr>
            <w:r>
              <w:rPr>
                <w:noProof/>
              </w:rPr>
              <w:t>Antal</w:t>
            </w:r>
          </w:p>
        </w:tc>
        <w:tc>
          <w:tcPr>
            <w:tcW w:w="992" w:type="dxa"/>
            <w:shd w:val="clear" w:color="auto" w:fill="C4EFCE"/>
            <w:noWrap/>
            <w:vAlign w:val="center"/>
          </w:tcPr>
          <w:p w14:paraId="61E469D2" w14:textId="319E9FF9" w:rsidR="00E040FD" w:rsidRDefault="00740D64">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12BC99BF" w14:textId="2D6BD732" w:rsidR="00E040FD" w:rsidRDefault="00740D64">
            <w:pPr>
              <w:pStyle w:val="P68B1DB1-Normal12"/>
              <w:spacing w:after="0" w:line="240" w:lineRule="auto"/>
              <w:jc w:val="center"/>
              <w:rPr>
                <w:rFonts w:eastAsia="Times New Roman"/>
                <w:noProof/>
              </w:rPr>
            </w:pPr>
            <w:r>
              <w:rPr>
                <w:noProof/>
              </w:rPr>
              <w:t>200</w:t>
            </w:r>
          </w:p>
        </w:tc>
        <w:tc>
          <w:tcPr>
            <w:tcW w:w="426" w:type="dxa"/>
            <w:shd w:val="clear" w:color="auto" w:fill="C4EFCE"/>
            <w:noWrap/>
            <w:vAlign w:val="center"/>
          </w:tcPr>
          <w:p w14:paraId="686302E9" w14:textId="1D2B546F" w:rsidR="00E040FD" w:rsidRDefault="00740D64">
            <w:pPr>
              <w:pStyle w:val="P68B1DB1-Normal12"/>
              <w:spacing w:after="0" w:line="240" w:lineRule="auto"/>
              <w:jc w:val="center"/>
              <w:rPr>
                <w:rFonts w:eastAsia="Times New Roman"/>
                <w:noProof/>
              </w:rPr>
            </w:pPr>
            <w:r>
              <w:rPr>
                <w:noProof/>
              </w:rPr>
              <w:t>KVARTAL 4</w:t>
            </w:r>
          </w:p>
        </w:tc>
        <w:tc>
          <w:tcPr>
            <w:tcW w:w="708" w:type="dxa"/>
            <w:shd w:val="clear" w:color="auto" w:fill="C4EFCE"/>
            <w:noWrap/>
            <w:vAlign w:val="center"/>
          </w:tcPr>
          <w:p w14:paraId="39738C45" w14:textId="2252F3CD" w:rsidR="00E040FD" w:rsidRDefault="00740D64">
            <w:pPr>
              <w:pStyle w:val="P68B1DB1-Normal12"/>
              <w:spacing w:after="0" w:line="240" w:lineRule="auto"/>
              <w:jc w:val="center"/>
              <w:rPr>
                <w:rFonts w:eastAsia="Times New Roman"/>
                <w:noProof/>
              </w:rPr>
            </w:pPr>
            <w:r>
              <w:rPr>
                <w:noProof/>
              </w:rPr>
              <w:t>2023</w:t>
            </w:r>
          </w:p>
        </w:tc>
        <w:tc>
          <w:tcPr>
            <w:tcW w:w="3969" w:type="dxa"/>
            <w:shd w:val="clear" w:color="auto" w:fill="C4EFCE"/>
            <w:vAlign w:val="center"/>
          </w:tcPr>
          <w:p w14:paraId="635FD244" w14:textId="3B0DF872" w:rsidR="00E040FD" w:rsidRDefault="00740D64">
            <w:pPr>
              <w:pStyle w:val="P68B1DB1-Bodytext1013"/>
              <w:spacing w:after="0" w:line="240" w:lineRule="auto"/>
              <w:rPr>
                <w:rFonts w:cstheme="minorBidi"/>
                <w:noProof/>
              </w:rPr>
            </w:pPr>
            <w:r>
              <w:rPr>
                <w:noProof/>
              </w:rPr>
              <w:t>200 projekt inom industri 4.0 ska väljas ut. Projekten ska överensstämma med den typ av åtgärder som beskrivs i beskrivningen av åtgärden.</w:t>
            </w:r>
          </w:p>
          <w:p w14:paraId="20D914ED" w14:textId="5E511421" w:rsidR="00E040FD" w:rsidRDefault="00740D64">
            <w:pPr>
              <w:pStyle w:val="P68B1DB1-Normal12"/>
              <w:spacing w:after="0" w:line="240" w:lineRule="auto"/>
              <w:jc w:val="both"/>
              <w:rPr>
                <w:rFonts w:eastAsia="Times New Roman"/>
                <w:noProof/>
              </w:rPr>
            </w:pPr>
            <w:r>
              <w:rPr>
                <w:noProof/>
              </w:rPr>
              <w:t>Urvalskriterierna ska säkerställa överensstämmelse med den tekniska vägledningen om att inte orsaka betydande skada (2021/C58/01) för transaktioner som får stöd inom ramen för denna åtgärd genom användning av en uteslutningslista i enlighet med beskrivningen av åtgärden och kravet på överensstämmelse med relevant EU-lagstiftning och nationell miljölagstiftning.</w:t>
            </w:r>
          </w:p>
        </w:tc>
      </w:tr>
      <w:tr w:rsidR="00E040FD" w14:paraId="46C66D80" w14:textId="77777777">
        <w:trPr>
          <w:trHeight w:val="420"/>
        </w:trPr>
        <w:tc>
          <w:tcPr>
            <w:tcW w:w="1135" w:type="dxa"/>
            <w:shd w:val="clear" w:color="auto" w:fill="C5EFCE"/>
            <w:vAlign w:val="center"/>
          </w:tcPr>
          <w:p w14:paraId="26F66ABE" w14:textId="545B5AF7" w:rsidR="00E040FD" w:rsidRDefault="00740D64">
            <w:pPr>
              <w:pStyle w:val="P68B1DB1-Normal11"/>
              <w:spacing w:after="0" w:line="240" w:lineRule="auto"/>
              <w:jc w:val="center"/>
              <w:rPr>
                <w:rFonts w:eastAsia="Times New Roman"/>
                <w:noProof/>
              </w:rPr>
            </w:pPr>
            <w:r>
              <w:rPr>
                <w:noProof/>
              </w:rPr>
              <w:t>16.17</w:t>
            </w:r>
          </w:p>
        </w:tc>
        <w:tc>
          <w:tcPr>
            <w:tcW w:w="1276" w:type="dxa"/>
            <w:shd w:val="clear" w:color="auto" w:fill="C4EFCE"/>
            <w:noWrap/>
            <w:vAlign w:val="center"/>
          </w:tcPr>
          <w:p w14:paraId="5669B910" w14:textId="4FBD872D" w:rsidR="00E040FD" w:rsidRDefault="00740D64">
            <w:pPr>
              <w:pStyle w:val="P68B1DB1-Normal12"/>
              <w:spacing w:after="0" w:line="240" w:lineRule="auto"/>
              <w:jc w:val="center"/>
              <w:rPr>
                <w:rFonts w:eastAsia="Times New Roman"/>
                <w:noProof/>
              </w:rPr>
            </w:pPr>
            <w:r>
              <w:rPr>
                <w:noProof/>
              </w:rPr>
              <w:t>TD-C16-i04</w:t>
            </w:r>
          </w:p>
        </w:tc>
        <w:tc>
          <w:tcPr>
            <w:tcW w:w="1134" w:type="dxa"/>
            <w:shd w:val="clear" w:color="auto" w:fill="C4EFCE"/>
            <w:noWrap/>
            <w:vAlign w:val="center"/>
          </w:tcPr>
          <w:p w14:paraId="30ED83F0" w14:textId="34F7B432" w:rsidR="00E040FD" w:rsidRDefault="00740D64">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22EB61F6" w14:textId="1577C572" w:rsidR="00E040FD" w:rsidRDefault="00740D64">
            <w:pPr>
              <w:pStyle w:val="P68B1DB1-Bodytext1013"/>
              <w:rPr>
                <w:rFonts w:cstheme="minorBidi"/>
                <w:noProof/>
              </w:rPr>
            </w:pPr>
            <w:r>
              <w:rPr>
                <w:noProof/>
              </w:rPr>
              <w:t>Slutförande av projekt inom Industri 4.0</w:t>
            </w:r>
          </w:p>
        </w:tc>
        <w:tc>
          <w:tcPr>
            <w:tcW w:w="1275" w:type="dxa"/>
            <w:shd w:val="clear" w:color="auto" w:fill="C4EFCE"/>
            <w:noWrap/>
            <w:vAlign w:val="center"/>
          </w:tcPr>
          <w:p w14:paraId="3B19D0B1" w14:textId="77777777" w:rsidR="00E040FD" w:rsidRDefault="00E040FD">
            <w:pPr>
              <w:spacing w:after="0" w:line="240" w:lineRule="auto"/>
              <w:jc w:val="center"/>
              <w:rPr>
                <w:rFonts w:eastAsia="Times New Roman"/>
                <w:noProof/>
                <w:sz w:val="16"/>
              </w:rPr>
            </w:pPr>
          </w:p>
        </w:tc>
        <w:tc>
          <w:tcPr>
            <w:tcW w:w="993" w:type="dxa"/>
            <w:shd w:val="clear" w:color="auto" w:fill="C4EFCE"/>
            <w:noWrap/>
            <w:vAlign w:val="center"/>
          </w:tcPr>
          <w:p w14:paraId="6867E439" w14:textId="38FE02BE" w:rsidR="00E040FD" w:rsidRDefault="00740D64">
            <w:pPr>
              <w:pStyle w:val="P68B1DB1-Normal12"/>
              <w:spacing w:after="0" w:line="240" w:lineRule="auto"/>
              <w:jc w:val="center"/>
              <w:rPr>
                <w:rFonts w:eastAsia="Times New Roman"/>
                <w:noProof/>
              </w:rPr>
            </w:pPr>
            <w:r>
              <w:rPr>
                <w:noProof/>
              </w:rPr>
              <w:t>Antal</w:t>
            </w:r>
          </w:p>
        </w:tc>
        <w:tc>
          <w:tcPr>
            <w:tcW w:w="992" w:type="dxa"/>
            <w:shd w:val="clear" w:color="auto" w:fill="C4EFCE"/>
            <w:noWrap/>
            <w:vAlign w:val="center"/>
          </w:tcPr>
          <w:p w14:paraId="74AB5B4F" w14:textId="03BC0992" w:rsidR="00E040FD" w:rsidRDefault="00740D64">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6CDAE886" w14:textId="5FC7D1A5" w:rsidR="00E040FD" w:rsidRDefault="00740D64">
            <w:pPr>
              <w:pStyle w:val="P68B1DB1-Normal12"/>
              <w:spacing w:after="0" w:line="240" w:lineRule="auto"/>
              <w:jc w:val="center"/>
              <w:rPr>
                <w:rFonts w:eastAsia="Times New Roman"/>
                <w:noProof/>
              </w:rPr>
            </w:pPr>
            <w:r>
              <w:rPr>
                <w:noProof/>
              </w:rPr>
              <w:t>200</w:t>
            </w:r>
          </w:p>
        </w:tc>
        <w:tc>
          <w:tcPr>
            <w:tcW w:w="426" w:type="dxa"/>
            <w:shd w:val="clear" w:color="auto" w:fill="C4EFCE"/>
            <w:noWrap/>
            <w:vAlign w:val="center"/>
          </w:tcPr>
          <w:p w14:paraId="25173C37" w14:textId="0FC29C35" w:rsidR="00E040FD" w:rsidRDefault="00740D64">
            <w:pPr>
              <w:pStyle w:val="P68B1DB1-Normal12"/>
              <w:spacing w:after="0" w:line="240" w:lineRule="auto"/>
              <w:jc w:val="center"/>
              <w:rPr>
                <w:rFonts w:eastAsia="Times New Roman"/>
                <w:noProof/>
              </w:rPr>
            </w:pPr>
            <w:r>
              <w:rPr>
                <w:noProof/>
              </w:rPr>
              <w:t>KVARTAL 4</w:t>
            </w:r>
          </w:p>
        </w:tc>
        <w:tc>
          <w:tcPr>
            <w:tcW w:w="708" w:type="dxa"/>
            <w:shd w:val="clear" w:color="auto" w:fill="C4EFCE"/>
            <w:noWrap/>
            <w:vAlign w:val="center"/>
          </w:tcPr>
          <w:p w14:paraId="076DD43D" w14:textId="37EF5AFF" w:rsidR="00E040FD" w:rsidRDefault="00740D64">
            <w:pPr>
              <w:pStyle w:val="P68B1DB1-Normal12"/>
              <w:spacing w:after="0" w:line="240" w:lineRule="auto"/>
              <w:jc w:val="center"/>
              <w:rPr>
                <w:rFonts w:eastAsia="Times New Roman"/>
                <w:noProof/>
              </w:rPr>
            </w:pPr>
            <w:r>
              <w:rPr>
                <w:noProof/>
              </w:rPr>
              <w:t>2025</w:t>
            </w:r>
          </w:p>
        </w:tc>
        <w:tc>
          <w:tcPr>
            <w:tcW w:w="3969" w:type="dxa"/>
            <w:shd w:val="clear" w:color="auto" w:fill="C4EFCE"/>
            <w:vAlign w:val="center"/>
          </w:tcPr>
          <w:p w14:paraId="1B73DBDD" w14:textId="54C9FED3" w:rsidR="00E040FD" w:rsidRDefault="00740D64">
            <w:pPr>
              <w:pStyle w:val="P68B1DB1-Bodytext1013"/>
              <w:spacing w:after="0" w:line="240" w:lineRule="auto"/>
              <w:jc w:val="both"/>
              <w:rPr>
                <w:rFonts w:cstheme="minorBidi"/>
                <w:noProof/>
              </w:rPr>
            </w:pPr>
            <w:r>
              <w:rPr>
                <w:noProof/>
              </w:rPr>
              <w:t>200 Industri 4.0-projekt ska slutföras. Projekten ska överensstämma med den typ av åtgärder som beskrivs i beskrivningen av åtgärden.</w:t>
            </w:r>
          </w:p>
        </w:tc>
      </w:tr>
      <w:tr w:rsidR="00E040FD" w14:paraId="69BB9BE5" w14:textId="77777777">
        <w:trPr>
          <w:trHeight w:val="420"/>
        </w:trPr>
        <w:tc>
          <w:tcPr>
            <w:tcW w:w="1135" w:type="dxa"/>
            <w:shd w:val="clear" w:color="auto" w:fill="C5EFCE"/>
            <w:vAlign w:val="center"/>
          </w:tcPr>
          <w:p w14:paraId="4E63D694" w14:textId="76E3D32E" w:rsidR="00E040FD" w:rsidRDefault="00740D64">
            <w:pPr>
              <w:pStyle w:val="P68B1DB1-Normal11"/>
              <w:spacing w:after="0" w:line="240" w:lineRule="auto"/>
              <w:jc w:val="center"/>
              <w:rPr>
                <w:rFonts w:eastAsia="Times New Roman"/>
                <w:noProof/>
              </w:rPr>
            </w:pPr>
            <w:r>
              <w:rPr>
                <w:noProof/>
              </w:rPr>
              <w:t>16.18</w:t>
            </w:r>
          </w:p>
        </w:tc>
        <w:tc>
          <w:tcPr>
            <w:tcW w:w="1276" w:type="dxa"/>
            <w:shd w:val="clear" w:color="auto" w:fill="C4EFCE"/>
            <w:noWrap/>
            <w:vAlign w:val="center"/>
          </w:tcPr>
          <w:p w14:paraId="672BD7BC" w14:textId="1D2975A9" w:rsidR="00E040FD" w:rsidRDefault="00740D64">
            <w:pPr>
              <w:pStyle w:val="P68B1DB1-Normal12"/>
              <w:spacing w:after="0" w:line="240" w:lineRule="auto"/>
              <w:jc w:val="center"/>
              <w:rPr>
                <w:rFonts w:eastAsia="Times New Roman"/>
                <w:noProof/>
              </w:rPr>
            </w:pPr>
            <w:r>
              <w:rPr>
                <w:noProof/>
              </w:rPr>
              <w:t>TD-C16-i05-RAA</w:t>
            </w:r>
          </w:p>
        </w:tc>
        <w:tc>
          <w:tcPr>
            <w:tcW w:w="1134" w:type="dxa"/>
            <w:shd w:val="clear" w:color="auto" w:fill="C4EFCE"/>
            <w:noWrap/>
            <w:vAlign w:val="center"/>
          </w:tcPr>
          <w:p w14:paraId="18003DB0" w14:textId="5A93A83D" w:rsidR="00E040FD" w:rsidRDefault="00740D64">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5C4B3C1D" w14:textId="1FCEFD83" w:rsidR="00E040FD" w:rsidRDefault="00740D64">
            <w:pPr>
              <w:pStyle w:val="P68B1DB1-Normal12"/>
              <w:spacing w:after="0" w:line="240" w:lineRule="auto"/>
              <w:jc w:val="center"/>
              <w:rPr>
                <w:noProof/>
              </w:rPr>
            </w:pPr>
            <w:r>
              <w:rPr>
                <w:noProof/>
              </w:rPr>
              <w:t>Antal slutförda projekt inom ramen för incitamentsystemet för företagens digitala omställning</w:t>
            </w:r>
          </w:p>
        </w:tc>
        <w:tc>
          <w:tcPr>
            <w:tcW w:w="1275" w:type="dxa"/>
            <w:shd w:val="clear" w:color="auto" w:fill="C4EFCE"/>
            <w:noWrap/>
            <w:vAlign w:val="center"/>
          </w:tcPr>
          <w:p w14:paraId="4D4E00B2" w14:textId="77777777" w:rsidR="00E040FD" w:rsidRDefault="00E040FD">
            <w:pPr>
              <w:spacing w:after="0" w:line="240" w:lineRule="auto"/>
              <w:jc w:val="center"/>
              <w:rPr>
                <w:noProof/>
                <w:sz w:val="16"/>
              </w:rPr>
            </w:pPr>
          </w:p>
        </w:tc>
        <w:tc>
          <w:tcPr>
            <w:tcW w:w="993" w:type="dxa"/>
            <w:shd w:val="clear" w:color="auto" w:fill="C4EFCE"/>
            <w:noWrap/>
            <w:vAlign w:val="center"/>
          </w:tcPr>
          <w:p w14:paraId="447D968A" w14:textId="302D8EBB" w:rsidR="00E040FD" w:rsidRDefault="00740D64">
            <w:pPr>
              <w:pStyle w:val="P68B1DB1-Normal12"/>
              <w:spacing w:after="0" w:line="240" w:lineRule="auto"/>
              <w:jc w:val="center"/>
              <w:rPr>
                <w:rFonts w:eastAsia="Times New Roman"/>
                <w:noProof/>
              </w:rPr>
            </w:pPr>
            <w:r>
              <w:rPr>
                <w:noProof/>
              </w:rPr>
              <w:t>Antal</w:t>
            </w:r>
          </w:p>
        </w:tc>
        <w:tc>
          <w:tcPr>
            <w:tcW w:w="992" w:type="dxa"/>
            <w:shd w:val="clear" w:color="auto" w:fill="C4EFCE"/>
            <w:noWrap/>
            <w:vAlign w:val="center"/>
          </w:tcPr>
          <w:p w14:paraId="2104F8DD" w14:textId="5EC972A0" w:rsidR="00E040FD" w:rsidRDefault="00740D64">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56CBE9C3" w14:textId="713F4408" w:rsidR="00E040FD" w:rsidRDefault="00740D64">
            <w:pPr>
              <w:pStyle w:val="P68B1DB1-Normal12"/>
              <w:spacing w:after="0" w:line="240" w:lineRule="auto"/>
              <w:jc w:val="center"/>
              <w:rPr>
                <w:rFonts w:eastAsia="Times New Roman"/>
                <w:noProof/>
              </w:rPr>
            </w:pPr>
            <w:r>
              <w:rPr>
                <w:noProof/>
              </w:rPr>
              <w:t>350</w:t>
            </w:r>
          </w:p>
        </w:tc>
        <w:tc>
          <w:tcPr>
            <w:tcW w:w="426" w:type="dxa"/>
            <w:shd w:val="clear" w:color="auto" w:fill="C4EFCE"/>
            <w:noWrap/>
            <w:vAlign w:val="center"/>
          </w:tcPr>
          <w:p w14:paraId="67D3AF82" w14:textId="2B6F454B" w:rsidR="00E040FD" w:rsidRDefault="00740D64">
            <w:pPr>
              <w:pStyle w:val="P68B1DB1-Normal12"/>
              <w:spacing w:after="0" w:line="240" w:lineRule="auto"/>
              <w:jc w:val="center"/>
              <w:rPr>
                <w:rFonts w:eastAsia="Times New Roman"/>
                <w:noProof/>
              </w:rPr>
            </w:pPr>
            <w:r>
              <w:rPr>
                <w:noProof/>
              </w:rPr>
              <w:t>KVARTAL 2</w:t>
            </w:r>
          </w:p>
        </w:tc>
        <w:tc>
          <w:tcPr>
            <w:tcW w:w="708" w:type="dxa"/>
            <w:shd w:val="clear" w:color="auto" w:fill="C4EFCE"/>
            <w:noWrap/>
            <w:vAlign w:val="center"/>
          </w:tcPr>
          <w:p w14:paraId="3F010DFB" w14:textId="14DE7404" w:rsidR="00E040FD" w:rsidRDefault="00740D64">
            <w:pPr>
              <w:pStyle w:val="P68B1DB1-Normal12"/>
              <w:spacing w:after="0" w:line="240" w:lineRule="auto"/>
              <w:jc w:val="center"/>
              <w:rPr>
                <w:rFonts w:eastAsia="Times New Roman"/>
                <w:noProof/>
              </w:rPr>
            </w:pPr>
            <w:r>
              <w:rPr>
                <w:noProof/>
              </w:rPr>
              <w:t>2026</w:t>
            </w:r>
          </w:p>
        </w:tc>
        <w:tc>
          <w:tcPr>
            <w:tcW w:w="3969" w:type="dxa"/>
            <w:shd w:val="clear" w:color="auto" w:fill="C4EFCE"/>
            <w:vAlign w:val="center"/>
          </w:tcPr>
          <w:p w14:paraId="26822469" w14:textId="3E45E6E1" w:rsidR="00E040FD" w:rsidRDefault="00740D64">
            <w:pPr>
              <w:pStyle w:val="P68B1DB1-Bodytext1013"/>
              <w:spacing w:after="0" w:line="240" w:lineRule="auto"/>
              <w:jc w:val="both"/>
              <w:rPr>
                <w:rFonts w:cstheme="minorBidi"/>
                <w:noProof/>
              </w:rPr>
            </w:pPr>
            <w:r>
              <w:rPr>
                <w:noProof/>
              </w:rPr>
              <w:t>350 projekt ska slutföras inom ramen för incitamentsystemet för företagens digitala omställning. Projekten ska överensstämma med den typ av åtgärder som beskrivs under handlingslinje 1, handlingslinje 2 eller handlingslinje 3 i beskrivningen av åtgärden.</w:t>
            </w:r>
          </w:p>
        </w:tc>
      </w:tr>
      <w:tr w:rsidR="00E040FD" w14:paraId="2E682C8F" w14:textId="77777777">
        <w:trPr>
          <w:trHeight w:val="420"/>
        </w:trPr>
        <w:tc>
          <w:tcPr>
            <w:tcW w:w="1135" w:type="dxa"/>
            <w:shd w:val="clear" w:color="auto" w:fill="C5EFCE"/>
            <w:vAlign w:val="center"/>
          </w:tcPr>
          <w:p w14:paraId="380A2F8F" w14:textId="66F3324C" w:rsidR="00E040FD" w:rsidRDefault="00740D64">
            <w:pPr>
              <w:pStyle w:val="P68B1DB1-Normal11"/>
              <w:spacing w:after="0" w:line="240" w:lineRule="auto"/>
              <w:jc w:val="center"/>
              <w:rPr>
                <w:rFonts w:eastAsia="Times New Roman"/>
                <w:noProof/>
              </w:rPr>
            </w:pPr>
            <w:r>
              <w:rPr>
                <w:noProof/>
              </w:rPr>
              <w:t>16.19</w:t>
            </w:r>
          </w:p>
        </w:tc>
        <w:tc>
          <w:tcPr>
            <w:tcW w:w="1276" w:type="dxa"/>
            <w:shd w:val="clear" w:color="auto" w:fill="C4EFCE"/>
            <w:noWrap/>
            <w:vAlign w:val="center"/>
          </w:tcPr>
          <w:p w14:paraId="79CF44D5" w14:textId="1ADD6940" w:rsidR="00E040FD" w:rsidRDefault="00740D64">
            <w:pPr>
              <w:pStyle w:val="P68B1DB1-Normal12"/>
              <w:spacing w:after="0" w:line="240" w:lineRule="auto"/>
              <w:jc w:val="center"/>
              <w:rPr>
                <w:rFonts w:eastAsia="Times New Roman"/>
                <w:noProof/>
              </w:rPr>
            </w:pPr>
            <w:r>
              <w:rPr>
                <w:noProof/>
              </w:rPr>
              <w:t>TD-C16-i05-RAA</w:t>
            </w:r>
          </w:p>
        </w:tc>
        <w:tc>
          <w:tcPr>
            <w:tcW w:w="1134" w:type="dxa"/>
            <w:shd w:val="clear" w:color="auto" w:fill="C4EFCE"/>
            <w:noWrap/>
            <w:vAlign w:val="center"/>
          </w:tcPr>
          <w:p w14:paraId="1F908EF3" w14:textId="2500FFAF" w:rsidR="00E040FD" w:rsidRDefault="00740D64">
            <w:pPr>
              <w:pStyle w:val="P68B1DB1-Normal12"/>
              <w:spacing w:after="0" w:line="240" w:lineRule="auto"/>
              <w:jc w:val="center"/>
              <w:rPr>
                <w:rFonts w:eastAsia="Times New Roman"/>
                <w:noProof/>
              </w:rPr>
            </w:pPr>
            <w:r>
              <w:rPr>
                <w:noProof/>
              </w:rPr>
              <w:t>M</w:t>
            </w:r>
          </w:p>
        </w:tc>
        <w:tc>
          <w:tcPr>
            <w:tcW w:w="1701" w:type="dxa"/>
            <w:shd w:val="clear" w:color="auto" w:fill="C4EFCE"/>
            <w:noWrap/>
            <w:vAlign w:val="center"/>
          </w:tcPr>
          <w:p w14:paraId="07C8C597" w14:textId="27719A8B" w:rsidR="00E040FD" w:rsidRDefault="00740D64">
            <w:pPr>
              <w:pStyle w:val="P68B1DB1-Normal12"/>
              <w:spacing w:after="0" w:line="240" w:lineRule="auto"/>
              <w:jc w:val="center"/>
              <w:rPr>
                <w:rFonts w:eastAsia="Times New Roman"/>
                <w:noProof/>
              </w:rPr>
            </w:pPr>
            <w:r>
              <w:rPr>
                <w:noProof/>
              </w:rPr>
              <w:t>Utökade eller utrustade vetenskaps- och teknikparker</w:t>
            </w:r>
          </w:p>
        </w:tc>
        <w:tc>
          <w:tcPr>
            <w:tcW w:w="1275" w:type="dxa"/>
            <w:shd w:val="clear" w:color="auto" w:fill="C4EFCE"/>
            <w:noWrap/>
            <w:vAlign w:val="center"/>
          </w:tcPr>
          <w:p w14:paraId="3C50E602" w14:textId="4C429DB6" w:rsidR="00E040FD" w:rsidRDefault="00740D64">
            <w:pPr>
              <w:pStyle w:val="P68B1DB1-Normal12"/>
              <w:spacing w:after="0" w:line="240" w:lineRule="auto"/>
              <w:jc w:val="center"/>
              <w:rPr>
                <w:rFonts w:eastAsia="Times New Roman"/>
                <w:noProof/>
              </w:rPr>
            </w:pPr>
            <w:r>
              <w:rPr>
                <w:noProof/>
              </w:rPr>
              <w:t>Nätverks- och datainfrastruktur installerad och byggnation</w:t>
            </w:r>
          </w:p>
        </w:tc>
        <w:tc>
          <w:tcPr>
            <w:tcW w:w="993" w:type="dxa"/>
            <w:shd w:val="clear" w:color="auto" w:fill="C4EFCE"/>
            <w:noWrap/>
            <w:vAlign w:val="center"/>
          </w:tcPr>
          <w:p w14:paraId="06949E64" w14:textId="379E29AD" w:rsidR="00E040FD" w:rsidRDefault="00E040FD">
            <w:pPr>
              <w:spacing w:after="0" w:line="240" w:lineRule="auto"/>
              <w:jc w:val="center"/>
              <w:rPr>
                <w:noProof/>
                <w:sz w:val="16"/>
              </w:rPr>
            </w:pPr>
          </w:p>
        </w:tc>
        <w:tc>
          <w:tcPr>
            <w:tcW w:w="992" w:type="dxa"/>
            <w:shd w:val="clear" w:color="auto" w:fill="C4EFCE"/>
            <w:noWrap/>
            <w:vAlign w:val="center"/>
          </w:tcPr>
          <w:p w14:paraId="0E8D16A2" w14:textId="6A47AB65" w:rsidR="00E040FD" w:rsidRDefault="00E040FD">
            <w:pPr>
              <w:spacing w:after="0" w:line="240" w:lineRule="auto"/>
              <w:jc w:val="center"/>
              <w:rPr>
                <w:noProof/>
                <w:sz w:val="16"/>
              </w:rPr>
            </w:pPr>
          </w:p>
        </w:tc>
        <w:tc>
          <w:tcPr>
            <w:tcW w:w="850" w:type="dxa"/>
            <w:shd w:val="clear" w:color="auto" w:fill="C4EFCE"/>
            <w:noWrap/>
            <w:vAlign w:val="center"/>
          </w:tcPr>
          <w:p w14:paraId="55A9F016" w14:textId="3D8C3522" w:rsidR="00E040FD" w:rsidRDefault="00E040FD">
            <w:pPr>
              <w:spacing w:after="0" w:line="240" w:lineRule="auto"/>
              <w:jc w:val="center"/>
              <w:rPr>
                <w:noProof/>
                <w:sz w:val="16"/>
              </w:rPr>
            </w:pPr>
          </w:p>
        </w:tc>
        <w:tc>
          <w:tcPr>
            <w:tcW w:w="426" w:type="dxa"/>
            <w:shd w:val="clear" w:color="auto" w:fill="C4EFCE"/>
            <w:noWrap/>
            <w:vAlign w:val="center"/>
          </w:tcPr>
          <w:p w14:paraId="736C4E69" w14:textId="0EFE5CFF" w:rsidR="00E040FD" w:rsidRDefault="00740D64">
            <w:pPr>
              <w:pStyle w:val="P68B1DB1-Normal12"/>
              <w:spacing w:after="0" w:line="240" w:lineRule="auto"/>
              <w:jc w:val="center"/>
              <w:rPr>
                <w:rFonts w:eastAsia="Times New Roman"/>
                <w:noProof/>
              </w:rPr>
            </w:pPr>
            <w:r>
              <w:rPr>
                <w:noProof/>
              </w:rPr>
              <w:t>KVARTAL 2</w:t>
            </w:r>
          </w:p>
        </w:tc>
        <w:tc>
          <w:tcPr>
            <w:tcW w:w="708" w:type="dxa"/>
            <w:shd w:val="clear" w:color="auto" w:fill="C4EFCE"/>
            <w:noWrap/>
            <w:vAlign w:val="center"/>
          </w:tcPr>
          <w:p w14:paraId="1D090ADB" w14:textId="4F4266E5" w:rsidR="00E040FD" w:rsidRDefault="00740D64">
            <w:pPr>
              <w:pStyle w:val="P68B1DB1-Normal12"/>
              <w:spacing w:after="0" w:line="240" w:lineRule="auto"/>
              <w:jc w:val="center"/>
              <w:rPr>
                <w:rFonts w:eastAsia="Times New Roman"/>
                <w:noProof/>
              </w:rPr>
            </w:pPr>
            <w:r>
              <w:rPr>
                <w:noProof/>
              </w:rPr>
              <w:t>2026</w:t>
            </w:r>
          </w:p>
        </w:tc>
        <w:tc>
          <w:tcPr>
            <w:tcW w:w="3969" w:type="dxa"/>
            <w:shd w:val="clear" w:color="auto" w:fill="C4EFCE"/>
          </w:tcPr>
          <w:p w14:paraId="7EF23F02" w14:textId="5B5C41B8" w:rsidR="00E040FD" w:rsidRDefault="00740D64">
            <w:pPr>
              <w:pStyle w:val="P68B1DB1-Normal12"/>
              <w:spacing w:after="0" w:line="240" w:lineRule="auto"/>
              <w:jc w:val="both"/>
              <w:rPr>
                <w:rFonts w:eastAsia="Times New Roman"/>
                <w:noProof/>
              </w:rPr>
            </w:pPr>
            <w:r>
              <w:rPr>
                <w:noProof/>
              </w:rPr>
              <w:t>Nya nätverks- och datorinfrastrukturtillgångar (hårdvara) ska installeras i vetenskaps- och teknikparken Nonangon och en ny energieffektiv byggnad på cirka 878 kvadratmeter ska byggas i Terinov Science and Technology Park. Nya byggnader ska ha ett primärenergibehov som är minst 20 % lägre än kraven för nära-nollenergibyggnader. Energieffektivitetsrenoveringar ska i genomsnitt leda till en renovering av minst medelstor omfattning enligt definitionen i kommissionens rekommendation om byggnadsrenovering (EU) 2019/786.</w:t>
            </w:r>
          </w:p>
        </w:tc>
      </w:tr>
      <w:tr w:rsidR="00E040FD" w14:paraId="1BB3C3E0" w14:textId="77777777">
        <w:trPr>
          <w:trHeight w:val="420"/>
        </w:trPr>
        <w:tc>
          <w:tcPr>
            <w:tcW w:w="1135" w:type="dxa"/>
            <w:shd w:val="clear" w:color="auto" w:fill="C5EFCE"/>
            <w:vAlign w:val="center"/>
          </w:tcPr>
          <w:p w14:paraId="6422BF72" w14:textId="48224803" w:rsidR="00E040FD" w:rsidRDefault="00740D64">
            <w:pPr>
              <w:pStyle w:val="P68B1DB1-Normal11"/>
              <w:spacing w:after="0" w:line="240" w:lineRule="auto"/>
              <w:jc w:val="center"/>
              <w:rPr>
                <w:rFonts w:eastAsia="Times New Roman"/>
                <w:noProof/>
              </w:rPr>
            </w:pPr>
            <w:r>
              <w:rPr>
                <w:noProof/>
              </w:rPr>
              <w:t>16.20</w:t>
            </w:r>
          </w:p>
        </w:tc>
        <w:tc>
          <w:tcPr>
            <w:tcW w:w="1276" w:type="dxa"/>
            <w:shd w:val="clear" w:color="auto" w:fill="C4EFCE"/>
            <w:noWrap/>
            <w:vAlign w:val="center"/>
          </w:tcPr>
          <w:p w14:paraId="241755ED" w14:textId="663183C3" w:rsidR="00E040FD" w:rsidRDefault="00740D64">
            <w:pPr>
              <w:pStyle w:val="P68B1DB1-Normal12"/>
              <w:spacing w:after="0" w:line="240" w:lineRule="auto"/>
              <w:jc w:val="center"/>
              <w:rPr>
                <w:rFonts w:eastAsia="Times New Roman"/>
                <w:noProof/>
              </w:rPr>
            </w:pPr>
            <w:r>
              <w:rPr>
                <w:noProof/>
              </w:rPr>
              <w:t>TD-C16-i06-RAM</w:t>
            </w:r>
          </w:p>
        </w:tc>
        <w:tc>
          <w:tcPr>
            <w:tcW w:w="1134" w:type="dxa"/>
            <w:shd w:val="clear" w:color="auto" w:fill="C4EFCE"/>
            <w:noWrap/>
            <w:vAlign w:val="center"/>
          </w:tcPr>
          <w:p w14:paraId="2E4832F3" w14:textId="1498C687" w:rsidR="00E040FD" w:rsidRDefault="00740D64">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22D7638E" w14:textId="1AB722F4" w:rsidR="00E040FD" w:rsidRDefault="00740D64">
            <w:pPr>
              <w:pStyle w:val="P68B1DB1-Normal12"/>
              <w:spacing w:after="0" w:line="240" w:lineRule="auto"/>
              <w:jc w:val="center"/>
              <w:rPr>
                <w:rFonts w:eastAsia="Times New Roman"/>
                <w:noProof/>
              </w:rPr>
            </w:pPr>
            <w:r>
              <w:rPr>
                <w:noProof/>
              </w:rPr>
              <w:t>Näringsliv 4.0</w:t>
            </w:r>
          </w:p>
        </w:tc>
        <w:tc>
          <w:tcPr>
            <w:tcW w:w="1275" w:type="dxa"/>
            <w:shd w:val="clear" w:color="auto" w:fill="C4EFCE"/>
            <w:noWrap/>
            <w:vAlign w:val="center"/>
          </w:tcPr>
          <w:p w14:paraId="3C12F8CE" w14:textId="77777777" w:rsidR="00E040FD" w:rsidRDefault="00E040FD">
            <w:pPr>
              <w:spacing w:after="0" w:line="240" w:lineRule="auto"/>
              <w:jc w:val="center"/>
              <w:rPr>
                <w:rFonts w:eastAsia="Times New Roman"/>
                <w:noProof/>
                <w:sz w:val="16"/>
              </w:rPr>
            </w:pPr>
          </w:p>
        </w:tc>
        <w:tc>
          <w:tcPr>
            <w:tcW w:w="993" w:type="dxa"/>
            <w:shd w:val="clear" w:color="auto" w:fill="C4EFCE"/>
            <w:noWrap/>
            <w:vAlign w:val="center"/>
          </w:tcPr>
          <w:p w14:paraId="3EDFD5D8" w14:textId="0DAE7C66" w:rsidR="00E040FD" w:rsidRDefault="00740D64">
            <w:pPr>
              <w:pStyle w:val="P68B1DB1-Normal12"/>
              <w:spacing w:after="0" w:line="240" w:lineRule="auto"/>
              <w:jc w:val="center"/>
              <w:rPr>
                <w:rFonts w:eastAsia="Times New Roman"/>
                <w:noProof/>
              </w:rPr>
            </w:pPr>
            <w:r>
              <w:rPr>
                <w:noProof/>
              </w:rPr>
              <w:t>Antal</w:t>
            </w:r>
          </w:p>
        </w:tc>
        <w:tc>
          <w:tcPr>
            <w:tcW w:w="992" w:type="dxa"/>
            <w:shd w:val="clear" w:color="auto" w:fill="C4EFCE"/>
            <w:noWrap/>
            <w:vAlign w:val="center"/>
          </w:tcPr>
          <w:p w14:paraId="2C1BA599" w14:textId="79E71A0F" w:rsidR="00E040FD" w:rsidRDefault="00740D64">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3BACA82A" w14:textId="31DFBCD1" w:rsidR="00E040FD" w:rsidRDefault="00740D64">
            <w:pPr>
              <w:pStyle w:val="P68B1DB1-Normal12"/>
              <w:spacing w:after="0" w:line="240" w:lineRule="auto"/>
              <w:jc w:val="center"/>
              <w:rPr>
                <w:rFonts w:eastAsia="Times New Roman"/>
                <w:noProof/>
              </w:rPr>
            </w:pPr>
            <w:r>
              <w:rPr>
                <w:noProof/>
              </w:rPr>
              <w:t>300</w:t>
            </w:r>
          </w:p>
        </w:tc>
        <w:tc>
          <w:tcPr>
            <w:tcW w:w="426" w:type="dxa"/>
            <w:shd w:val="clear" w:color="auto" w:fill="C4EFCE"/>
            <w:noWrap/>
            <w:vAlign w:val="center"/>
          </w:tcPr>
          <w:p w14:paraId="69BC14F8" w14:textId="02E6162D" w:rsidR="00E040FD" w:rsidRDefault="00740D64">
            <w:pPr>
              <w:pStyle w:val="P68B1DB1-Normal12"/>
              <w:spacing w:after="0" w:line="240" w:lineRule="auto"/>
              <w:jc w:val="center"/>
              <w:rPr>
                <w:rFonts w:eastAsia="Times New Roman"/>
                <w:noProof/>
              </w:rPr>
            </w:pPr>
            <w:r>
              <w:rPr>
                <w:noProof/>
              </w:rPr>
              <w:t>KVARTAL 4</w:t>
            </w:r>
          </w:p>
        </w:tc>
        <w:tc>
          <w:tcPr>
            <w:tcW w:w="708" w:type="dxa"/>
            <w:shd w:val="clear" w:color="auto" w:fill="C4EFCE"/>
            <w:noWrap/>
            <w:vAlign w:val="center"/>
          </w:tcPr>
          <w:p w14:paraId="6F7D5365" w14:textId="2233F5B5" w:rsidR="00E040FD" w:rsidRDefault="00740D64">
            <w:pPr>
              <w:pStyle w:val="P68B1DB1-Normal12"/>
              <w:spacing w:after="0" w:line="240" w:lineRule="auto"/>
              <w:jc w:val="center"/>
              <w:rPr>
                <w:rFonts w:eastAsia="Times New Roman"/>
                <w:noProof/>
              </w:rPr>
            </w:pPr>
            <w:r>
              <w:rPr>
                <w:noProof/>
              </w:rPr>
              <w:t>2025</w:t>
            </w:r>
          </w:p>
        </w:tc>
        <w:tc>
          <w:tcPr>
            <w:tcW w:w="3969" w:type="dxa"/>
            <w:shd w:val="clear" w:color="auto" w:fill="C4EFCE"/>
            <w:vAlign w:val="center"/>
          </w:tcPr>
          <w:p w14:paraId="20DC7735" w14:textId="02E207D5" w:rsidR="00E040FD" w:rsidRDefault="00740D64">
            <w:pPr>
              <w:pStyle w:val="P68B1DB1-Bodytext1013"/>
              <w:spacing w:after="0" w:line="240" w:lineRule="auto"/>
              <w:rPr>
                <w:rFonts w:cstheme="minorBidi"/>
                <w:noProof/>
              </w:rPr>
            </w:pPr>
            <w:r>
              <w:rPr>
                <w:noProof/>
              </w:rPr>
              <w:t>300 digitaliseringsprojekt för små och medelstora företag ska slutföras. Projekten ska bestå av utveckling eller förvärv av materiella eller immateriella tillgångar som är direkt kopplade till investeringen i den digitala omställningen.</w:t>
            </w:r>
          </w:p>
          <w:p w14:paraId="35F539B6" w14:textId="02E207D5" w:rsidR="00E040FD" w:rsidRDefault="00740D64">
            <w:pPr>
              <w:pStyle w:val="P68B1DB1-Normal12"/>
              <w:spacing w:after="0" w:line="240" w:lineRule="auto"/>
              <w:jc w:val="both"/>
              <w:rPr>
                <w:rFonts w:eastAsia="Times New Roman"/>
                <w:noProof/>
              </w:rPr>
            </w:pPr>
            <w:r>
              <w:rPr>
                <w:noProof/>
              </w:rPr>
              <w:t>Urvalskriterierna ska säkerställa överensstämmelse med den tekniska vägledningen om att inte orsaka betydande skada (2021/C58/01) för transaktioner som får stöd inom ramen för denna åtgärd genom användning av en uteslutningslista i enlighet med beskrivningen av åtgärden och kravet på överensstämmelse med relevant EU-lagstiftning och nationell miljölagstiftning.</w:t>
            </w:r>
          </w:p>
        </w:tc>
      </w:tr>
    </w:tbl>
    <w:p w14:paraId="4E8D9638" w14:textId="77777777" w:rsidR="00E040FD" w:rsidRDefault="00E040FD">
      <w:pPr>
        <w:spacing w:before="40" w:after="0" w:line="259" w:lineRule="auto"/>
        <w:jc w:val="both"/>
        <w:rPr>
          <w:rFonts w:ascii="Times New Roman" w:eastAsiaTheme="minorEastAsia" w:hAnsi="Times New Roman" w:cs="Times New Roman"/>
          <w:noProof/>
          <w:sz w:val="24"/>
          <w:u w:val="single"/>
        </w:rPr>
      </w:pPr>
    </w:p>
    <w:p w14:paraId="0AC9B701" w14:textId="77777777" w:rsidR="00E040FD" w:rsidRDefault="00E040FD">
      <w:pPr>
        <w:spacing w:before="40" w:after="0" w:line="259" w:lineRule="auto"/>
        <w:ind w:left="130" w:firstLine="720"/>
        <w:jc w:val="both"/>
        <w:outlineLvl w:val="1"/>
        <w:rPr>
          <w:rFonts w:ascii="Times New Roman" w:eastAsiaTheme="minorEastAsia" w:hAnsi="Times New Roman" w:cs="Times New Roman"/>
          <w:b/>
          <w:noProof/>
          <w:sz w:val="24"/>
          <w:u w:val="single"/>
        </w:rPr>
        <w:sectPr w:rsidR="00E040FD" w:rsidSect="00E00EDD">
          <w:headerReference w:type="even" r:id="rId312"/>
          <w:headerReference w:type="default" r:id="rId313"/>
          <w:footerReference w:type="even" r:id="rId314"/>
          <w:footerReference w:type="default" r:id="rId315"/>
          <w:headerReference w:type="first" r:id="rId316"/>
          <w:footerReference w:type="first" r:id="rId317"/>
          <w:pgSz w:w="16839" w:h="11907" w:orient="landscape"/>
          <w:pgMar w:top="1134" w:right="1134" w:bottom="1134" w:left="1134" w:header="567" w:footer="567" w:gutter="0"/>
          <w:cols w:space="720"/>
          <w:docGrid w:linePitch="360"/>
        </w:sectPr>
      </w:pPr>
    </w:p>
    <w:p w14:paraId="777E4EB1"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Q</w:t>
      </w:r>
      <w:r>
        <w:rPr>
          <w:smallCaps/>
          <w:noProof/>
        </w:rPr>
        <w:t>KOMPONENT 1</w:t>
      </w:r>
      <w:r>
        <w:rPr>
          <w:noProof/>
        </w:rPr>
        <w:t>7</w:t>
      </w:r>
      <w:r>
        <w:rPr>
          <w:smallCaps/>
          <w:noProof/>
        </w:rPr>
        <w:t>: De offentliga finansernas</w:t>
      </w:r>
      <w:r>
        <w:rPr>
          <w:noProof/>
        </w:rPr>
        <w:t>kvalitet och hållbarhet</w:t>
      </w:r>
    </w:p>
    <w:p w14:paraId="439DD862" w14:textId="77777777" w:rsidR="00E040FD" w:rsidRDefault="00740D64">
      <w:pPr>
        <w:pStyle w:val="P68B1DB1-Normal4"/>
        <w:spacing w:before="40" w:after="0" w:line="259" w:lineRule="auto"/>
        <w:jc w:val="both"/>
        <w:rPr>
          <w:rFonts w:eastAsiaTheme="minorEastAsia" w:cs="Times New Roman"/>
          <w:noProof/>
        </w:rPr>
      </w:pPr>
      <w:r>
        <w:rPr>
          <w:noProof/>
        </w:rPr>
        <w:t>Komponenten tar itu med utmaningar i samband med Portugals höga offentliga skuldkvot som andel av BNP, som förvärrades ytterligare på grund av covid-19-krisen. Storleken på Portugals offentliga skuldkvot begränsar det tillgängliga finanspolitiska utrymmet och, när de ekonomiska förhållandena medger det, gör det nödvändigt att säkerställa finanspolitisk hållbarhet på medellång sikt. I detta sammanhang förväntas starkare ramvillkor för finanspolitiken bidra till en mer tillväxtvänlig väg mot starkare finanspolitisk hållbarhet.</w:t>
      </w:r>
    </w:p>
    <w:p w14:paraId="1982F9A7" w14:textId="77777777" w:rsidR="00E040FD" w:rsidRDefault="00740D64">
      <w:pPr>
        <w:pStyle w:val="P68B1DB1-Normal4"/>
        <w:spacing w:before="40" w:after="120" w:line="259" w:lineRule="auto"/>
        <w:jc w:val="both"/>
        <w:rPr>
          <w:rFonts w:eastAsiaTheme="minorEastAsia" w:cs="Times New Roman"/>
          <w:noProof/>
        </w:rPr>
      </w:pPr>
      <w:r>
        <w:rPr>
          <w:noProof/>
        </w:rPr>
        <w:t>Syftet med komponenten är att förbättra förvaltningen av de offentliga finanserna i Portugal och att överbrygga befintliga luckor i finans- och strukturreformerna. Dessa mål omfattar bland annat följande:</w:t>
      </w:r>
    </w:p>
    <w:p w14:paraId="50B02B2C" w14:textId="77777777" w:rsidR="00E040FD" w:rsidRDefault="00740D64">
      <w:pPr>
        <w:pStyle w:val="P68B1DB1-Normal4"/>
        <w:keepNext/>
        <w:numPr>
          <w:ilvl w:val="0"/>
          <w:numId w:val="61"/>
        </w:numPr>
        <w:spacing w:before="40" w:after="160" w:line="259" w:lineRule="auto"/>
        <w:contextualSpacing/>
        <w:jc w:val="both"/>
        <w:rPr>
          <w:rFonts w:eastAsiaTheme="minorEastAsia" w:cs="Times New Roman"/>
          <w:noProof/>
        </w:rPr>
      </w:pPr>
      <w:r>
        <w:rPr>
          <w:noProof/>
        </w:rPr>
        <w:t xml:space="preserve">uppnå ett fullständigt och effektivt genomförande av 2015 års budgetramlag och de därmed sammanhängande strukturförändringarna när det gäller budgetering, redovisning och informationssystem. </w:t>
      </w:r>
    </w:p>
    <w:p w14:paraId="117516F8" w14:textId="77777777" w:rsidR="00E040FD" w:rsidRDefault="00740D64">
      <w:pPr>
        <w:pStyle w:val="P68B1DB1-Normal4"/>
        <w:keepNext/>
        <w:numPr>
          <w:ilvl w:val="0"/>
          <w:numId w:val="61"/>
        </w:numPr>
        <w:spacing w:before="40" w:after="160" w:line="259" w:lineRule="auto"/>
        <w:contextualSpacing/>
        <w:jc w:val="both"/>
        <w:rPr>
          <w:rFonts w:eastAsiaTheme="minorEastAsia" w:cs="Times New Roman"/>
          <w:noProof/>
        </w:rPr>
      </w:pPr>
      <w:r>
        <w:rPr>
          <w:noProof/>
        </w:rPr>
        <w:t xml:space="preserve">ökade effektivitetsbesparingar genom ökad användning av centraliserade upphandlings- och utgiftsöversyner, som planeras integreras i den ordinarie budgetprocessen och omfattas av systematiska </w:t>
      </w:r>
      <w:r>
        <w:rPr>
          <w:i/>
          <w:noProof/>
        </w:rPr>
        <w:t>efterhandsutvärderingar</w:t>
      </w:r>
      <w:r>
        <w:rPr>
          <w:noProof/>
        </w:rPr>
        <w:t>.</w:t>
      </w:r>
    </w:p>
    <w:p w14:paraId="53FEF5B8" w14:textId="77777777" w:rsidR="00E040FD" w:rsidRDefault="00740D64">
      <w:pPr>
        <w:pStyle w:val="P68B1DB1-Normal4"/>
        <w:keepNext/>
        <w:numPr>
          <w:ilvl w:val="0"/>
          <w:numId w:val="61"/>
        </w:numPr>
        <w:spacing w:before="40" w:after="160" w:line="259" w:lineRule="auto"/>
        <w:contextualSpacing/>
        <w:jc w:val="both"/>
        <w:rPr>
          <w:rFonts w:eastAsiaTheme="minorEastAsia" w:cs="Times New Roman"/>
          <w:noProof/>
        </w:rPr>
      </w:pPr>
      <w:r>
        <w:rPr>
          <w:noProof/>
        </w:rPr>
        <w:t>förbättra de statsägda företagens ekonomiska resultat genom ökad insyn, förbättrad övervakning och starkare styrning, där ledningen blir mer ansvarstagande och resultatinriktad. och,</w:t>
      </w:r>
    </w:p>
    <w:p w14:paraId="77257493" w14:textId="77777777" w:rsidR="00E040FD" w:rsidRDefault="00740D64">
      <w:pPr>
        <w:pStyle w:val="P68B1DB1-Normal4"/>
        <w:keepNext/>
        <w:numPr>
          <w:ilvl w:val="0"/>
          <w:numId w:val="61"/>
        </w:numPr>
        <w:spacing w:before="40" w:after="160" w:line="259" w:lineRule="auto"/>
        <w:contextualSpacing/>
        <w:jc w:val="both"/>
        <w:rPr>
          <w:rFonts w:eastAsiaTheme="minorEastAsia" w:cs="Times New Roman"/>
          <w:noProof/>
        </w:rPr>
      </w:pPr>
      <w:r>
        <w:rPr>
          <w:noProof/>
        </w:rPr>
        <w:t>effektivisera skatteförvaltningen – inbegripet både skatte- och tullmyndigheten och socialförsäkringstjänsterna – genom att utnyttja det tillgängliga utrymmet för ökad digitalisering och företagsvänlighet.</w:t>
      </w:r>
    </w:p>
    <w:p w14:paraId="0D3AD004" w14:textId="7EC49C9D" w:rsidR="00E040FD" w:rsidRDefault="00740D64">
      <w:pPr>
        <w:pStyle w:val="P68B1DB1-Normal4"/>
        <w:spacing w:before="40" w:after="120" w:line="259" w:lineRule="auto"/>
        <w:jc w:val="both"/>
        <w:rPr>
          <w:rFonts w:eastAsiaTheme="minorEastAsia" w:cs="Times New Roman"/>
          <w:noProof/>
        </w:rPr>
      </w:pPr>
      <w:r>
        <w:rPr>
          <w:noProof/>
        </w:rPr>
        <w:t>Komponenten bidrar till att följa den landsspecifika rekommendationen om att förbättra de offentliga finansernas kvalitet och samtidigt stärka den övergripande utgiftskontrollen, kostnadseffektiviteten och en adekvat budgetering (landsspecifik rekommendation 1 2019), rekommendationen om att förbättra de statsägda företagens finansiella hållbarhet, samtidigt som man säkerställer en snabbare, öppnare och mer omfattande övervakning (landsspecifik rekommendation 1 2019), rekommendationen att, när de ekonomiska förhållandena medger det, bedriva en finanspolitik som syftar till att uppnå en återhållsam offentligfinansiell ställning på medellång sikt och säkerställa en hållbar skuldsättning (landsspecifik rekommendation 1 2020) och rekommendationen att förbättra skattesystemets effektivitet, särskilt genom att prioritera en förenkling av ramen (de landsspecifika rekommendationerna 1 2022 och 2023). Komponenten bidrar också till att följa den landsspecifika rekommendationen om att inrikta investeringarna på den digitala omställningen (landsspecifik rekommendation 3 2020).</w:t>
      </w:r>
    </w:p>
    <w:p w14:paraId="6610EC5D" w14:textId="77777777" w:rsidR="00E040FD" w:rsidRDefault="00740D64">
      <w:pPr>
        <w:pStyle w:val="P68B1DB1-Normal4"/>
        <w:spacing w:before="40" w:after="120" w:line="259" w:lineRule="auto"/>
        <w:jc w:val="both"/>
        <w:rPr>
          <w:rFonts w:eastAsiaTheme="minorEastAsia" w:cs="Times New Roman"/>
          <w:noProof/>
        </w:rPr>
      </w:pPr>
      <w:r>
        <w:rPr>
          <w:noProof/>
        </w:rPr>
        <w:t xml:space="preserve">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 </w:t>
      </w:r>
    </w:p>
    <w:p w14:paraId="3248AA7D" w14:textId="77777777" w:rsidR="00E040FD" w:rsidRDefault="00E040FD">
      <w:pPr>
        <w:spacing w:before="40" w:after="120" w:line="259" w:lineRule="auto"/>
        <w:jc w:val="both"/>
        <w:rPr>
          <w:rFonts w:ascii="Times New Roman" w:eastAsiaTheme="minorEastAsia" w:hAnsi="Times New Roman" w:cs="Times New Roman"/>
          <w:noProof/>
          <w:sz w:val="24"/>
        </w:rPr>
      </w:pPr>
    </w:p>
    <w:p w14:paraId="28C15D2C"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FRÅGA 1 Beskrivning av reformer och investeringar avseende icke återbetalningspliktigt ekonomiskt stöd</w:t>
      </w:r>
    </w:p>
    <w:p w14:paraId="1D2019B5" w14:textId="329788CF" w:rsidR="00E040FD" w:rsidRDefault="00740D64">
      <w:pPr>
        <w:pStyle w:val="P68B1DB1-Normal5"/>
        <w:spacing w:before="240" w:after="0" w:line="259" w:lineRule="auto"/>
        <w:ind w:left="851"/>
        <w:jc w:val="both"/>
        <w:outlineLvl w:val="2"/>
        <w:rPr>
          <w:rFonts w:eastAsia="Times New Roman" w:cs="Times New Roman"/>
          <w:noProof/>
        </w:rPr>
      </w:pPr>
      <w:r>
        <w:rPr>
          <w:noProof/>
        </w:rPr>
        <w:t>Reform TD-r32: Modernisering och förenkling av förvaltningen av de offentliga finanserna</w:t>
      </w:r>
    </w:p>
    <w:p w14:paraId="7386FB7C" w14:textId="77777777" w:rsidR="00E040FD" w:rsidRDefault="00740D64">
      <w:pPr>
        <w:pStyle w:val="P68B1DB1-Normal4"/>
        <w:spacing w:before="40" w:after="120" w:line="259" w:lineRule="auto"/>
        <w:jc w:val="both"/>
        <w:rPr>
          <w:rFonts w:eastAsiaTheme="minorEastAsia" w:cs="Times New Roman"/>
          <w:noProof/>
        </w:rPr>
      </w:pPr>
      <w:r>
        <w:rPr>
          <w:noProof/>
        </w:rPr>
        <w:t>Reformens övergripande mål är att förbättra de offentliga finansernas kvalitet och hållbarhet och i synnerhet att stärka utgiftskontrollen och en lämplig budgetering. Reformen syftar också till att öka insynen och effektiviteten i användningen av offentliga medel genom en mer integrerad förvaltning av administrativa och finansiella processer i alla enheter inom den offentliga sektorn.</w:t>
      </w:r>
    </w:p>
    <w:p w14:paraId="1C6AAFDF" w14:textId="77777777" w:rsidR="00E040FD" w:rsidRDefault="00740D64">
      <w:pPr>
        <w:pStyle w:val="P68B1DB1-Normal4"/>
        <w:spacing w:before="40" w:after="120" w:line="259" w:lineRule="auto"/>
        <w:jc w:val="both"/>
        <w:rPr>
          <w:rFonts w:eastAsia="Times New Roman" w:cs="Times New Roman"/>
          <w:noProof/>
        </w:rPr>
      </w:pPr>
      <w:r>
        <w:rPr>
          <w:noProof/>
        </w:rPr>
        <w:t xml:space="preserve">Reformen är en allomfattande finans- och strukturreform som ska bestå av ömsesidigt förstärkande initiativ. </w:t>
      </w:r>
    </w:p>
    <w:p w14:paraId="43E9C02C" w14:textId="57B93928" w:rsidR="00E040FD" w:rsidRDefault="00740D64">
      <w:pPr>
        <w:pStyle w:val="P68B1DB1-Normal4"/>
        <w:keepNext/>
        <w:numPr>
          <w:ilvl w:val="0"/>
          <w:numId w:val="67"/>
        </w:numPr>
        <w:spacing w:before="40" w:after="120" w:line="259" w:lineRule="auto"/>
        <w:contextualSpacing/>
        <w:jc w:val="both"/>
        <w:rPr>
          <w:rFonts w:eastAsiaTheme="minorEastAsia" w:cs="Times New Roman"/>
          <w:noProof/>
        </w:rPr>
      </w:pPr>
      <w:r>
        <w:rPr>
          <w:noProof/>
        </w:rPr>
        <w:t>För det första ska gradvisa steg bidra till ett fullständigt och effektivt genomförande av 2015 års budgetramlag. Dessa ska omfatta utarbetande av programbudgetering och bidrag till budgetplanering och budgetövervakning samt ikraftträdande av lagstiftning som inte omfattar den statliga redovisningsenheten. Den planerade betydande uppgraderingen av informationssystemen för förvaltning av de offentliga finanserna förväntas också göra det lättare att följa det periodiserade redovisningssystemet.</w:t>
      </w:r>
    </w:p>
    <w:p w14:paraId="797E40BB" w14:textId="77777777" w:rsidR="00E040FD" w:rsidRDefault="00740D64">
      <w:pPr>
        <w:pStyle w:val="P68B1DB1-Normal4"/>
        <w:keepNext/>
        <w:numPr>
          <w:ilvl w:val="0"/>
          <w:numId w:val="67"/>
        </w:numPr>
        <w:spacing w:before="40" w:after="120" w:line="259" w:lineRule="auto"/>
        <w:contextualSpacing/>
        <w:jc w:val="both"/>
        <w:rPr>
          <w:rFonts w:eastAsiaTheme="minorEastAsia" w:cs="Times New Roman"/>
          <w:noProof/>
        </w:rPr>
      </w:pPr>
      <w:r>
        <w:rPr>
          <w:noProof/>
        </w:rPr>
        <w:t xml:space="preserve">För det andra planeras utgiftsöversyner bli ett strukturellt inslag i Portugals budgetprocess genom bättre integrering i den årliga budgetcykeln och efterhandsutvärderingen av möjliga effektivitetsvinster. </w:t>
      </w:r>
    </w:p>
    <w:p w14:paraId="7B864396" w14:textId="77777777" w:rsidR="00E040FD" w:rsidRDefault="00740D64">
      <w:pPr>
        <w:pStyle w:val="P68B1DB1-Normal4"/>
        <w:keepNext/>
        <w:numPr>
          <w:ilvl w:val="0"/>
          <w:numId w:val="67"/>
        </w:numPr>
        <w:spacing w:before="40" w:after="120" w:line="259" w:lineRule="auto"/>
        <w:contextualSpacing/>
        <w:jc w:val="both"/>
        <w:rPr>
          <w:rFonts w:eastAsiaTheme="minorEastAsia" w:cs="Times New Roman"/>
          <w:noProof/>
        </w:rPr>
      </w:pPr>
      <w:r>
        <w:rPr>
          <w:noProof/>
        </w:rPr>
        <w:t xml:space="preserve">För det tredje ska förbättringar av den centraliserade upphandlingens ansvarsområde genomföras för att öka effektiviteten. </w:t>
      </w:r>
    </w:p>
    <w:p w14:paraId="68DBC2DB" w14:textId="77777777" w:rsidR="00E040FD" w:rsidRDefault="00740D64">
      <w:pPr>
        <w:pStyle w:val="P68B1DB1-Normal4"/>
        <w:keepNext/>
        <w:numPr>
          <w:ilvl w:val="0"/>
          <w:numId w:val="67"/>
        </w:numPr>
        <w:spacing w:before="40" w:after="120" w:line="259" w:lineRule="auto"/>
        <w:contextualSpacing/>
        <w:jc w:val="both"/>
        <w:rPr>
          <w:rFonts w:eastAsiaTheme="minorEastAsia" w:cs="Times New Roman"/>
          <w:noProof/>
        </w:rPr>
      </w:pPr>
      <w:r>
        <w:rPr>
          <w:noProof/>
        </w:rPr>
        <w:t>För det fjärde planeras en tvådelad strategi för statsägda företag, där åtgärder för att öka insynen i offentliggörandet av finansiella uppgifter ska kompletteras med åtgärder för att stärka styrningen, bland annat genom förbättrade förvaltningskontrakt för att stimulera incitamentbaserade förvaltningsmetoder, och undertecknande av budget- och verksamhetsplaner som ska möjliggöra större autonomi i kombination med starkare ansvarsskyldighet och övervakning.</w:t>
      </w:r>
    </w:p>
    <w:p w14:paraId="51CF4504" w14:textId="77777777" w:rsidR="00E040FD" w:rsidRDefault="00740D64">
      <w:pPr>
        <w:pStyle w:val="P68B1DB1-Normal4"/>
        <w:spacing w:before="40" w:after="120" w:line="259" w:lineRule="auto"/>
        <w:jc w:val="both"/>
        <w:rPr>
          <w:rFonts w:eastAsiaTheme="minorEastAsia" w:cs="Times New Roman"/>
          <w:noProof/>
        </w:rPr>
      </w:pPr>
      <w:r>
        <w:rPr>
          <w:noProof/>
        </w:rPr>
        <w:t>Genomförandet av reformen ska vara slutfört senast den 31 december 2025.</w:t>
      </w:r>
    </w:p>
    <w:p w14:paraId="17979527" w14:textId="77777777" w:rsidR="00E040FD" w:rsidRDefault="00740D64">
      <w:pPr>
        <w:pStyle w:val="P68B1DB1-Normal5"/>
        <w:spacing w:before="240" w:after="0" w:line="259" w:lineRule="auto"/>
        <w:ind w:left="851"/>
        <w:jc w:val="both"/>
        <w:outlineLvl w:val="2"/>
        <w:rPr>
          <w:rFonts w:eastAsia="Times New Roman" w:cs="Times New Roman"/>
          <w:noProof/>
        </w:rPr>
      </w:pPr>
      <w:r>
        <w:rPr>
          <w:noProof/>
        </w:rPr>
        <w:t>Investeringar TD-C17-i01: Informationssystem för förvaltning av offentliga finanser</w:t>
      </w:r>
    </w:p>
    <w:p w14:paraId="2D41C5D2" w14:textId="77777777" w:rsidR="00E040FD" w:rsidRDefault="00740D64">
      <w:pPr>
        <w:pStyle w:val="P68B1DB1-Normal4"/>
        <w:spacing w:before="40" w:after="120" w:line="259" w:lineRule="auto"/>
        <w:jc w:val="both"/>
        <w:rPr>
          <w:rFonts w:eastAsia="Times New Roman" w:cs="Times New Roman"/>
          <w:noProof/>
        </w:rPr>
      </w:pPr>
      <w:r>
        <w:rPr>
          <w:noProof/>
        </w:rPr>
        <w:t>Syftet med investeringen är att genomföra den därmed sammanhängande reformen av förvaltningen av de offentliga finanserna i syfte att förbättra de offentliga finansernas kvalitet och hållbarhet. Investeringen är särskilt viktig för ett fullständigt och effektivt genomförande av 2015 års budgetramlag.</w:t>
      </w:r>
    </w:p>
    <w:p w14:paraId="4F4EDC29" w14:textId="77777777" w:rsidR="00E040FD" w:rsidRDefault="00740D64">
      <w:pPr>
        <w:pStyle w:val="P68B1DB1-Normal4"/>
        <w:spacing w:before="40" w:after="120" w:line="259" w:lineRule="auto"/>
        <w:jc w:val="both"/>
        <w:rPr>
          <w:rFonts w:eastAsia="Times New Roman" w:cs="Times New Roman"/>
          <w:noProof/>
        </w:rPr>
      </w:pPr>
      <w:r>
        <w:rPr>
          <w:noProof/>
        </w:rPr>
        <w:t>Investeringen ska bestå av kompletterande delinvesteringar som tillsammans bör bidra till en integrerad förvaltning av offentliga inkomster och utgifter. För det första ska delinvesteringarna inriktas på it-lösningar som möjliggör övervakning av offentliga transaktioner, med utgångspunkt i digitaliseringen av processer, automatisering av redovisning och integrering i centrala system vid finansministeriet, vilket ska gynna budgetplanering, övervakning och ansvarsskyldighet. Dessa ska omfatta utveckling av it-lösningar som gör det möjligt att förvalta statens statskassa på ett integrerat sätt genom det statliga redovisningsorganet, samt att stödja utarbetandet av statsbudgeten och budgetplaneringen på medellång sikt genom införande av programbudgetering och tillämpning av periodiserad redovisning. För det andra planeras kompletterande förbättringar även i informationssystemen för centraliserad upphandling samt förvaltningen av offentliga fordon och fast egendom.</w:t>
      </w:r>
    </w:p>
    <w:p w14:paraId="1F60E6B1" w14:textId="77777777" w:rsidR="00E040FD" w:rsidRDefault="00740D64">
      <w:pPr>
        <w:pStyle w:val="P68B1DB1-Normal4"/>
        <w:spacing w:before="40" w:after="0" w:line="259" w:lineRule="auto"/>
        <w:jc w:val="both"/>
        <w:rPr>
          <w:rFonts w:eastAsia="Times New Roman" w:cs="Times New Roman"/>
          <w:noProof/>
        </w:rPr>
      </w:pPr>
      <w:r>
        <w:rPr>
          <w:noProof/>
        </w:rPr>
        <w:t>Investeringen ska vara genomförd senast den 30 juni 2026.</w:t>
      </w:r>
    </w:p>
    <w:p w14:paraId="637EC6F3" w14:textId="77777777" w:rsidR="00E040FD" w:rsidRDefault="00740D64">
      <w:pPr>
        <w:pStyle w:val="P68B1DB1-Normal5"/>
        <w:spacing w:before="240" w:after="0" w:line="259" w:lineRule="auto"/>
        <w:ind w:left="851"/>
        <w:jc w:val="both"/>
        <w:outlineLvl w:val="2"/>
        <w:rPr>
          <w:rFonts w:eastAsia="Times New Roman" w:cs="Times New Roman"/>
          <w:noProof/>
        </w:rPr>
      </w:pPr>
      <w:r>
        <w:rPr>
          <w:noProof/>
        </w:rPr>
        <w:t>Investeringar TD-C17-i02: Modernisering av skatte- och tullmyndighetens informationssystem för fastighetsbeskattning på landsbygden</w:t>
      </w:r>
    </w:p>
    <w:p w14:paraId="11A35064" w14:textId="77777777" w:rsidR="00E040FD" w:rsidRDefault="00740D64">
      <w:pPr>
        <w:pStyle w:val="P68B1DB1-Normal4"/>
        <w:spacing w:before="40" w:after="120" w:line="259" w:lineRule="auto"/>
        <w:jc w:val="both"/>
        <w:rPr>
          <w:rFonts w:eastAsia="Times New Roman" w:cs="Times New Roman"/>
          <w:noProof/>
        </w:rPr>
      </w:pPr>
      <w:r>
        <w:rPr>
          <w:noProof/>
        </w:rPr>
        <w:t>Syftet med investeringen är att gå vidare med digitaliseringen av alla processer som rör fastighetsbeskattning på landsbygden, särskilt relaterad information – kartläggning och tillhörande egenskaper (såsom grödor och ekonomisk potential) – och införandet av förifyllande av särskilda deklarationsskyldigheter.</w:t>
      </w:r>
    </w:p>
    <w:p w14:paraId="414FC653" w14:textId="1B3EFAB6" w:rsidR="00E040FD" w:rsidRDefault="00740D64">
      <w:pPr>
        <w:pStyle w:val="P68B1DB1-Normal4"/>
        <w:keepNext/>
        <w:spacing w:before="40" w:after="120" w:line="259" w:lineRule="auto"/>
        <w:jc w:val="both"/>
        <w:rPr>
          <w:rFonts w:eastAsia="Times New Roman" w:cs="Times New Roman"/>
          <w:noProof/>
        </w:rPr>
      </w:pPr>
      <w:r>
        <w:rPr>
          <w:noProof/>
        </w:rPr>
        <w:t>Investeringen ska bestå av flera delinvesteringar som omfattar i) digitalisering av stödinformation för fastighetsmatriser, II) förstärkning av it-infrastrukturen för bevarande av digitaliserad fastighetsinformation. utveckling av samråds- och visualiseringsmekanismer för fastighetsmatriser. IV) Utvecklingen av ett informationssystem till stöd för den förenklade fastighetsbedömningen av landsbygdsfastigheter. utveckling av en lösning för hantering av georefererad information. och vi) utveckling av tjänster för deklarativ förfyllning (särskilt för fastighetsbeskattning och särskilda transaktioner som omfattas av stämpelskatt).</w:t>
      </w:r>
    </w:p>
    <w:p w14:paraId="2C782842" w14:textId="77777777" w:rsidR="00E040FD" w:rsidRDefault="00740D64">
      <w:pPr>
        <w:pStyle w:val="P68B1DB1-Normal4"/>
        <w:spacing w:before="40" w:after="0" w:line="259" w:lineRule="auto"/>
        <w:jc w:val="both"/>
        <w:rPr>
          <w:rFonts w:eastAsia="Times New Roman" w:cs="Times New Roman"/>
          <w:noProof/>
        </w:rPr>
      </w:pPr>
      <w:r>
        <w:rPr>
          <w:noProof/>
        </w:rPr>
        <w:t>Investeringen ska vara genomförd senast den 31 december 2025.</w:t>
      </w:r>
    </w:p>
    <w:p w14:paraId="18AD381B" w14:textId="77777777" w:rsidR="00E040FD" w:rsidRDefault="00740D64">
      <w:pPr>
        <w:pStyle w:val="P68B1DB1-Normal5"/>
        <w:keepNext/>
        <w:spacing w:before="240" w:after="0" w:line="259" w:lineRule="auto"/>
        <w:ind w:left="851"/>
        <w:jc w:val="both"/>
        <w:outlineLvl w:val="2"/>
        <w:rPr>
          <w:rFonts w:eastAsia="Times New Roman" w:cs="Times New Roman"/>
          <w:noProof/>
        </w:rPr>
      </w:pPr>
      <w:r>
        <w:rPr>
          <w:noProof/>
        </w:rPr>
        <w:t>Investeringar TD-C17-i03: Digital omställning av socialförsäkringstjänster</w:t>
      </w:r>
    </w:p>
    <w:p w14:paraId="484E2C44" w14:textId="77777777" w:rsidR="00E040FD" w:rsidRDefault="00740D64">
      <w:pPr>
        <w:pStyle w:val="P68B1DB1-Normal4"/>
        <w:keepNext/>
        <w:spacing w:before="40" w:after="120" w:line="259" w:lineRule="auto"/>
        <w:jc w:val="both"/>
        <w:rPr>
          <w:rFonts w:eastAsia="Times New Roman" w:cs="Times New Roman"/>
          <w:noProof/>
        </w:rPr>
      </w:pPr>
      <w:r>
        <w:rPr>
          <w:noProof/>
        </w:rPr>
        <w:t>Syftet med investeringen är att främja digitaliseringen av de sociala trygghetstjänsterna i syfte att göra dem mer användarvänliga, främja effektivitet och bekämpa bedrägerier och skatteundandragande.</w:t>
      </w:r>
    </w:p>
    <w:p w14:paraId="7A04F8FA" w14:textId="77777777" w:rsidR="00E040FD" w:rsidRDefault="00740D64">
      <w:pPr>
        <w:pStyle w:val="P68B1DB1-Normal4"/>
        <w:keepNext/>
        <w:spacing w:before="40" w:after="120" w:line="259" w:lineRule="auto"/>
        <w:jc w:val="both"/>
        <w:rPr>
          <w:rFonts w:eastAsia="Times New Roman" w:cs="Times New Roman"/>
          <w:noProof/>
        </w:rPr>
      </w:pPr>
      <w:r>
        <w:rPr>
          <w:noProof/>
        </w:rPr>
        <w:t xml:space="preserve">Investeringen ska bestå av steg för att förbättra utformningen och organisationen av socialförsäkringstjänsterna, på grundval av uppgraderingen av de underliggande informationssystemen, när det gäller sociala förmåner, sociala avgifter, bedrägeribekämpning, informationshantering och betalningskanaler, II) utveckla och genomföra en ny modell för förbindelser, som förväntas integrera de olika kanalerna för interaktion mellan medborgare, företag och socialförsäkringstjänster genom en allomfattande strategi. III) anpassa socialförsäkringstjänsternas arbetsplatser för att möjliggöra mer flexibla arbetsformer, såsom distansarbete, IV) genomföra it-infrastruktur baserad på molnbaserade lösningar som har potential att stödja prestanda och interoperabilitet. och v) se över interna processer och utbilda socialförsäkringsanställda för att stödja ett smidigt genomförande av ovannämnda investeringar och strukturella förändringar. </w:t>
      </w:r>
    </w:p>
    <w:p w14:paraId="1A95DF4E" w14:textId="77777777" w:rsidR="00E040FD" w:rsidRDefault="00740D64">
      <w:pPr>
        <w:pStyle w:val="P68B1DB1-Normal4"/>
        <w:spacing w:before="40" w:after="0" w:line="259" w:lineRule="auto"/>
        <w:jc w:val="both"/>
        <w:rPr>
          <w:rFonts w:eastAsia="Times New Roman" w:cs="Times New Roman"/>
          <w:noProof/>
        </w:rPr>
      </w:pPr>
      <w:r>
        <w:rPr>
          <w:noProof/>
        </w:rPr>
        <w:t>Investeringen ska vara genomförd senast den 31 december 2025.</w:t>
      </w:r>
    </w:p>
    <w:p w14:paraId="4F1F38D4" w14:textId="399786BD" w:rsidR="00E040FD" w:rsidRDefault="00740D64">
      <w:pPr>
        <w:pStyle w:val="P68B1DB1-Normal5"/>
        <w:keepNext/>
        <w:spacing w:before="240" w:after="0" w:line="259" w:lineRule="auto"/>
        <w:ind w:left="851"/>
        <w:jc w:val="both"/>
        <w:outlineLvl w:val="2"/>
        <w:rPr>
          <w:rFonts w:eastAsia="Times New Roman" w:cs="Times New Roman"/>
          <w:noProof/>
        </w:rPr>
      </w:pPr>
      <w:bookmarkStart w:id="32" w:name="_Toc137472472"/>
      <w:r>
        <w:rPr>
          <w:noProof/>
        </w:rPr>
        <w:t xml:space="preserve">Reform TD-C17-r40: Förenkling av skattesystemet </w:t>
      </w:r>
      <w:bookmarkEnd w:id="32"/>
    </w:p>
    <w:p w14:paraId="7BD4017E" w14:textId="77777777" w:rsidR="00E040FD" w:rsidRDefault="00740D64">
      <w:pPr>
        <w:spacing w:before="40" w:after="0" w:line="259" w:lineRule="auto"/>
        <w:jc w:val="both"/>
        <w:rPr>
          <w:rFonts w:ascii="Times New Roman" w:hAnsi="Times New Roman" w:cs="Times New Roman"/>
          <w:noProof/>
          <w:sz w:val="24"/>
        </w:rPr>
      </w:pPr>
      <w:r>
        <w:rPr>
          <w:rFonts w:ascii="Times New Roman" w:hAnsi="Times New Roman"/>
          <w:noProof/>
          <w:sz w:val="24"/>
        </w:rPr>
        <w:t>Syftet med denna reform är att förbättra effektiviteten i Portugals skattesystem. Reformen ska införa ett permanent system för att konsekvent övervaka och utvärdera nya och befintliga skatteförmåner (”benefit</w:t>
      </w:r>
      <w:r>
        <w:rPr>
          <w:rFonts w:ascii="Times New Roman" w:hAnsi="Times New Roman"/>
          <w:i/>
          <w:noProof/>
          <w:sz w:val="24"/>
        </w:rPr>
        <w:t>ícios fiscais</w:t>
      </w:r>
      <w:r>
        <w:rPr>
          <w:rFonts w:ascii="Times New Roman" w:hAnsi="Times New Roman"/>
          <w:noProof/>
          <w:sz w:val="24"/>
        </w:rPr>
        <w:t>”)</w:t>
      </w:r>
      <w:r>
        <w:rPr>
          <w:rStyle w:val="FootnoteReference"/>
          <w:rFonts w:ascii="Times New Roman" w:hAnsi="Times New Roman" w:cs="Times New Roman"/>
          <w:noProof/>
          <w:sz w:val="24"/>
        </w:rPr>
        <w:footnoteReference w:id="76"/>
      </w:r>
      <w:r>
        <w:rPr>
          <w:rFonts w:ascii="Times New Roman" w:hAnsi="Times New Roman"/>
          <w:noProof/>
          <w:sz w:val="24"/>
        </w:rPr>
        <w:t>. Detta ska leda till en förenkling av den befintliga ramen genom att minska antalet skatteförmåner, minska deras tillhörande skatteutgifter</w:t>
      </w:r>
      <w:r>
        <w:rPr>
          <w:rFonts w:ascii="Times New Roman" w:hAnsi="Times New Roman"/>
          <w:i/>
          <w:noProof/>
          <w:sz w:val="24"/>
        </w:rPr>
        <w:t>(despesas</w:t>
      </w:r>
      <w:r>
        <w:rPr>
          <w:rFonts w:ascii="Times New Roman" w:hAnsi="Times New Roman"/>
          <w:noProof/>
          <w:sz w:val="24"/>
        </w:rPr>
        <w:t>fiscais) och öka kostnadseffektiviteten för de skatteförmåner som återstår.</w:t>
      </w:r>
    </w:p>
    <w:p w14:paraId="0F4A2EDF" w14:textId="77777777" w:rsidR="00E040FD" w:rsidRDefault="00740D64">
      <w:pPr>
        <w:pStyle w:val="P68B1DB1-Normal4"/>
        <w:spacing w:before="40" w:after="0" w:line="259" w:lineRule="auto"/>
        <w:jc w:val="both"/>
        <w:rPr>
          <w:rFonts w:eastAsia="@MS Mincho" w:cs="Times New Roman"/>
          <w:noProof/>
        </w:rPr>
      </w:pPr>
      <w:r>
        <w:rPr>
          <w:noProof/>
        </w:rPr>
        <w:t>Reformen ska bestå av en rättsakt om inrättande av en permanent teknisk skattepolitisk enhet (</w:t>
      </w:r>
      <w:r>
        <w:rPr>
          <w:i/>
          <w:noProof/>
        </w:rPr>
        <w:t>Unidade Técnica de Avaliação Tributária e Aduaneira</w:t>
      </w:r>
      <w:r>
        <w:rPr>
          <w:noProof/>
        </w:rPr>
        <w:t xml:space="preserve">, även kallad U-TAX) med mandat att systematiskt övervaka och utvärdera nya och befintliga skatteförmåner och bidra till utformningen, genomförandet och konsekvensbedömningen av skattepolitiken. Skattepolitiska enheten ska också bidra till utarbetandet av rättsakter på skatteområdet, i samarbete med andra relevanta enheter som </w:t>
      </w:r>
      <w:r>
        <w:rPr>
          <w:i/>
          <w:noProof/>
        </w:rPr>
        <w:t xml:space="preserve">Centro de Estudos Fiscais e Aduaneiros </w:t>
      </w:r>
      <w:r>
        <w:rPr>
          <w:noProof/>
        </w:rPr>
        <w:t>(CEF). Rättsakten ska specificera U-TAX formella struktur, inbegripet dess organisationsplan, funktion och uppgifter. U-TAX ska vara tekniskt oberoende av skatte- och tullmyndigheten och svara direkt till finansministeriet. U-TAX ska bestå av fast teknisk personal med sakkunskap om skattepolitik. Rättsakten ska också definiera den formella interaktionen mellan U-TAX och andra relevanta offentliga och privata enheter, som forskningsinstitutioner och akademiska institutioner, och föreskriva en definition av avtal om datadelning mellan U-TAX och relevanta offentliga organ, såsom skatte- och tullmyndigheten och Portugals statistikinstitut (INE). Rättsakten ska också säkerställa U-TAX:s åtagande om kvaliteten på och insynen i dess analytiska rapporter och om bevarande av datakvalitetsnormer. Denna skattepolitiska enhet ska offentliggöra en bedömningsrapport med en kostnads-nyttoanalys av befintliga skatteförmåner, med kriterier för effektivitet och ändamålsenlighet samt miljöhänsyn. En översyn av den rättsliga ramen för en betydande uppsättning skatteförmåner ska göras efter denna bedömning.</w:t>
      </w:r>
    </w:p>
    <w:p w14:paraId="6901A2AB" w14:textId="77777777" w:rsidR="00E040FD" w:rsidRDefault="00740D64">
      <w:pPr>
        <w:pStyle w:val="P68B1DB1-Normal4"/>
        <w:spacing w:before="40" w:after="0" w:line="259" w:lineRule="auto"/>
        <w:jc w:val="both"/>
        <w:rPr>
          <w:rFonts w:cs="Times New Roman"/>
          <w:noProof/>
        </w:rPr>
      </w:pPr>
      <w:r>
        <w:rPr>
          <w:noProof/>
        </w:rPr>
        <w:t>Genomförandet av denna reform ska vara slutfört senast den 31 mars 2026.</w:t>
      </w:r>
    </w:p>
    <w:p w14:paraId="282DA7C3" w14:textId="77777777" w:rsidR="00E040FD" w:rsidRDefault="00E040FD">
      <w:pPr>
        <w:spacing w:before="40" w:after="0" w:line="259" w:lineRule="auto"/>
        <w:jc w:val="both"/>
        <w:rPr>
          <w:rFonts w:ascii="Times New Roman" w:eastAsia="Times New Roman" w:hAnsi="Times New Roman" w:cs="Times New Roman"/>
          <w:noProof/>
          <w:sz w:val="24"/>
        </w:rPr>
      </w:pPr>
    </w:p>
    <w:p w14:paraId="03613E4E" w14:textId="75A6C9BA" w:rsidR="00E040FD" w:rsidRDefault="00E040FD">
      <w:pPr>
        <w:spacing w:before="40" w:after="0" w:line="259" w:lineRule="auto"/>
        <w:jc w:val="both"/>
        <w:rPr>
          <w:rFonts w:ascii="Times New Roman" w:eastAsia="Times New Roman" w:hAnsi="Times New Roman" w:cs="Times New Roman"/>
          <w:noProof/>
          <w:sz w:val="24"/>
        </w:rPr>
        <w:sectPr w:rsidR="00E040FD" w:rsidSect="00E00EDD">
          <w:headerReference w:type="even" r:id="rId318"/>
          <w:headerReference w:type="default" r:id="rId319"/>
          <w:footerReference w:type="even" r:id="rId320"/>
          <w:footerReference w:type="default" r:id="rId321"/>
          <w:headerReference w:type="first" r:id="rId322"/>
          <w:footerReference w:type="first" r:id="rId323"/>
          <w:pgSz w:w="11907" w:h="16839"/>
          <w:pgMar w:top="1134" w:right="1134" w:bottom="1134" w:left="1134" w:header="567" w:footer="567" w:gutter="0"/>
          <w:cols w:space="720"/>
          <w:docGrid w:linePitch="360"/>
        </w:sectPr>
      </w:pPr>
    </w:p>
    <w:p w14:paraId="449FF56D"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FRÅGA 2 Delmål, mål, indikatorer och tidsplan för övervakning och genomförande avseende icke återbetalningspliktigt ekonomiskt stöd</w:t>
      </w:r>
    </w:p>
    <w:p w14:paraId="47972E30"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152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1036"/>
        <w:gridCol w:w="1161"/>
        <w:gridCol w:w="1034"/>
        <w:gridCol w:w="1539"/>
        <w:gridCol w:w="1356"/>
        <w:gridCol w:w="909"/>
        <w:gridCol w:w="908"/>
        <w:gridCol w:w="657"/>
        <w:gridCol w:w="530"/>
        <w:gridCol w:w="656"/>
        <w:gridCol w:w="5456"/>
      </w:tblGrid>
      <w:tr w:rsidR="00E040FD" w14:paraId="0CC744D9" w14:textId="77777777">
        <w:trPr>
          <w:trHeight w:val="910"/>
          <w:tblHeader/>
        </w:trPr>
        <w:tc>
          <w:tcPr>
            <w:tcW w:w="1043" w:type="dxa"/>
            <w:gridSpan w:val="2"/>
            <w:vMerge w:val="restart"/>
            <w:shd w:val="clear" w:color="auto" w:fill="BDD6EE"/>
            <w:vAlign w:val="center"/>
            <w:hideMark/>
          </w:tcPr>
          <w:p w14:paraId="0DD3CE3E"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161" w:type="dxa"/>
            <w:vMerge w:val="restart"/>
            <w:shd w:val="clear" w:color="auto" w:fill="BDD6EE"/>
            <w:vAlign w:val="center"/>
            <w:hideMark/>
          </w:tcPr>
          <w:p w14:paraId="119BDC18"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034" w:type="dxa"/>
            <w:vMerge w:val="restart"/>
            <w:shd w:val="clear" w:color="auto" w:fill="BDD6EE"/>
            <w:vAlign w:val="center"/>
            <w:hideMark/>
          </w:tcPr>
          <w:p w14:paraId="68B0DBF9" w14:textId="77777777" w:rsidR="00E040FD" w:rsidRDefault="00740D64">
            <w:pPr>
              <w:pStyle w:val="P68B1DB1-Normal6"/>
              <w:spacing w:after="0" w:line="240" w:lineRule="auto"/>
              <w:jc w:val="center"/>
              <w:rPr>
                <w:rFonts w:eastAsia="Times New Roman" w:cs="Times New Roman"/>
                <w:noProof/>
              </w:rPr>
            </w:pPr>
            <w:r>
              <w:rPr>
                <w:noProof/>
              </w:rPr>
              <w:t>Milementon/</w:t>
            </w:r>
          </w:p>
          <w:p w14:paraId="235747B5" w14:textId="63F3C043" w:rsidR="00E040FD" w:rsidRDefault="00740D64">
            <w:pPr>
              <w:pStyle w:val="P68B1DB1-Normal6"/>
              <w:spacing w:after="0" w:line="240" w:lineRule="auto"/>
              <w:jc w:val="center"/>
              <w:rPr>
                <w:rFonts w:eastAsia="Times New Roman" w:cs="Times New Roman"/>
                <w:noProof/>
              </w:rPr>
            </w:pPr>
            <w:r>
              <w:rPr>
                <w:noProof/>
              </w:rPr>
              <w:t>Mål</w:t>
            </w:r>
          </w:p>
        </w:tc>
        <w:tc>
          <w:tcPr>
            <w:tcW w:w="1539" w:type="dxa"/>
            <w:vMerge w:val="restart"/>
            <w:shd w:val="clear" w:color="auto" w:fill="BDD6EE"/>
            <w:vAlign w:val="center"/>
            <w:hideMark/>
          </w:tcPr>
          <w:p w14:paraId="6666AD10" w14:textId="77777777" w:rsidR="00E040FD" w:rsidRDefault="00740D64">
            <w:pPr>
              <w:pStyle w:val="P68B1DB1-Normal6"/>
              <w:spacing w:after="0" w:line="240" w:lineRule="auto"/>
              <w:jc w:val="center"/>
              <w:rPr>
                <w:rFonts w:eastAsia="Times New Roman" w:cs="Times New Roman"/>
                <w:noProof/>
              </w:rPr>
            </w:pPr>
            <w:r>
              <w:rPr>
                <w:noProof/>
              </w:rPr>
              <w:t>Namn</w:t>
            </w:r>
          </w:p>
        </w:tc>
        <w:tc>
          <w:tcPr>
            <w:tcW w:w="1356" w:type="dxa"/>
            <w:vMerge w:val="restart"/>
            <w:shd w:val="clear" w:color="auto" w:fill="BDD6EE"/>
            <w:vAlign w:val="center"/>
            <w:hideMark/>
          </w:tcPr>
          <w:p w14:paraId="0C0A3581"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474" w:type="dxa"/>
            <w:gridSpan w:val="3"/>
            <w:shd w:val="clear" w:color="auto" w:fill="BDD6EE"/>
            <w:vAlign w:val="center"/>
            <w:hideMark/>
          </w:tcPr>
          <w:p w14:paraId="7EB33E8C"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186" w:type="dxa"/>
            <w:gridSpan w:val="2"/>
            <w:shd w:val="clear" w:color="auto" w:fill="BDD6EE"/>
            <w:vAlign w:val="center"/>
            <w:hideMark/>
          </w:tcPr>
          <w:p w14:paraId="3D7372E7"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5456" w:type="dxa"/>
            <w:vMerge w:val="restart"/>
            <w:shd w:val="clear" w:color="auto" w:fill="BDD6EE"/>
            <w:noWrap/>
            <w:vAlign w:val="center"/>
            <w:hideMark/>
          </w:tcPr>
          <w:p w14:paraId="110BCD14"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26D58C7B" w14:textId="77777777">
        <w:trPr>
          <w:trHeight w:val="521"/>
          <w:tblHeader/>
        </w:trPr>
        <w:tc>
          <w:tcPr>
            <w:tcW w:w="1043" w:type="dxa"/>
            <w:gridSpan w:val="2"/>
            <w:vMerge/>
            <w:vAlign w:val="center"/>
          </w:tcPr>
          <w:p w14:paraId="0A90FC04" w14:textId="77777777" w:rsidR="00E040FD" w:rsidRDefault="00E040FD">
            <w:pPr>
              <w:spacing w:after="0" w:line="240" w:lineRule="auto"/>
              <w:jc w:val="center"/>
              <w:rPr>
                <w:rFonts w:ascii="Calibri" w:eastAsia="Times New Roman" w:hAnsi="Calibri" w:cs="Calibri"/>
                <w:b/>
                <w:noProof/>
                <w:sz w:val="16"/>
              </w:rPr>
            </w:pPr>
          </w:p>
        </w:tc>
        <w:tc>
          <w:tcPr>
            <w:tcW w:w="1161" w:type="dxa"/>
            <w:vMerge/>
            <w:noWrap/>
            <w:vAlign w:val="center"/>
          </w:tcPr>
          <w:p w14:paraId="7720E5AA" w14:textId="77777777" w:rsidR="00E040FD" w:rsidRDefault="00E040FD">
            <w:pPr>
              <w:spacing w:after="0" w:line="240" w:lineRule="auto"/>
              <w:jc w:val="center"/>
              <w:rPr>
                <w:rFonts w:ascii="Calibri" w:eastAsia="Times New Roman" w:hAnsi="Calibri" w:cs="Calibri"/>
                <w:noProof/>
                <w:sz w:val="16"/>
              </w:rPr>
            </w:pPr>
          </w:p>
        </w:tc>
        <w:tc>
          <w:tcPr>
            <w:tcW w:w="1034" w:type="dxa"/>
            <w:vMerge/>
            <w:noWrap/>
            <w:vAlign w:val="center"/>
          </w:tcPr>
          <w:p w14:paraId="44179E26" w14:textId="77777777" w:rsidR="00E040FD" w:rsidRDefault="00E040FD">
            <w:pPr>
              <w:spacing w:after="0" w:line="240" w:lineRule="auto"/>
              <w:jc w:val="center"/>
              <w:rPr>
                <w:rFonts w:ascii="Calibri" w:eastAsia="Times New Roman" w:hAnsi="Calibri" w:cs="Calibri"/>
                <w:noProof/>
                <w:sz w:val="16"/>
              </w:rPr>
            </w:pPr>
          </w:p>
        </w:tc>
        <w:tc>
          <w:tcPr>
            <w:tcW w:w="1539" w:type="dxa"/>
            <w:vMerge/>
            <w:noWrap/>
            <w:vAlign w:val="center"/>
          </w:tcPr>
          <w:p w14:paraId="591AE727" w14:textId="77777777" w:rsidR="00E040FD" w:rsidRDefault="00E040FD">
            <w:pPr>
              <w:spacing w:after="0" w:line="240" w:lineRule="auto"/>
              <w:jc w:val="center"/>
              <w:rPr>
                <w:rFonts w:ascii="Calibri" w:eastAsia="Times New Roman" w:hAnsi="Calibri" w:cs="Calibri"/>
                <w:noProof/>
                <w:sz w:val="16"/>
              </w:rPr>
            </w:pPr>
          </w:p>
        </w:tc>
        <w:tc>
          <w:tcPr>
            <w:tcW w:w="1356" w:type="dxa"/>
            <w:vMerge/>
            <w:noWrap/>
            <w:vAlign w:val="center"/>
          </w:tcPr>
          <w:p w14:paraId="7822AAB7" w14:textId="77777777" w:rsidR="00E040FD" w:rsidRDefault="00E040FD">
            <w:pPr>
              <w:spacing w:after="0" w:line="240" w:lineRule="auto"/>
              <w:jc w:val="center"/>
              <w:rPr>
                <w:rFonts w:ascii="Calibri" w:eastAsia="Times New Roman" w:hAnsi="Calibri" w:cs="Calibri"/>
                <w:noProof/>
                <w:sz w:val="16"/>
              </w:rPr>
            </w:pPr>
          </w:p>
        </w:tc>
        <w:tc>
          <w:tcPr>
            <w:tcW w:w="909" w:type="dxa"/>
            <w:shd w:val="clear" w:color="auto" w:fill="BDD6EE"/>
            <w:noWrap/>
            <w:vAlign w:val="center"/>
          </w:tcPr>
          <w:p w14:paraId="64FC2FBB" w14:textId="4031209A" w:rsidR="00E040FD" w:rsidRDefault="00740D64">
            <w:pPr>
              <w:pStyle w:val="P68B1DB1-Normal6"/>
              <w:spacing w:after="0" w:line="240" w:lineRule="auto"/>
              <w:jc w:val="center"/>
              <w:rPr>
                <w:rFonts w:ascii="Calibri" w:eastAsia="Times New Roman" w:hAnsi="Calibri" w:cs="Calibri"/>
                <w:noProof/>
                <w:sz w:val="16"/>
              </w:rPr>
            </w:pPr>
            <w:r>
              <w:rPr>
                <w:noProof/>
              </w:rPr>
              <w:t>Enhet för åtgärd</w:t>
            </w:r>
          </w:p>
        </w:tc>
        <w:tc>
          <w:tcPr>
            <w:tcW w:w="908" w:type="dxa"/>
            <w:shd w:val="clear" w:color="auto" w:fill="BDD6EE"/>
            <w:noWrap/>
            <w:vAlign w:val="center"/>
          </w:tcPr>
          <w:p w14:paraId="39BFFF83" w14:textId="07A9DA21" w:rsidR="00E040FD" w:rsidRDefault="00740D64">
            <w:pPr>
              <w:pStyle w:val="P68B1DB1-Normal6"/>
              <w:spacing w:after="0" w:line="240" w:lineRule="auto"/>
              <w:jc w:val="center"/>
              <w:rPr>
                <w:rFonts w:ascii="Calibri" w:eastAsia="Times New Roman" w:hAnsi="Calibri" w:cs="Calibri"/>
                <w:noProof/>
                <w:sz w:val="16"/>
              </w:rPr>
            </w:pPr>
            <w:r>
              <w:rPr>
                <w:noProof/>
              </w:rPr>
              <w:t>Baslinjen</w:t>
            </w:r>
          </w:p>
        </w:tc>
        <w:tc>
          <w:tcPr>
            <w:tcW w:w="657" w:type="dxa"/>
            <w:shd w:val="clear" w:color="auto" w:fill="BDD6EE"/>
            <w:noWrap/>
            <w:vAlign w:val="center"/>
          </w:tcPr>
          <w:p w14:paraId="15BA119E" w14:textId="139D46FC" w:rsidR="00E040FD" w:rsidRDefault="00740D64">
            <w:pPr>
              <w:pStyle w:val="P68B1DB1-Normal6"/>
              <w:spacing w:after="0" w:line="240" w:lineRule="auto"/>
              <w:jc w:val="center"/>
              <w:rPr>
                <w:rFonts w:ascii="Calibri" w:eastAsia="Times New Roman" w:hAnsi="Calibri" w:cs="Calibri"/>
                <w:noProof/>
                <w:sz w:val="16"/>
              </w:rPr>
            </w:pPr>
            <w:r>
              <w:rPr>
                <w:noProof/>
              </w:rPr>
              <w:t>Mål</w:t>
            </w:r>
          </w:p>
        </w:tc>
        <w:tc>
          <w:tcPr>
            <w:tcW w:w="530" w:type="dxa"/>
            <w:shd w:val="clear" w:color="auto" w:fill="BDD6EE"/>
            <w:noWrap/>
            <w:vAlign w:val="center"/>
          </w:tcPr>
          <w:p w14:paraId="1E42A9C0" w14:textId="475D06D5" w:rsidR="00E040FD" w:rsidRDefault="00740D64">
            <w:pPr>
              <w:pStyle w:val="P68B1DB1-Normal6"/>
              <w:spacing w:after="0" w:line="240" w:lineRule="auto"/>
              <w:jc w:val="center"/>
              <w:rPr>
                <w:rFonts w:ascii="Calibri" w:eastAsia="Times New Roman" w:hAnsi="Calibri" w:cs="Calibri"/>
                <w:noProof/>
                <w:sz w:val="16"/>
              </w:rPr>
            </w:pPr>
            <w:r>
              <w:rPr>
                <w:noProof/>
              </w:rPr>
              <w:t>Q</w:t>
            </w:r>
          </w:p>
        </w:tc>
        <w:tc>
          <w:tcPr>
            <w:tcW w:w="656" w:type="dxa"/>
            <w:shd w:val="clear" w:color="auto" w:fill="BDD6EE"/>
            <w:noWrap/>
            <w:vAlign w:val="center"/>
          </w:tcPr>
          <w:p w14:paraId="7E76EBEF" w14:textId="6888EA5F" w:rsidR="00E040FD" w:rsidRDefault="00740D64">
            <w:pPr>
              <w:pStyle w:val="P68B1DB1-Normal6"/>
              <w:spacing w:after="0" w:line="240" w:lineRule="auto"/>
              <w:jc w:val="center"/>
              <w:rPr>
                <w:rFonts w:ascii="Calibri" w:eastAsia="Times New Roman" w:hAnsi="Calibri" w:cs="Calibri"/>
                <w:noProof/>
                <w:sz w:val="16"/>
              </w:rPr>
            </w:pPr>
            <w:r>
              <w:rPr>
                <w:noProof/>
              </w:rPr>
              <w:t>Året</w:t>
            </w:r>
          </w:p>
        </w:tc>
        <w:tc>
          <w:tcPr>
            <w:tcW w:w="5456" w:type="dxa"/>
            <w:vMerge/>
            <w:noWrap/>
            <w:vAlign w:val="center"/>
          </w:tcPr>
          <w:p w14:paraId="33463114" w14:textId="77777777" w:rsidR="00E040FD" w:rsidRDefault="00E040FD">
            <w:pPr>
              <w:spacing w:after="0" w:line="240" w:lineRule="auto"/>
              <w:jc w:val="both"/>
              <w:rPr>
                <w:rFonts w:ascii="Calibri" w:eastAsia="Times New Roman" w:hAnsi="Calibri" w:cs="Calibri"/>
                <w:noProof/>
                <w:sz w:val="16"/>
              </w:rPr>
            </w:pPr>
          </w:p>
        </w:tc>
      </w:tr>
      <w:tr w:rsidR="00E040FD" w14:paraId="7694BA31" w14:textId="77777777">
        <w:trPr>
          <w:trHeight w:val="850"/>
        </w:trPr>
        <w:tc>
          <w:tcPr>
            <w:tcW w:w="1043" w:type="dxa"/>
            <w:gridSpan w:val="2"/>
            <w:shd w:val="clear" w:color="auto" w:fill="C4EFCE"/>
            <w:vAlign w:val="center"/>
            <w:hideMark/>
          </w:tcPr>
          <w:p w14:paraId="3E3FBA2E" w14:textId="77777777" w:rsidR="00E040FD" w:rsidRDefault="00740D64">
            <w:pPr>
              <w:pStyle w:val="P68B1DB1-Normal7"/>
              <w:spacing w:after="0" w:line="240" w:lineRule="auto"/>
              <w:jc w:val="center"/>
              <w:rPr>
                <w:rFonts w:eastAsia="Times New Roman" w:cs="Calibri"/>
                <w:noProof/>
              </w:rPr>
            </w:pPr>
            <w:r>
              <w:rPr>
                <w:noProof/>
              </w:rPr>
              <w:t>17.1</w:t>
            </w:r>
          </w:p>
        </w:tc>
        <w:tc>
          <w:tcPr>
            <w:tcW w:w="1161" w:type="dxa"/>
            <w:shd w:val="clear" w:color="auto" w:fill="C4EFCE"/>
            <w:noWrap/>
            <w:vAlign w:val="center"/>
            <w:hideMark/>
          </w:tcPr>
          <w:p w14:paraId="2DD63E92" w14:textId="77777777" w:rsidR="00E040FD" w:rsidRDefault="00740D64">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0F2B21F0" w14:textId="77777777" w:rsidR="00E040FD" w:rsidRDefault="00740D64">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04C19ED3" w14:textId="77777777" w:rsidR="00E040FD" w:rsidRDefault="00740D64">
            <w:pPr>
              <w:pStyle w:val="P68B1DB1-Normal8"/>
              <w:spacing w:after="0" w:line="240" w:lineRule="auto"/>
              <w:jc w:val="center"/>
              <w:rPr>
                <w:rFonts w:eastAsia="Times New Roman" w:cs="Calibri"/>
                <w:noProof/>
              </w:rPr>
            </w:pPr>
            <w:r>
              <w:rPr>
                <w:noProof/>
              </w:rPr>
              <w:t>Slutföra utformningen och genomförandet av nya upphandlingsmodeller för det nationella centrala systemet för offentlig upphandling i enlighet med den strategiska planen för 2020–2023 för enheten för delade tjänster inom offentlig förvaltning.</w:t>
            </w:r>
          </w:p>
        </w:tc>
        <w:tc>
          <w:tcPr>
            <w:tcW w:w="1356" w:type="dxa"/>
            <w:shd w:val="clear" w:color="auto" w:fill="C4EFCE"/>
            <w:noWrap/>
            <w:vAlign w:val="center"/>
            <w:hideMark/>
          </w:tcPr>
          <w:p w14:paraId="12F6C5B1" w14:textId="77777777" w:rsidR="00E040FD" w:rsidRDefault="00740D64">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200AE441" w14:textId="77777777" w:rsidR="00E040FD" w:rsidRDefault="00740D64">
            <w:pPr>
              <w:pStyle w:val="P68B1DB1-Normal8"/>
              <w:spacing w:after="0" w:line="240" w:lineRule="auto"/>
              <w:jc w:val="center"/>
              <w:rPr>
                <w:rFonts w:eastAsia="Times New Roman" w:cs="Calibri"/>
                <w:noProof/>
              </w:rPr>
            </w:pPr>
            <w:r>
              <w:rPr>
                <w:noProof/>
              </w:rPr>
              <w:t>Antal</w:t>
            </w:r>
          </w:p>
        </w:tc>
        <w:tc>
          <w:tcPr>
            <w:tcW w:w="908" w:type="dxa"/>
            <w:shd w:val="clear" w:color="auto" w:fill="C4EFCE"/>
            <w:noWrap/>
            <w:vAlign w:val="center"/>
            <w:hideMark/>
          </w:tcPr>
          <w:p w14:paraId="5CE359FE" w14:textId="77777777" w:rsidR="00E040FD" w:rsidRDefault="00740D64">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190050F3" w14:textId="77777777" w:rsidR="00E040FD" w:rsidRDefault="00740D64">
            <w:pPr>
              <w:pStyle w:val="P68B1DB1-Normal8"/>
              <w:spacing w:after="0" w:line="240" w:lineRule="auto"/>
              <w:jc w:val="center"/>
              <w:rPr>
                <w:rFonts w:eastAsia="Times New Roman" w:cs="Calibri"/>
                <w:noProof/>
              </w:rPr>
            </w:pPr>
            <w:r>
              <w:rPr>
                <w:noProof/>
              </w:rPr>
              <w:t>10</w:t>
            </w:r>
          </w:p>
        </w:tc>
        <w:tc>
          <w:tcPr>
            <w:tcW w:w="530" w:type="dxa"/>
            <w:shd w:val="clear" w:color="auto" w:fill="C4EFCE"/>
            <w:noWrap/>
            <w:vAlign w:val="center"/>
            <w:hideMark/>
          </w:tcPr>
          <w:p w14:paraId="3C2E2E6E"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52B7F59F" w14:textId="77777777" w:rsidR="00E040FD" w:rsidRDefault="00740D64">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7656AF6C" w14:textId="77777777" w:rsidR="00E040FD" w:rsidRDefault="00740D64">
            <w:pPr>
              <w:pStyle w:val="P68B1DB1-Normal8"/>
              <w:spacing w:after="0" w:line="240" w:lineRule="auto"/>
              <w:jc w:val="both"/>
              <w:rPr>
                <w:rFonts w:eastAsia="Times New Roman" w:cs="Calibri"/>
                <w:noProof/>
              </w:rPr>
            </w:pPr>
            <w:r>
              <w:rPr>
                <w:noProof/>
              </w:rPr>
              <w:t>Antal reviderade ramavtal och avtalsmodeller för att i) främja administrativ förenkling, II) Stärka övervaknings- och kontrollmekanismerna. III) främja kostnadseffektivitets- och rationaliseringsöverväganden, IV) bredda förteckningen över varor och tjänster som omfattas av centraliserad upphandling. och v) främja samarbete mellan interna och externa intressenter.</w:t>
            </w:r>
          </w:p>
        </w:tc>
      </w:tr>
      <w:tr w:rsidR="00E040FD" w14:paraId="5D6E4B31" w14:textId="77777777">
        <w:trPr>
          <w:trHeight w:val="640"/>
        </w:trPr>
        <w:tc>
          <w:tcPr>
            <w:tcW w:w="1043" w:type="dxa"/>
            <w:gridSpan w:val="2"/>
            <w:shd w:val="clear" w:color="auto" w:fill="C4EFCE"/>
            <w:vAlign w:val="center"/>
            <w:hideMark/>
          </w:tcPr>
          <w:p w14:paraId="42B7E2A9" w14:textId="77777777" w:rsidR="00E040FD" w:rsidRDefault="00740D64">
            <w:pPr>
              <w:pStyle w:val="P68B1DB1-Normal7"/>
              <w:spacing w:after="0" w:line="240" w:lineRule="auto"/>
              <w:jc w:val="center"/>
              <w:rPr>
                <w:rFonts w:eastAsia="Times New Roman" w:cs="Calibri"/>
                <w:noProof/>
              </w:rPr>
            </w:pPr>
            <w:r>
              <w:rPr>
                <w:noProof/>
              </w:rPr>
              <w:t>17.2</w:t>
            </w:r>
          </w:p>
        </w:tc>
        <w:tc>
          <w:tcPr>
            <w:tcW w:w="1161" w:type="dxa"/>
            <w:shd w:val="clear" w:color="auto" w:fill="C4EFCE"/>
            <w:noWrap/>
            <w:vAlign w:val="center"/>
            <w:hideMark/>
          </w:tcPr>
          <w:p w14:paraId="237F46C9" w14:textId="77777777" w:rsidR="00E040FD" w:rsidRDefault="00740D64">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64CB5B3E" w14:textId="77777777"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68784BA3" w14:textId="77777777" w:rsidR="00E040FD" w:rsidRDefault="00740D64">
            <w:pPr>
              <w:pStyle w:val="P68B1DB1-Normal8"/>
              <w:spacing w:after="0" w:line="240" w:lineRule="auto"/>
              <w:jc w:val="center"/>
              <w:rPr>
                <w:rFonts w:eastAsia="Times New Roman" w:cs="Calibri"/>
                <w:noProof/>
              </w:rPr>
            </w:pPr>
            <w:r>
              <w:rPr>
                <w:noProof/>
              </w:rPr>
              <w:t>Ikraftträdande av den lagstiftning som ligger till grund för den statliga redovisningsenheten</w:t>
            </w:r>
          </w:p>
        </w:tc>
        <w:tc>
          <w:tcPr>
            <w:tcW w:w="1356" w:type="dxa"/>
            <w:shd w:val="clear" w:color="auto" w:fill="C4EFCE"/>
            <w:noWrap/>
            <w:vAlign w:val="center"/>
            <w:hideMark/>
          </w:tcPr>
          <w:p w14:paraId="69FA9E8E" w14:textId="77777777" w:rsidR="00E040FD" w:rsidRDefault="00740D64">
            <w:pPr>
              <w:pStyle w:val="P68B1DB1-Normal8"/>
              <w:spacing w:after="0" w:line="240" w:lineRule="auto"/>
              <w:jc w:val="center"/>
              <w:rPr>
                <w:rFonts w:eastAsia="Times New Roman" w:cs="Calibri"/>
                <w:noProof/>
              </w:rPr>
            </w:pPr>
            <w:r>
              <w:rPr>
                <w:noProof/>
              </w:rPr>
              <w:t>Ikraftträdande av den lagstiftning som ligger till grund för den statliga redovisningsenheten</w:t>
            </w:r>
          </w:p>
        </w:tc>
        <w:tc>
          <w:tcPr>
            <w:tcW w:w="909" w:type="dxa"/>
            <w:shd w:val="clear" w:color="auto" w:fill="C4EFCE"/>
            <w:noWrap/>
            <w:vAlign w:val="center"/>
            <w:hideMark/>
          </w:tcPr>
          <w:p w14:paraId="4EA18E78" w14:textId="77777777" w:rsidR="00E040FD" w:rsidRDefault="00740D64">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26E3661D" w14:textId="77777777" w:rsidR="00E040FD" w:rsidRDefault="00740D64">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7CD13C2D" w14:textId="77777777" w:rsidR="00E040FD" w:rsidRDefault="00740D64">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1FE7BCB"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1ADFCE86" w14:textId="77777777" w:rsidR="00E040FD" w:rsidRDefault="00740D64">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1702B1DE" w14:textId="77777777" w:rsidR="00E040FD" w:rsidRDefault="00740D64">
            <w:pPr>
              <w:pStyle w:val="P68B1DB1-Normal8"/>
              <w:spacing w:after="0" w:line="240" w:lineRule="auto"/>
              <w:jc w:val="both"/>
              <w:rPr>
                <w:rFonts w:eastAsia="Times New Roman" w:cs="Calibri"/>
                <w:noProof/>
              </w:rPr>
            </w:pPr>
            <w:r>
              <w:rPr>
                <w:noProof/>
              </w:rPr>
              <w:t>Ikraftträdande av sekundärlagstiftning (och/eller administrativa riktlinjer) för att reglera vilka specifika inkomst- och utgiftsposter som ska ingå i den statliga redovisningsenhetens budget, i full överensstämmelse med artiklarna 49 och 55 i 2015 års budgetramlag.</w:t>
            </w:r>
          </w:p>
        </w:tc>
      </w:tr>
      <w:tr w:rsidR="00E040FD" w14:paraId="2670F13A" w14:textId="77777777">
        <w:trPr>
          <w:trHeight w:val="640"/>
        </w:trPr>
        <w:tc>
          <w:tcPr>
            <w:tcW w:w="1043" w:type="dxa"/>
            <w:gridSpan w:val="2"/>
            <w:shd w:val="clear" w:color="auto" w:fill="C4EFCE"/>
            <w:vAlign w:val="center"/>
            <w:hideMark/>
          </w:tcPr>
          <w:p w14:paraId="6B4783D2" w14:textId="77777777" w:rsidR="00E040FD" w:rsidRDefault="00740D64">
            <w:pPr>
              <w:pStyle w:val="P68B1DB1-Normal7"/>
              <w:spacing w:after="0" w:line="240" w:lineRule="auto"/>
              <w:jc w:val="center"/>
              <w:rPr>
                <w:rFonts w:eastAsia="Times New Roman" w:cs="Calibri"/>
                <w:noProof/>
              </w:rPr>
            </w:pPr>
            <w:r>
              <w:rPr>
                <w:noProof/>
              </w:rPr>
              <w:t>17.3</w:t>
            </w:r>
          </w:p>
        </w:tc>
        <w:tc>
          <w:tcPr>
            <w:tcW w:w="1161" w:type="dxa"/>
            <w:shd w:val="clear" w:color="auto" w:fill="C4EFCE"/>
            <w:noWrap/>
            <w:vAlign w:val="center"/>
            <w:hideMark/>
          </w:tcPr>
          <w:p w14:paraId="3198F425" w14:textId="77777777" w:rsidR="00E040FD" w:rsidRDefault="00740D64">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53DAF5CC" w14:textId="77777777"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2148275" w14:textId="77777777" w:rsidR="00E040FD" w:rsidRDefault="00740D64">
            <w:pPr>
              <w:pStyle w:val="P68B1DB1-Normal8"/>
              <w:spacing w:after="0" w:line="240" w:lineRule="auto"/>
              <w:jc w:val="center"/>
              <w:rPr>
                <w:rFonts w:eastAsia="Times New Roman" w:cs="Calibri"/>
                <w:noProof/>
              </w:rPr>
            </w:pPr>
            <w:r>
              <w:rPr>
                <w:noProof/>
              </w:rPr>
              <w:t>Slutförande och godkännande av modellen för övervakning av den offentliga sektorns budgetgenomförande och finansiella genomförande</w:t>
            </w:r>
          </w:p>
        </w:tc>
        <w:tc>
          <w:tcPr>
            <w:tcW w:w="1356" w:type="dxa"/>
            <w:shd w:val="clear" w:color="auto" w:fill="C4EFCE"/>
            <w:noWrap/>
            <w:vAlign w:val="center"/>
            <w:hideMark/>
          </w:tcPr>
          <w:p w14:paraId="37DD72D5" w14:textId="77777777" w:rsidR="00E040FD" w:rsidRDefault="00740D64">
            <w:pPr>
              <w:pStyle w:val="P68B1DB1-Normal8"/>
              <w:spacing w:after="0" w:line="240" w:lineRule="auto"/>
              <w:jc w:val="center"/>
              <w:rPr>
                <w:rFonts w:eastAsia="Times New Roman" w:cs="Calibri"/>
                <w:noProof/>
              </w:rPr>
            </w:pPr>
            <w:r>
              <w:rPr>
                <w:noProof/>
              </w:rPr>
              <w:t>Slutförande och godkännande av modellen för övervakning av den offentliga sektorns budgetgenomförande och finansiella genomförande</w:t>
            </w:r>
          </w:p>
        </w:tc>
        <w:tc>
          <w:tcPr>
            <w:tcW w:w="909" w:type="dxa"/>
            <w:shd w:val="clear" w:color="auto" w:fill="C4EFCE"/>
            <w:noWrap/>
            <w:vAlign w:val="center"/>
            <w:hideMark/>
          </w:tcPr>
          <w:p w14:paraId="458B3549" w14:textId="77777777" w:rsidR="00E040FD" w:rsidRDefault="00740D64">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8881E8B" w14:textId="77777777" w:rsidR="00E040FD" w:rsidRDefault="00740D64">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690878FC" w14:textId="77777777" w:rsidR="00E040FD" w:rsidRDefault="00740D64">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516481F"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42D9884E" w14:textId="77777777" w:rsidR="00E040FD" w:rsidRDefault="00740D64">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2E4EF746" w14:textId="77777777" w:rsidR="00E040FD" w:rsidRDefault="00740D64">
            <w:pPr>
              <w:pStyle w:val="P68B1DB1-Normal8"/>
              <w:spacing w:after="0" w:line="240" w:lineRule="auto"/>
              <w:jc w:val="both"/>
              <w:rPr>
                <w:rFonts w:eastAsia="Times New Roman" w:cs="Calibri"/>
                <w:noProof/>
              </w:rPr>
            </w:pPr>
            <w:r>
              <w:rPr>
                <w:noProof/>
              </w:rPr>
              <w:t xml:space="preserve">Finansministeriets slutförande och godkännande av modellen för kontroll och övervakning av den offentliga sektorns budgetgenomförande och finansiella genomförande, i full överensstämmelse med bestämmelserna i 2015 års budgetramlag och de periodiserade principerna i redovisningsstandarden för offentlig förvaltning. </w:t>
            </w:r>
          </w:p>
        </w:tc>
      </w:tr>
      <w:tr w:rsidR="00E040FD" w14:paraId="5A197FDC" w14:textId="77777777">
        <w:trPr>
          <w:trHeight w:val="640"/>
        </w:trPr>
        <w:tc>
          <w:tcPr>
            <w:tcW w:w="1043" w:type="dxa"/>
            <w:gridSpan w:val="2"/>
            <w:shd w:val="clear" w:color="auto" w:fill="C4EFCE"/>
            <w:vAlign w:val="center"/>
            <w:hideMark/>
          </w:tcPr>
          <w:p w14:paraId="55E30BC5" w14:textId="77777777" w:rsidR="00E040FD" w:rsidRDefault="00740D64">
            <w:pPr>
              <w:pStyle w:val="P68B1DB1-Normal7"/>
              <w:spacing w:after="0" w:line="240" w:lineRule="auto"/>
              <w:jc w:val="center"/>
              <w:rPr>
                <w:rFonts w:eastAsia="Times New Roman" w:cs="Calibri"/>
                <w:noProof/>
              </w:rPr>
            </w:pPr>
            <w:r>
              <w:rPr>
                <w:noProof/>
              </w:rPr>
              <w:t>17.4</w:t>
            </w:r>
          </w:p>
        </w:tc>
        <w:tc>
          <w:tcPr>
            <w:tcW w:w="1161" w:type="dxa"/>
            <w:shd w:val="clear" w:color="auto" w:fill="C4EFCE"/>
            <w:noWrap/>
            <w:vAlign w:val="center"/>
            <w:hideMark/>
          </w:tcPr>
          <w:p w14:paraId="02476C45" w14:textId="77777777" w:rsidR="00E040FD" w:rsidRDefault="00740D64">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09115588" w14:textId="77777777"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90AFA4D" w14:textId="77777777" w:rsidR="00E040FD" w:rsidRDefault="00740D64">
            <w:pPr>
              <w:pStyle w:val="P68B1DB1-Normal8"/>
              <w:spacing w:after="0" w:line="240" w:lineRule="auto"/>
              <w:jc w:val="center"/>
              <w:rPr>
                <w:rFonts w:eastAsia="Times New Roman" w:cs="Calibri"/>
                <w:noProof/>
              </w:rPr>
            </w:pPr>
            <w:r>
              <w:rPr>
                <w:noProof/>
              </w:rPr>
              <w:t>Antagande av kostnadsmodellen för programbudgetering</w:t>
            </w:r>
          </w:p>
        </w:tc>
        <w:tc>
          <w:tcPr>
            <w:tcW w:w="1356" w:type="dxa"/>
            <w:shd w:val="clear" w:color="auto" w:fill="C4EFCE"/>
            <w:noWrap/>
            <w:vAlign w:val="center"/>
            <w:hideMark/>
          </w:tcPr>
          <w:p w14:paraId="35316023" w14:textId="77777777" w:rsidR="00E040FD" w:rsidRDefault="00740D64">
            <w:pPr>
              <w:pStyle w:val="P68B1DB1-Normal8"/>
              <w:spacing w:after="0" w:line="240" w:lineRule="auto"/>
              <w:jc w:val="center"/>
              <w:rPr>
                <w:rFonts w:eastAsia="Times New Roman" w:cs="Calibri"/>
                <w:noProof/>
              </w:rPr>
            </w:pPr>
            <w:r>
              <w:rPr>
                <w:noProof/>
              </w:rPr>
              <w:t>Antagande av lagstiftning för kostnadsmodellen för programbudgetering</w:t>
            </w:r>
          </w:p>
        </w:tc>
        <w:tc>
          <w:tcPr>
            <w:tcW w:w="909" w:type="dxa"/>
            <w:shd w:val="clear" w:color="auto" w:fill="C4EFCE"/>
            <w:noWrap/>
            <w:vAlign w:val="center"/>
            <w:hideMark/>
          </w:tcPr>
          <w:p w14:paraId="4241F94E" w14:textId="77777777" w:rsidR="00E040FD" w:rsidRDefault="00740D64">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7805EFF6" w14:textId="77777777" w:rsidR="00E040FD" w:rsidRDefault="00740D64">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6D3AD47" w14:textId="77777777" w:rsidR="00E040FD" w:rsidRDefault="00740D64">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51AB287A"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2E3CA631" w14:textId="77777777" w:rsidR="00E040FD" w:rsidRDefault="00740D64">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67C05F6B" w14:textId="31DDD4CA" w:rsidR="00E040FD" w:rsidRDefault="00740D64">
            <w:pPr>
              <w:pStyle w:val="P68B1DB1-Normal8"/>
              <w:spacing w:after="0" w:line="240" w:lineRule="auto"/>
              <w:jc w:val="both"/>
              <w:rPr>
                <w:rFonts w:eastAsia="Times New Roman" w:cs="Calibri"/>
                <w:noProof/>
              </w:rPr>
            </w:pPr>
            <w:r>
              <w:rPr>
                <w:noProof/>
              </w:rPr>
              <w:t>Antagande av sekundärlagstiftning (och/eller administrativa riktlinjer) för att fastställa principerna för kostnadsberäkning och övervakning av efterlevnaden av de resultatbaserade indikatorer som fastställts för varje budgetprogram och offentlig politik, så att de kan träda i kraft under första kvartalet 1–2027.</w:t>
            </w:r>
          </w:p>
        </w:tc>
      </w:tr>
      <w:tr w:rsidR="00E040FD" w14:paraId="38313B89" w14:textId="77777777">
        <w:trPr>
          <w:trHeight w:val="420"/>
        </w:trPr>
        <w:tc>
          <w:tcPr>
            <w:tcW w:w="1043" w:type="dxa"/>
            <w:gridSpan w:val="2"/>
            <w:shd w:val="clear" w:color="auto" w:fill="C4EFCE"/>
            <w:vAlign w:val="center"/>
            <w:hideMark/>
          </w:tcPr>
          <w:p w14:paraId="1F4AFBA8" w14:textId="77777777" w:rsidR="00E040FD" w:rsidRDefault="00740D64">
            <w:pPr>
              <w:pStyle w:val="P68B1DB1-Normal7"/>
              <w:spacing w:after="0" w:line="240" w:lineRule="auto"/>
              <w:jc w:val="center"/>
              <w:rPr>
                <w:rFonts w:eastAsia="Times New Roman" w:cs="Calibri"/>
                <w:noProof/>
              </w:rPr>
            </w:pPr>
            <w:r>
              <w:rPr>
                <w:noProof/>
              </w:rPr>
              <w:t>17.5</w:t>
            </w:r>
          </w:p>
        </w:tc>
        <w:tc>
          <w:tcPr>
            <w:tcW w:w="1161" w:type="dxa"/>
            <w:shd w:val="clear" w:color="auto" w:fill="C4EFCE"/>
            <w:noWrap/>
            <w:vAlign w:val="center"/>
            <w:hideMark/>
          </w:tcPr>
          <w:p w14:paraId="1AA5229E" w14:textId="77777777" w:rsidR="00E040FD" w:rsidRDefault="00740D64">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4C2DBEEB" w14:textId="77777777"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2022E11" w14:textId="77777777" w:rsidR="00E040FD" w:rsidRDefault="00740D64">
            <w:pPr>
              <w:pStyle w:val="P68B1DB1-Normal8"/>
              <w:spacing w:after="0" w:line="240" w:lineRule="auto"/>
              <w:jc w:val="center"/>
              <w:rPr>
                <w:rFonts w:eastAsia="Times New Roman" w:cs="Calibri"/>
                <w:noProof/>
              </w:rPr>
            </w:pPr>
            <w:r>
              <w:rPr>
                <w:noProof/>
              </w:rPr>
              <w:t>Genomförande av mekanismer för att integrera utgiftsöversyner i den ordinarie budgetprocessen, inbegripet efterhandsutvärderingen av effektivitetsbesparingar</w:t>
            </w:r>
          </w:p>
        </w:tc>
        <w:tc>
          <w:tcPr>
            <w:tcW w:w="1356" w:type="dxa"/>
            <w:shd w:val="clear" w:color="auto" w:fill="C4EFCE"/>
            <w:noWrap/>
            <w:vAlign w:val="center"/>
            <w:hideMark/>
          </w:tcPr>
          <w:p w14:paraId="78ADFCD7" w14:textId="77777777" w:rsidR="00E040FD" w:rsidRDefault="00740D64">
            <w:pPr>
              <w:pStyle w:val="P68B1DB1-Normal8"/>
              <w:spacing w:after="0" w:line="240" w:lineRule="auto"/>
              <w:jc w:val="center"/>
              <w:rPr>
                <w:rFonts w:eastAsia="Times New Roman" w:cs="Calibri"/>
                <w:noProof/>
              </w:rPr>
            </w:pPr>
            <w:r>
              <w:rPr>
                <w:noProof/>
              </w:rPr>
              <w:t>Rapport om integreringen av utgiftsöversyner i den ordinarie budgetprocessen och efterhandsutvärderingen av dessa</w:t>
            </w:r>
          </w:p>
        </w:tc>
        <w:tc>
          <w:tcPr>
            <w:tcW w:w="909" w:type="dxa"/>
            <w:shd w:val="clear" w:color="auto" w:fill="C4EFCE"/>
            <w:noWrap/>
            <w:vAlign w:val="center"/>
            <w:hideMark/>
          </w:tcPr>
          <w:p w14:paraId="45C9CCED" w14:textId="5C00014C" w:rsidR="00E040FD" w:rsidRDefault="00E040FD">
            <w:pPr>
              <w:spacing w:after="0" w:line="240" w:lineRule="auto"/>
              <w:jc w:val="center"/>
              <w:rPr>
                <w:rFonts w:ascii="Calibri" w:eastAsia="Times New Roman" w:hAnsi="Calibri" w:cs="Calibri"/>
                <w:noProof/>
                <w:sz w:val="16"/>
              </w:rPr>
            </w:pPr>
          </w:p>
        </w:tc>
        <w:tc>
          <w:tcPr>
            <w:tcW w:w="908" w:type="dxa"/>
            <w:shd w:val="clear" w:color="auto" w:fill="C4EFCE"/>
            <w:noWrap/>
            <w:vAlign w:val="center"/>
            <w:hideMark/>
          </w:tcPr>
          <w:p w14:paraId="69C76DA5" w14:textId="073E9F9F" w:rsidR="00E040FD" w:rsidRDefault="00E040FD">
            <w:pPr>
              <w:spacing w:after="0" w:line="240" w:lineRule="auto"/>
              <w:jc w:val="center"/>
              <w:rPr>
                <w:rFonts w:ascii="Calibri" w:eastAsia="Times New Roman" w:hAnsi="Calibri" w:cs="Calibri"/>
                <w:noProof/>
                <w:sz w:val="16"/>
              </w:rPr>
            </w:pPr>
          </w:p>
        </w:tc>
        <w:tc>
          <w:tcPr>
            <w:tcW w:w="657" w:type="dxa"/>
            <w:shd w:val="clear" w:color="auto" w:fill="C4EFCE"/>
            <w:noWrap/>
            <w:vAlign w:val="center"/>
            <w:hideMark/>
          </w:tcPr>
          <w:p w14:paraId="22C65312" w14:textId="087E5688" w:rsidR="00E040FD" w:rsidRDefault="00E040FD">
            <w:pPr>
              <w:spacing w:after="0" w:line="240" w:lineRule="auto"/>
              <w:jc w:val="center"/>
              <w:rPr>
                <w:rFonts w:ascii="Calibri" w:eastAsia="Times New Roman" w:hAnsi="Calibri" w:cs="Calibri"/>
                <w:noProof/>
                <w:sz w:val="16"/>
              </w:rPr>
            </w:pPr>
          </w:p>
        </w:tc>
        <w:tc>
          <w:tcPr>
            <w:tcW w:w="530" w:type="dxa"/>
            <w:shd w:val="clear" w:color="auto" w:fill="C4EFCE"/>
            <w:noWrap/>
            <w:vAlign w:val="center"/>
            <w:hideMark/>
          </w:tcPr>
          <w:p w14:paraId="2D6DA43E"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6242BC08" w14:textId="77777777" w:rsidR="00E040FD" w:rsidRDefault="00740D64">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3ADBED7B" w14:textId="14A7F5C0" w:rsidR="00E040FD" w:rsidRDefault="00740D64">
            <w:pPr>
              <w:pStyle w:val="P68B1DB1-Normal8"/>
              <w:spacing w:after="0" w:line="240" w:lineRule="auto"/>
              <w:jc w:val="both"/>
              <w:rPr>
                <w:rFonts w:eastAsia="Times New Roman" w:cs="Calibri"/>
                <w:noProof/>
              </w:rPr>
            </w:pPr>
            <w:r>
              <w:rPr>
                <w:noProof/>
              </w:rPr>
              <w:t xml:space="preserve">En strukturell och institutionell ram ska utvecklas för utgiftsöversyner för att fullt ut integrera dem i den årliga budgetprocessen och Portugals finanspolitiska ram på medellång sikt. </w:t>
            </w:r>
          </w:p>
          <w:p w14:paraId="0D6B1F45" w14:textId="62498E10" w:rsidR="00E040FD" w:rsidRDefault="00740D64">
            <w:pPr>
              <w:pStyle w:val="P68B1DB1-Normal8"/>
              <w:spacing w:after="0" w:line="240" w:lineRule="auto"/>
              <w:jc w:val="both"/>
              <w:rPr>
                <w:rFonts w:eastAsia="Times New Roman" w:cs="Calibri"/>
                <w:noProof/>
              </w:rPr>
            </w:pPr>
            <w:r>
              <w:rPr>
                <w:noProof/>
              </w:rPr>
              <w:t>Processen omfattar diagnos, utformning av lösningar och fastställande av en modell som gör det möjligt att generera effektivitetsvinster vid tillhandahållandet av offentliga tjänster, främja en breddning av utgiftsöversyner till ytterligare sektorer inom den offentliga sektorn och frigöra resurser, genom effektivitetsvinster, för den digitala och gröna omställningen.</w:t>
            </w:r>
          </w:p>
          <w:p w14:paraId="3534731F" w14:textId="619B412E" w:rsidR="00E040FD" w:rsidRDefault="00740D64">
            <w:pPr>
              <w:pStyle w:val="P68B1DB1-Normal8"/>
              <w:spacing w:after="0" w:line="240" w:lineRule="auto"/>
              <w:jc w:val="both"/>
              <w:rPr>
                <w:rFonts w:eastAsia="Times New Roman" w:cs="Calibri"/>
                <w:noProof/>
              </w:rPr>
            </w:pPr>
            <w:r>
              <w:rPr>
                <w:noProof/>
              </w:rPr>
              <w:t>Utöver att integrera utgiftsöversyner i den årliga budgetprocessen ska de bli föremål för effektiva årliga efterhandsutvärderingar för att fastställa de uppnådda effektivitetsvinsterna. Arbetet kan omfatta ett ökat utnyttjande av delade tjänster och centraliserad offentlig upphandling, baserat på användning av tekniska plattformar och gemensamma resurser.</w:t>
            </w:r>
          </w:p>
        </w:tc>
      </w:tr>
      <w:tr w:rsidR="00E040FD" w14:paraId="621F6AC1" w14:textId="77777777">
        <w:trPr>
          <w:trHeight w:val="640"/>
        </w:trPr>
        <w:tc>
          <w:tcPr>
            <w:tcW w:w="1043" w:type="dxa"/>
            <w:gridSpan w:val="2"/>
            <w:shd w:val="clear" w:color="auto" w:fill="C4EFCE"/>
            <w:vAlign w:val="center"/>
            <w:hideMark/>
          </w:tcPr>
          <w:p w14:paraId="47662CD7" w14:textId="77777777" w:rsidR="00E040FD" w:rsidRDefault="00740D64">
            <w:pPr>
              <w:pStyle w:val="P68B1DB1-Normal7"/>
              <w:spacing w:after="0" w:line="240" w:lineRule="auto"/>
              <w:jc w:val="center"/>
              <w:rPr>
                <w:rFonts w:eastAsia="Times New Roman" w:cs="Calibri"/>
                <w:noProof/>
              </w:rPr>
            </w:pPr>
            <w:r>
              <w:rPr>
                <w:noProof/>
              </w:rPr>
              <w:t>17.6</w:t>
            </w:r>
          </w:p>
        </w:tc>
        <w:tc>
          <w:tcPr>
            <w:tcW w:w="1161" w:type="dxa"/>
            <w:shd w:val="clear" w:color="auto" w:fill="C4EFCE"/>
            <w:noWrap/>
            <w:vAlign w:val="center"/>
            <w:hideMark/>
          </w:tcPr>
          <w:p w14:paraId="35D30780" w14:textId="77777777" w:rsidR="00E040FD" w:rsidRDefault="00740D64">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7BD399B4" w14:textId="77777777"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FBC9748" w14:textId="77777777" w:rsidR="00E040FD" w:rsidRDefault="00740D64">
            <w:pPr>
              <w:pStyle w:val="P68B1DB1-Normal8"/>
              <w:spacing w:after="0" w:line="240" w:lineRule="auto"/>
              <w:jc w:val="center"/>
              <w:rPr>
                <w:rFonts w:eastAsia="Times New Roman" w:cs="Calibri"/>
                <w:noProof/>
              </w:rPr>
            </w:pPr>
            <w:r>
              <w:rPr>
                <w:noProof/>
              </w:rPr>
              <w:t>Ikraftträdande av den nya mallen för förvaltningskontrakt inom ramen för det nya systemet med incitament/sanktioner för ledningen av statsägda företag</w:t>
            </w:r>
          </w:p>
        </w:tc>
        <w:tc>
          <w:tcPr>
            <w:tcW w:w="1356" w:type="dxa"/>
            <w:shd w:val="clear" w:color="auto" w:fill="C4EFCE"/>
            <w:noWrap/>
            <w:vAlign w:val="center"/>
            <w:hideMark/>
          </w:tcPr>
          <w:p w14:paraId="01049FF8" w14:textId="77777777" w:rsidR="00E040FD" w:rsidRDefault="00740D64">
            <w:pPr>
              <w:pStyle w:val="P68B1DB1-Normal8"/>
              <w:spacing w:after="0" w:line="240" w:lineRule="auto"/>
              <w:jc w:val="center"/>
              <w:rPr>
                <w:rFonts w:eastAsia="Times New Roman" w:cs="Calibri"/>
                <w:noProof/>
              </w:rPr>
            </w:pPr>
            <w:r>
              <w:rPr>
                <w:noProof/>
              </w:rPr>
              <w:t>Ikraftträdande av den nya mallen för förvaltningskontrakt</w:t>
            </w:r>
          </w:p>
        </w:tc>
        <w:tc>
          <w:tcPr>
            <w:tcW w:w="909" w:type="dxa"/>
            <w:shd w:val="clear" w:color="auto" w:fill="C4EFCE"/>
            <w:noWrap/>
            <w:vAlign w:val="center"/>
            <w:hideMark/>
          </w:tcPr>
          <w:p w14:paraId="2979957B" w14:textId="77777777" w:rsidR="00E040FD" w:rsidRDefault="00740D64">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386865DA" w14:textId="77777777" w:rsidR="00E040FD" w:rsidRDefault="00740D64">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8183D31" w14:textId="77777777" w:rsidR="00E040FD" w:rsidRDefault="00740D64">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74F04CA0"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41B88F6F" w14:textId="77777777" w:rsidR="00E040FD" w:rsidRDefault="00740D64">
            <w:pPr>
              <w:pStyle w:val="P68B1DB1-Normal8"/>
              <w:spacing w:after="0" w:line="240" w:lineRule="auto"/>
              <w:jc w:val="center"/>
              <w:rPr>
                <w:rFonts w:eastAsia="Times New Roman" w:cs="Calibri"/>
                <w:noProof/>
              </w:rPr>
            </w:pPr>
            <w:r>
              <w:rPr>
                <w:noProof/>
              </w:rPr>
              <w:t>2021</w:t>
            </w:r>
          </w:p>
        </w:tc>
        <w:tc>
          <w:tcPr>
            <w:tcW w:w="5456" w:type="dxa"/>
            <w:shd w:val="clear" w:color="auto" w:fill="C4EFCE"/>
            <w:noWrap/>
            <w:vAlign w:val="center"/>
            <w:hideMark/>
          </w:tcPr>
          <w:p w14:paraId="60637229" w14:textId="77777777" w:rsidR="00E040FD" w:rsidRDefault="00740D64">
            <w:pPr>
              <w:pStyle w:val="P68B1DB1-Normal8"/>
              <w:spacing w:after="0" w:line="240" w:lineRule="auto"/>
              <w:jc w:val="both"/>
              <w:rPr>
                <w:rFonts w:eastAsia="Times New Roman" w:cs="Calibri"/>
                <w:noProof/>
              </w:rPr>
            </w:pPr>
            <w:r>
              <w:rPr>
                <w:noProof/>
              </w:rPr>
              <w:t>Ikraftträdande av den nya mallen för förvaltningskontrakt som ska undertecknas med offentliga chefer som utses till styrelser för statsägda företag, i syfte att öka ansvaret och ansvarsskyldigheten i förvaltningen av offentliga medel genom ett nytt system med resultatorienterade incitament/sanktioner.</w:t>
            </w:r>
          </w:p>
        </w:tc>
      </w:tr>
      <w:tr w:rsidR="00E040FD" w14:paraId="05E11610" w14:textId="77777777">
        <w:trPr>
          <w:trHeight w:val="640"/>
        </w:trPr>
        <w:tc>
          <w:tcPr>
            <w:tcW w:w="1043" w:type="dxa"/>
            <w:gridSpan w:val="2"/>
            <w:shd w:val="clear" w:color="auto" w:fill="C4EFCE"/>
            <w:vAlign w:val="center"/>
            <w:hideMark/>
          </w:tcPr>
          <w:p w14:paraId="6A4F627A" w14:textId="77777777" w:rsidR="00E040FD" w:rsidRDefault="00740D64">
            <w:pPr>
              <w:pStyle w:val="P68B1DB1-Normal7"/>
              <w:spacing w:after="0" w:line="240" w:lineRule="auto"/>
              <w:jc w:val="center"/>
              <w:rPr>
                <w:rFonts w:eastAsia="Times New Roman" w:cs="Calibri"/>
                <w:noProof/>
              </w:rPr>
            </w:pPr>
            <w:r>
              <w:rPr>
                <w:noProof/>
              </w:rPr>
              <w:t>17.7</w:t>
            </w:r>
          </w:p>
        </w:tc>
        <w:tc>
          <w:tcPr>
            <w:tcW w:w="1161" w:type="dxa"/>
            <w:shd w:val="clear" w:color="auto" w:fill="C4EFCE"/>
            <w:noWrap/>
            <w:vAlign w:val="center"/>
            <w:hideMark/>
          </w:tcPr>
          <w:p w14:paraId="0281BF89" w14:textId="77777777" w:rsidR="00E040FD" w:rsidRDefault="00740D64">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469D9CBF" w14:textId="77777777"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27932B26" w14:textId="77777777" w:rsidR="00E040FD" w:rsidRDefault="00740D64">
            <w:pPr>
              <w:pStyle w:val="P68B1DB1-Normal8"/>
              <w:spacing w:after="0" w:line="240" w:lineRule="auto"/>
              <w:jc w:val="center"/>
              <w:rPr>
                <w:rFonts w:eastAsia="Times New Roman" w:cs="Calibri"/>
                <w:noProof/>
              </w:rPr>
            </w:pPr>
            <w:r>
              <w:rPr>
                <w:noProof/>
              </w:rPr>
              <w:t>Ikraftträdande av den nya modellen för analys och redovisning av statsägda företags ekonomiska situation och resultat</w:t>
            </w:r>
          </w:p>
        </w:tc>
        <w:tc>
          <w:tcPr>
            <w:tcW w:w="1356" w:type="dxa"/>
            <w:shd w:val="clear" w:color="auto" w:fill="C4EFCE"/>
            <w:noWrap/>
            <w:vAlign w:val="center"/>
            <w:hideMark/>
          </w:tcPr>
          <w:p w14:paraId="53EB2087" w14:textId="77777777" w:rsidR="00E040FD" w:rsidRDefault="00740D64">
            <w:pPr>
              <w:pStyle w:val="P68B1DB1-Normal8"/>
              <w:spacing w:after="0" w:line="240" w:lineRule="auto"/>
              <w:jc w:val="center"/>
              <w:rPr>
                <w:rFonts w:eastAsia="Times New Roman" w:cs="Calibri"/>
                <w:noProof/>
              </w:rPr>
            </w:pPr>
            <w:r>
              <w:rPr>
                <w:noProof/>
              </w:rPr>
              <w:t>Ikraftträdande av den nya rapporten om statsägda företags ekonomiska situation och resultat</w:t>
            </w:r>
          </w:p>
        </w:tc>
        <w:tc>
          <w:tcPr>
            <w:tcW w:w="909" w:type="dxa"/>
            <w:shd w:val="clear" w:color="auto" w:fill="C4EFCE"/>
            <w:noWrap/>
            <w:vAlign w:val="center"/>
            <w:hideMark/>
          </w:tcPr>
          <w:p w14:paraId="7E4BBF12" w14:textId="77777777" w:rsidR="00E040FD" w:rsidRDefault="00740D64">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3AEE0230" w14:textId="77777777" w:rsidR="00E040FD" w:rsidRDefault="00740D64">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57D6AD99" w14:textId="77777777" w:rsidR="00E040FD" w:rsidRDefault="00740D64">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1CEAF54"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5129272B" w14:textId="77777777" w:rsidR="00E040FD" w:rsidRDefault="00740D64">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32D08DEA" w14:textId="77777777" w:rsidR="00E040FD" w:rsidRDefault="00740D64">
            <w:pPr>
              <w:pStyle w:val="P68B1DB1-Normal8"/>
              <w:spacing w:after="0" w:line="240" w:lineRule="auto"/>
              <w:jc w:val="both"/>
              <w:rPr>
                <w:rFonts w:eastAsia="Times New Roman" w:cs="Calibri"/>
                <w:noProof/>
              </w:rPr>
            </w:pPr>
            <w:r>
              <w:rPr>
                <w:noProof/>
              </w:rPr>
              <w:t>Ikraftträdande av den nya rapporten som regelbundet och i rätt tid redogör för de statsägda företagens ekonomiska situation och resultat, inklusive de finansiella uppgifter som samlats in genom det nya informationssystemet för sektorn för statsägda företag.</w:t>
            </w:r>
          </w:p>
        </w:tc>
      </w:tr>
      <w:tr w:rsidR="00E040FD" w14:paraId="67B2B5AF" w14:textId="77777777">
        <w:trPr>
          <w:trHeight w:val="1060"/>
        </w:trPr>
        <w:tc>
          <w:tcPr>
            <w:tcW w:w="1043" w:type="dxa"/>
            <w:gridSpan w:val="2"/>
            <w:shd w:val="clear" w:color="auto" w:fill="C4EFCE"/>
            <w:vAlign w:val="center"/>
            <w:hideMark/>
          </w:tcPr>
          <w:p w14:paraId="2718254D" w14:textId="77777777" w:rsidR="00E040FD" w:rsidRDefault="00740D64">
            <w:pPr>
              <w:pStyle w:val="P68B1DB1-Normal7"/>
              <w:spacing w:after="0" w:line="240" w:lineRule="auto"/>
              <w:jc w:val="center"/>
              <w:rPr>
                <w:rFonts w:eastAsia="Times New Roman" w:cs="Calibri"/>
                <w:noProof/>
              </w:rPr>
            </w:pPr>
            <w:r>
              <w:rPr>
                <w:noProof/>
              </w:rPr>
              <w:t>17.8</w:t>
            </w:r>
          </w:p>
        </w:tc>
        <w:tc>
          <w:tcPr>
            <w:tcW w:w="1161" w:type="dxa"/>
            <w:shd w:val="clear" w:color="auto" w:fill="C4EFCE"/>
            <w:noWrap/>
            <w:vAlign w:val="center"/>
            <w:hideMark/>
          </w:tcPr>
          <w:p w14:paraId="645BCB5E" w14:textId="77777777" w:rsidR="00E040FD" w:rsidRDefault="00740D64">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3095D188" w14:textId="77777777" w:rsidR="00E040FD" w:rsidRDefault="00740D64">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7E9415F6" w14:textId="77777777" w:rsidR="00E040FD" w:rsidRDefault="00740D64">
            <w:pPr>
              <w:pStyle w:val="P68B1DB1-Normal8"/>
              <w:spacing w:after="0" w:line="240" w:lineRule="auto"/>
              <w:jc w:val="center"/>
              <w:rPr>
                <w:rFonts w:eastAsia="Times New Roman" w:cs="Calibri"/>
                <w:noProof/>
              </w:rPr>
            </w:pPr>
            <w:r>
              <w:rPr>
                <w:noProof/>
              </w:rPr>
              <w:t>Antal budget- och verksamhetsplaner för statsägda företag som konsekvent godkänts av finansministern och respektive linjeminister</w:t>
            </w:r>
          </w:p>
        </w:tc>
        <w:tc>
          <w:tcPr>
            <w:tcW w:w="1356" w:type="dxa"/>
            <w:shd w:val="clear" w:color="auto" w:fill="C4EFCE"/>
            <w:noWrap/>
            <w:vAlign w:val="center"/>
            <w:hideMark/>
          </w:tcPr>
          <w:p w14:paraId="121B6A1E" w14:textId="77777777" w:rsidR="00E040FD" w:rsidRDefault="00740D64">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40C2BC2B" w14:textId="77777777" w:rsidR="00E040FD" w:rsidRDefault="00740D64">
            <w:pPr>
              <w:pStyle w:val="P68B1DB1-Normal8"/>
              <w:spacing w:after="0" w:line="240" w:lineRule="auto"/>
              <w:jc w:val="center"/>
              <w:rPr>
                <w:rFonts w:eastAsia="Times New Roman" w:cs="Calibri"/>
                <w:noProof/>
              </w:rPr>
            </w:pPr>
            <w:r>
              <w:rPr>
                <w:noProof/>
              </w:rPr>
              <w:t>Antal</w:t>
            </w:r>
          </w:p>
        </w:tc>
        <w:tc>
          <w:tcPr>
            <w:tcW w:w="908" w:type="dxa"/>
            <w:shd w:val="clear" w:color="auto" w:fill="C4EFCE"/>
            <w:noWrap/>
            <w:vAlign w:val="center"/>
            <w:hideMark/>
          </w:tcPr>
          <w:p w14:paraId="09B98B1A" w14:textId="77777777" w:rsidR="00E040FD" w:rsidRDefault="00740D64">
            <w:pPr>
              <w:pStyle w:val="P68B1DB1-Normal8"/>
              <w:spacing w:after="0" w:line="240" w:lineRule="auto"/>
              <w:jc w:val="center"/>
              <w:rPr>
                <w:rFonts w:eastAsia="Times New Roman" w:cs="Calibri"/>
                <w:noProof/>
              </w:rPr>
            </w:pPr>
            <w:r>
              <w:rPr>
                <w:noProof/>
              </w:rPr>
              <w:t>74</w:t>
            </w:r>
          </w:p>
        </w:tc>
        <w:tc>
          <w:tcPr>
            <w:tcW w:w="657" w:type="dxa"/>
            <w:shd w:val="clear" w:color="auto" w:fill="C4EFCE"/>
            <w:noWrap/>
            <w:vAlign w:val="center"/>
            <w:hideMark/>
          </w:tcPr>
          <w:p w14:paraId="2E1A10E1" w14:textId="77777777" w:rsidR="00E040FD" w:rsidRDefault="00740D64">
            <w:pPr>
              <w:pStyle w:val="P68B1DB1-Normal8"/>
              <w:spacing w:after="0" w:line="240" w:lineRule="auto"/>
              <w:jc w:val="center"/>
              <w:rPr>
                <w:rFonts w:eastAsia="Times New Roman" w:cs="Calibri"/>
                <w:noProof/>
              </w:rPr>
            </w:pPr>
            <w:r>
              <w:rPr>
                <w:noProof/>
              </w:rPr>
              <w:t>136</w:t>
            </w:r>
          </w:p>
        </w:tc>
        <w:tc>
          <w:tcPr>
            <w:tcW w:w="530" w:type="dxa"/>
            <w:shd w:val="clear" w:color="auto" w:fill="C4EFCE"/>
            <w:noWrap/>
            <w:vAlign w:val="center"/>
            <w:hideMark/>
          </w:tcPr>
          <w:p w14:paraId="39065690"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4333AF73" w14:textId="77777777" w:rsidR="00E040FD" w:rsidRDefault="00740D64">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30DEA027" w14:textId="77777777" w:rsidR="00E040FD" w:rsidRDefault="00740D64">
            <w:pPr>
              <w:pStyle w:val="P68B1DB1-Normal8"/>
              <w:spacing w:after="0" w:line="240" w:lineRule="auto"/>
              <w:jc w:val="both"/>
              <w:rPr>
                <w:rFonts w:eastAsia="Times New Roman" w:cs="Calibri"/>
                <w:noProof/>
              </w:rPr>
            </w:pPr>
            <w:r>
              <w:rPr>
                <w:noProof/>
              </w:rPr>
              <w:t>Bedöma de statsägda företagens budget och verksamhetsplaner i god tid. Dessa är treåriga strategiska förvaltningsplaner, där statsägda företag fastställer och förhandlar med finansministern och respektive linjeminister om sina huvudsakliga handlingslinjer, tjänsteportfölj, personalresurser, investeringsplan, stödverksamhetsnivåer och ekonomisk finansieringsöversikt för en treårsperiod, samt en förklaring av de effektivitets- och produktivitetsvinster som ska säkerställa deras finansiella hållbarhet på medellång och lång sikt.</w:t>
            </w:r>
          </w:p>
        </w:tc>
      </w:tr>
      <w:tr w:rsidR="00E040FD" w14:paraId="17BCAA4C" w14:textId="77777777">
        <w:trPr>
          <w:trHeight w:val="430"/>
        </w:trPr>
        <w:tc>
          <w:tcPr>
            <w:tcW w:w="1043" w:type="dxa"/>
            <w:gridSpan w:val="2"/>
            <w:shd w:val="clear" w:color="auto" w:fill="C4EFCE"/>
            <w:vAlign w:val="center"/>
            <w:hideMark/>
          </w:tcPr>
          <w:p w14:paraId="4DF0D948" w14:textId="41156502" w:rsidR="00E040FD" w:rsidRDefault="00740D64">
            <w:pPr>
              <w:pStyle w:val="P68B1DB1-Normal7"/>
              <w:spacing w:after="0" w:line="240" w:lineRule="auto"/>
              <w:jc w:val="center"/>
              <w:rPr>
                <w:rFonts w:eastAsia="Times New Roman" w:cs="Calibri"/>
                <w:noProof/>
              </w:rPr>
            </w:pPr>
            <w:r>
              <w:rPr>
                <w:noProof/>
              </w:rPr>
              <w:t>17.9</w:t>
            </w:r>
          </w:p>
        </w:tc>
        <w:tc>
          <w:tcPr>
            <w:tcW w:w="1161" w:type="dxa"/>
            <w:shd w:val="clear" w:color="auto" w:fill="C4EFCE"/>
            <w:noWrap/>
            <w:vAlign w:val="center"/>
            <w:hideMark/>
          </w:tcPr>
          <w:p w14:paraId="2BCC8FC6" w14:textId="77777777" w:rsidR="00E040FD" w:rsidRDefault="00740D64">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61B478FE" w14:textId="77777777"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63928ED9" w14:textId="77777777" w:rsidR="00E040FD" w:rsidRDefault="00740D64">
            <w:pPr>
              <w:pStyle w:val="P68B1DB1-Normal8"/>
              <w:spacing w:after="0" w:line="240" w:lineRule="auto"/>
              <w:jc w:val="center"/>
              <w:rPr>
                <w:rFonts w:eastAsia="Times New Roman" w:cs="Calibri"/>
                <w:noProof/>
              </w:rPr>
            </w:pPr>
            <w:r>
              <w:rPr>
                <w:noProof/>
              </w:rPr>
              <w:t>Slutförande av genomförandet av den statliga redovisningsenheten</w:t>
            </w:r>
          </w:p>
        </w:tc>
        <w:tc>
          <w:tcPr>
            <w:tcW w:w="1356" w:type="dxa"/>
            <w:shd w:val="clear" w:color="auto" w:fill="C4EFCE"/>
            <w:noWrap/>
            <w:vAlign w:val="center"/>
            <w:hideMark/>
          </w:tcPr>
          <w:p w14:paraId="087F0E3A" w14:textId="77777777" w:rsidR="00E040FD" w:rsidRDefault="00740D64">
            <w:pPr>
              <w:pStyle w:val="P68B1DB1-Normal8"/>
              <w:spacing w:after="0" w:line="240" w:lineRule="auto"/>
              <w:jc w:val="center"/>
              <w:rPr>
                <w:rFonts w:eastAsia="Times New Roman" w:cs="Calibri"/>
                <w:noProof/>
              </w:rPr>
            </w:pPr>
            <w:r>
              <w:rPr>
                <w:noProof/>
              </w:rPr>
              <w:t>Slutförande av genomförandet av den statliga redovisningsenheten</w:t>
            </w:r>
          </w:p>
        </w:tc>
        <w:tc>
          <w:tcPr>
            <w:tcW w:w="909" w:type="dxa"/>
            <w:shd w:val="clear" w:color="auto" w:fill="C4EFCE"/>
            <w:noWrap/>
            <w:vAlign w:val="center"/>
            <w:hideMark/>
          </w:tcPr>
          <w:p w14:paraId="0D51700F" w14:textId="77777777" w:rsidR="00E040FD" w:rsidRDefault="00740D64">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844B0A4" w14:textId="77777777" w:rsidR="00E040FD" w:rsidRDefault="00740D64">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4E39381A" w14:textId="77777777" w:rsidR="00E040FD" w:rsidRDefault="00740D64">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42A23F4" w14:textId="77D292C3" w:rsidR="00E040FD" w:rsidRDefault="00740D64">
            <w:pPr>
              <w:pStyle w:val="P68B1DB1-Normal8"/>
              <w:spacing w:after="0" w:line="240" w:lineRule="auto"/>
              <w:jc w:val="center"/>
              <w:rPr>
                <w:rFonts w:eastAsia="Times New Roman" w:cs="Calibri"/>
                <w:noProof/>
              </w:rPr>
            </w:pPr>
            <w:r>
              <w:rPr>
                <w:noProof/>
              </w:rPr>
              <w:t>KVARTAL 2</w:t>
            </w:r>
          </w:p>
        </w:tc>
        <w:tc>
          <w:tcPr>
            <w:tcW w:w="656" w:type="dxa"/>
            <w:shd w:val="clear" w:color="auto" w:fill="C4EFCE"/>
            <w:noWrap/>
            <w:vAlign w:val="center"/>
            <w:hideMark/>
          </w:tcPr>
          <w:p w14:paraId="5FB1E755" w14:textId="64553DDF" w:rsidR="00E040FD" w:rsidRDefault="00740D64">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4704A1B6" w14:textId="77777777" w:rsidR="00E040FD" w:rsidRDefault="00740D64">
            <w:pPr>
              <w:pStyle w:val="P68B1DB1-Normal8"/>
              <w:spacing w:after="0" w:line="240" w:lineRule="auto"/>
              <w:jc w:val="both"/>
              <w:rPr>
                <w:rFonts w:eastAsia="Times New Roman" w:cs="Calibri"/>
                <w:noProof/>
              </w:rPr>
            </w:pPr>
            <w:r>
              <w:rPr>
                <w:noProof/>
              </w:rPr>
              <w:t>Slutföra genomförandet av det statliga redovisningsorganet, i full överensstämmelse med artiklarna 49 och 55 i 2015 års budgetramlag.</w:t>
            </w:r>
          </w:p>
        </w:tc>
      </w:tr>
      <w:tr w:rsidR="00E040FD" w14:paraId="162E15E3" w14:textId="77777777">
        <w:trPr>
          <w:trHeight w:val="640"/>
        </w:trPr>
        <w:tc>
          <w:tcPr>
            <w:tcW w:w="1043" w:type="dxa"/>
            <w:gridSpan w:val="2"/>
            <w:shd w:val="clear" w:color="auto" w:fill="C4EFCE"/>
            <w:vAlign w:val="center"/>
            <w:hideMark/>
          </w:tcPr>
          <w:p w14:paraId="3BDDDDA8" w14:textId="77777777" w:rsidR="00E040FD" w:rsidRDefault="00740D64">
            <w:pPr>
              <w:pStyle w:val="P68B1DB1-Normal7"/>
              <w:spacing w:after="0" w:line="240" w:lineRule="auto"/>
              <w:jc w:val="center"/>
              <w:rPr>
                <w:rFonts w:eastAsia="Times New Roman" w:cs="Calibri"/>
                <w:noProof/>
              </w:rPr>
            </w:pPr>
            <w:r>
              <w:rPr>
                <w:noProof/>
              </w:rPr>
              <w:t>17.10</w:t>
            </w:r>
          </w:p>
        </w:tc>
        <w:tc>
          <w:tcPr>
            <w:tcW w:w="1161" w:type="dxa"/>
            <w:shd w:val="clear" w:color="auto" w:fill="C4EFCE"/>
            <w:noWrap/>
            <w:vAlign w:val="center"/>
            <w:hideMark/>
          </w:tcPr>
          <w:p w14:paraId="498D4AC6" w14:textId="77777777" w:rsidR="00E040FD" w:rsidRDefault="00740D64">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4C7A787A" w14:textId="77777777"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16CC567" w14:textId="77777777" w:rsidR="00E040FD" w:rsidRDefault="00740D64">
            <w:pPr>
              <w:pStyle w:val="P68B1DB1-Normal8"/>
              <w:spacing w:after="0" w:line="240" w:lineRule="auto"/>
              <w:jc w:val="center"/>
              <w:rPr>
                <w:rFonts w:eastAsia="Times New Roman" w:cs="Calibri"/>
                <w:noProof/>
              </w:rPr>
            </w:pPr>
            <w:r>
              <w:rPr>
                <w:noProof/>
              </w:rPr>
              <w:t>Idrifttagande av informationssystemet för omformning och genomförande av budgetprocessen, inklusive programbudgetering</w:t>
            </w:r>
          </w:p>
        </w:tc>
        <w:tc>
          <w:tcPr>
            <w:tcW w:w="1356" w:type="dxa"/>
            <w:shd w:val="clear" w:color="auto" w:fill="C4EFCE"/>
            <w:noWrap/>
            <w:vAlign w:val="center"/>
            <w:hideMark/>
          </w:tcPr>
          <w:p w14:paraId="14DDB52C" w14:textId="77777777" w:rsidR="00E040FD" w:rsidRDefault="00740D64">
            <w:pPr>
              <w:pStyle w:val="P68B1DB1-Normal8"/>
              <w:spacing w:after="0" w:line="240" w:lineRule="auto"/>
              <w:jc w:val="center"/>
              <w:rPr>
                <w:rFonts w:eastAsia="Times New Roman" w:cs="Calibri"/>
                <w:noProof/>
              </w:rPr>
            </w:pPr>
            <w:r>
              <w:rPr>
                <w:noProof/>
              </w:rPr>
              <w:t>Idrifttagande av informationssystemet för omformning och genomförande av budgetprocessen</w:t>
            </w:r>
          </w:p>
        </w:tc>
        <w:tc>
          <w:tcPr>
            <w:tcW w:w="909" w:type="dxa"/>
            <w:shd w:val="clear" w:color="auto" w:fill="C4EFCE"/>
            <w:noWrap/>
            <w:vAlign w:val="center"/>
            <w:hideMark/>
          </w:tcPr>
          <w:p w14:paraId="187C07AB" w14:textId="77777777" w:rsidR="00E040FD" w:rsidRDefault="00740D64">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693EE4D0" w14:textId="77777777" w:rsidR="00E040FD" w:rsidRDefault="00740D64">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2CDCFA85" w14:textId="77777777" w:rsidR="00E040FD" w:rsidRDefault="00740D64">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34839CEE"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38281D6B" w14:textId="77777777" w:rsidR="00E040FD" w:rsidRDefault="00740D64">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75FD6C3B" w14:textId="77777777" w:rsidR="00E040FD" w:rsidRDefault="00740D64">
            <w:pPr>
              <w:pStyle w:val="P68B1DB1-Normal8"/>
              <w:spacing w:after="0" w:line="240" w:lineRule="auto"/>
              <w:jc w:val="both"/>
              <w:rPr>
                <w:rFonts w:eastAsia="Times New Roman" w:cs="Calibri"/>
                <w:noProof/>
              </w:rPr>
            </w:pPr>
            <w:r>
              <w:rPr>
                <w:noProof/>
              </w:rPr>
              <w:t>Idrifttagande av informationssystemet för att säkerställa att alla enheter inom den offentliga sektorn lägger fram budget- och redovisningsuppgifter i enlighet med de nya format som fastställs i 2015 års budgetramlag, även när det gäller nya resultatbaserade budgetprogram.</w:t>
            </w:r>
          </w:p>
        </w:tc>
      </w:tr>
      <w:tr w:rsidR="00E040FD" w14:paraId="6E9D296B" w14:textId="77777777">
        <w:trPr>
          <w:trHeight w:val="640"/>
        </w:trPr>
        <w:tc>
          <w:tcPr>
            <w:tcW w:w="1043" w:type="dxa"/>
            <w:gridSpan w:val="2"/>
            <w:shd w:val="clear" w:color="auto" w:fill="C4EFCE"/>
            <w:vAlign w:val="center"/>
            <w:hideMark/>
          </w:tcPr>
          <w:p w14:paraId="010A6216" w14:textId="77777777" w:rsidR="00E040FD" w:rsidRDefault="00740D64">
            <w:pPr>
              <w:pStyle w:val="P68B1DB1-Normal7"/>
              <w:spacing w:after="0" w:line="240" w:lineRule="auto"/>
              <w:jc w:val="center"/>
              <w:rPr>
                <w:rFonts w:eastAsia="Times New Roman" w:cs="Calibri"/>
                <w:noProof/>
              </w:rPr>
            </w:pPr>
            <w:r>
              <w:rPr>
                <w:noProof/>
              </w:rPr>
              <w:t>17.11</w:t>
            </w:r>
          </w:p>
        </w:tc>
        <w:tc>
          <w:tcPr>
            <w:tcW w:w="1161" w:type="dxa"/>
            <w:shd w:val="clear" w:color="auto" w:fill="C4EFCE"/>
            <w:noWrap/>
            <w:vAlign w:val="center"/>
            <w:hideMark/>
          </w:tcPr>
          <w:p w14:paraId="06619773" w14:textId="77777777" w:rsidR="00E040FD" w:rsidRDefault="00740D64">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68FBC5C2" w14:textId="77777777"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DDE848B" w14:textId="77777777" w:rsidR="00E040FD" w:rsidRDefault="00740D64">
            <w:pPr>
              <w:pStyle w:val="P68B1DB1-Normal8"/>
              <w:spacing w:after="0" w:line="240" w:lineRule="auto"/>
              <w:jc w:val="center"/>
              <w:rPr>
                <w:rFonts w:eastAsia="Times New Roman" w:cs="Calibri"/>
                <w:noProof/>
              </w:rPr>
            </w:pPr>
            <w:r>
              <w:rPr>
                <w:noProof/>
              </w:rPr>
              <w:t>Idrifttagande av ett stödsystem för den nya modellen för budgetkontroll och finansiell kontroll</w:t>
            </w:r>
          </w:p>
        </w:tc>
        <w:tc>
          <w:tcPr>
            <w:tcW w:w="1356" w:type="dxa"/>
            <w:shd w:val="clear" w:color="auto" w:fill="C4EFCE"/>
            <w:noWrap/>
            <w:vAlign w:val="center"/>
            <w:hideMark/>
          </w:tcPr>
          <w:p w14:paraId="7C8F93A5" w14:textId="77777777" w:rsidR="00E040FD" w:rsidRDefault="00740D64">
            <w:pPr>
              <w:pStyle w:val="P68B1DB1-Normal8"/>
              <w:spacing w:after="0" w:line="240" w:lineRule="auto"/>
              <w:jc w:val="center"/>
              <w:rPr>
                <w:rFonts w:eastAsia="Times New Roman" w:cs="Calibri"/>
                <w:noProof/>
              </w:rPr>
            </w:pPr>
            <w:r>
              <w:rPr>
                <w:noProof/>
              </w:rPr>
              <w:t>Informationssystem i drift</w:t>
            </w:r>
          </w:p>
        </w:tc>
        <w:tc>
          <w:tcPr>
            <w:tcW w:w="909" w:type="dxa"/>
            <w:shd w:val="clear" w:color="auto" w:fill="C4EFCE"/>
            <w:noWrap/>
            <w:vAlign w:val="center"/>
            <w:hideMark/>
          </w:tcPr>
          <w:p w14:paraId="2B202843" w14:textId="77777777" w:rsidR="00E040FD" w:rsidRDefault="00740D64">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BB56DFB" w14:textId="77777777" w:rsidR="00E040FD" w:rsidRDefault="00740D64">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4A48EF47" w14:textId="77777777" w:rsidR="00E040FD" w:rsidRDefault="00740D64">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B10605D"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6E4DCD5D" w14:textId="77777777" w:rsidR="00E040FD" w:rsidRDefault="00740D64">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39CC531C" w14:textId="77777777" w:rsidR="00E040FD" w:rsidRDefault="00740D64">
            <w:pPr>
              <w:pStyle w:val="P68B1DB1-Normal8"/>
              <w:spacing w:after="0" w:line="240" w:lineRule="auto"/>
              <w:jc w:val="both"/>
              <w:rPr>
                <w:rFonts w:eastAsia="Times New Roman" w:cs="Calibri"/>
                <w:noProof/>
              </w:rPr>
            </w:pPr>
            <w:r>
              <w:rPr>
                <w:noProof/>
              </w:rPr>
              <w:t>Idrifttagande av ett stödsystem för att säkerställa kontroll och övervakning av budget- och redovisningsuppgifter i enlighet med de nya format som fastställs i 2015 års budgetramlag av alla enheter inom den offentliga sektorn.</w:t>
            </w:r>
          </w:p>
        </w:tc>
      </w:tr>
      <w:tr w:rsidR="00E040FD" w14:paraId="0407FA88" w14:textId="77777777">
        <w:trPr>
          <w:trHeight w:val="1060"/>
        </w:trPr>
        <w:tc>
          <w:tcPr>
            <w:tcW w:w="1043" w:type="dxa"/>
            <w:gridSpan w:val="2"/>
            <w:shd w:val="clear" w:color="auto" w:fill="C4EFCE"/>
            <w:vAlign w:val="center"/>
            <w:hideMark/>
          </w:tcPr>
          <w:p w14:paraId="1E4ADC51" w14:textId="77777777" w:rsidR="00E040FD" w:rsidRDefault="00740D64">
            <w:pPr>
              <w:pStyle w:val="P68B1DB1-Normal7"/>
              <w:spacing w:after="0" w:line="240" w:lineRule="auto"/>
              <w:jc w:val="center"/>
              <w:rPr>
                <w:rFonts w:eastAsia="Times New Roman" w:cs="Calibri"/>
                <w:noProof/>
              </w:rPr>
            </w:pPr>
            <w:r>
              <w:rPr>
                <w:noProof/>
              </w:rPr>
              <w:t>17.12</w:t>
            </w:r>
          </w:p>
        </w:tc>
        <w:tc>
          <w:tcPr>
            <w:tcW w:w="1161" w:type="dxa"/>
            <w:shd w:val="clear" w:color="auto" w:fill="C4EFCE"/>
            <w:noWrap/>
            <w:vAlign w:val="center"/>
            <w:hideMark/>
          </w:tcPr>
          <w:p w14:paraId="38F2DF60" w14:textId="77777777" w:rsidR="00E040FD" w:rsidRDefault="00740D64">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58703872" w14:textId="77777777" w:rsidR="00E040FD" w:rsidRDefault="00740D64">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64324DB2" w14:textId="77777777" w:rsidR="00E040FD" w:rsidRDefault="00740D64">
            <w:pPr>
              <w:pStyle w:val="P68B1DB1-Normal8"/>
              <w:spacing w:after="0" w:line="240" w:lineRule="auto"/>
              <w:jc w:val="center"/>
              <w:rPr>
                <w:rFonts w:eastAsia="Times New Roman" w:cs="Calibri"/>
                <w:noProof/>
              </w:rPr>
            </w:pPr>
            <w:r>
              <w:rPr>
                <w:noProof/>
              </w:rPr>
              <w:t>Slutföra moderniseringen och förenklingen av informationssystemen i det nationella centrala systemet för offentlig upphandling.</w:t>
            </w:r>
          </w:p>
        </w:tc>
        <w:tc>
          <w:tcPr>
            <w:tcW w:w="1356" w:type="dxa"/>
            <w:shd w:val="clear" w:color="auto" w:fill="C4EFCE"/>
            <w:noWrap/>
            <w:vAlign w:val="center"/>
            <w:hideMark/>
          </w:tcPr>
          <w:p w14:paraId="78DB8F29" w14:textId="77777777" w:rsidR="00E040FD" w:rsidRDefault="00740D64">
            <w:pPr>
              <w:pStyle w:val="P68B1DB1-Normal9"/>
              <w:spacing w:after="0" w:line="240" w:lineRule="auto"/>
              <w:rPr>
                <w:rFonts w:eastAsia="Times New Roman" w:cs="Calibri"/>
                <w:noProof/>
              </w:rPr>
            </w:pPr>
            <w:r>
              <w:rPr>
                <w:noProof/>
              </w:rPr>
              <w:t> </w:t>
            </w:r>
          </w:p>
        </w:tc>
        <w:tc>
          <w:tcPr>
            <w:tcW w:w="909" w:type="dxa"/>
            <w:shd w:val="clear" w:color="auto" w:fill="C4EFCE"/>
            <w:noWrap/>
            <w:vAlign w:val="center"/>
            <w:hideMark/>
          </w:tcPr>
          <w:p w14:paraId="1A100E82" w14:textId="77777777" w:rsidR="00E040FD" w:rsidRDefault="00740D64">
            <w:pPr>
              <w:pStyle w:val="P68B1DB1-Normal8"/>
              <w:spacing w:after="0" w:line="240" w:lineRule="auto"/>
              <w:jc w:val="center"/>
              <w:rPr>
                <w:rFonts w:eastAsia="Times New Roman" w:cs="Calibri"/>
                <w:noProof/>
              </w:rPr>
            </w:pPr>
            <w:r>
              <w:rPr>
                <w:noProof/>
              </w:rPr>
              <w:t>Antal</w:t>
            </w:r>
          </w:p>
        </w:tc>
        <w:tc>
          <w:tcPr>
            <w:tcW w:w="908" w:type="dxa"/>
            <w:shd w:val="clear" w:color="auto" w:fill="C4EFCE"/>
            <w:noWrap/>
            <w:vAlign w:val="center"/>
            <w:hideMark/>
          </w:tcPr>
          <w:p w14:paraId="75095961" w14:textId="77777777" w:rsidR="00E040FD" w:rsidRDefault="00740D64">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02B6DB5F" w14:textId="77777777" w:rsidR="00E040FD" w:rsidRDefault="00740D64">
            <w:pPr>
              <w:pStyle w:val="P68B1DB1-Normal8"/>
              <w:spacing w:after="0" w:line="240" w:lineRule="auto"/>
              <w:jc w:val="center"/>
              <w:rPr>
                <w:rFonts w:eastAsia="Times New Roman" w:cs="Calibri"/>
                <w:noProof/>
              </w:rPr>
            </w:pPr>
            <w:r>
              <w:rPr>
                <w:noProof/>
              </w:rPr>
              <w:t>11</w:t>
            </w:r>
          </w:p>
        </w:tc>
        <w:tc>
          <w:tcPr>
            <w:tcW w:w="530" w:type="dxa"/>
            <w:shd w:val="clear" w:color="auto" w:fill="C4EFCE"/>
            <w:noWrap/>
            <w:vAlign w:val="center"/>
            <w:hideMark/>
          </w:tcPr>
          <w:p w14:paraId="3C0A8C2D"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7BB06AD2" w14:textId="77777777" w:rsidR="00E040FD" w:rsidRDefault="00740D64">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39FEEE47" w14:textId="77777777" w:rsidR="00E040FD" w:rsidRDefault="00740D64">
            <w:pPr>
              <w:pStyle w:val="P68B1DB1-Normal8"/>
              <w:spacing w:after="0" w:line="240" w:lineRule="auto"/>
              <w:jc w:val="both"/>
              <w:rPr>
                <w:rFonts w:eastAsia="Times New Roman" w:cs="Calibri"/>
                <w:noProof/>
              </w:rPr>
            </w:pPr>
            <w:r>
              <w:rPr>
                <w:noProof/>
              </w:rPr>
              <w:t>Antal moderniserade och förenklade informationssystem i det nationella centrala systemet för offentlig upphandling för att i) främja administrativ förenkling, II) Stärka övervaknings- och kontrollmekanismerna. III) främja kostnadseffektivitets- och rationaliseringsöverväganden, IV) bredda förteckningen över varor och tjänster som omfattas av centraliserad upphandling. och v) främja samarbete mellan interna och externa intressenter. Uppnåendet av detta mål ska mätas genom antalet nya informationssystem som är i drift.</w:t>
            </w:r>
          </w:p>
        </w:tc>
      </w:tr>
      <w:tr w:rsidR="00E040FD" w14:paraId="305B2486" w14:textId="77777777">
        <w:trPr>
          <w:trHeight w:val="300"/>
        </w:trPr>
        <w:tc>
          <w:tcPr>
            <w:tcW w:w="1043" w:type="dxa"/>
            <w:gridSpan w:val="2"/>
            <w:shd w:val="clear" w:color="auto" w:fill="C4EFCE"/>
            <w:vAlign w:val="center"/>
            <w:hideMark/>
          </w:tcPr>
          <w:p w14:paraId="4122D3A0" w14:textId="77777777" w:rsidR="00E040FD" w:rsidRDefault="00740D64">
            <w:pPr>
              <w:pStyle w:val="P68B1DB1-Normal7"/>
              <w:spacing w:after="0" w:line="240" w:lineRule="auto"/>
              <w:jc w:val="center"/>
              <w:rPr>
                <w:rFonts w:eastAsia="Times New Roman" w:cs="Calibri"/>
                <w:noProof/>
              </w:rPr>
            </w:pPr>
            <w:r>
              <w:rPr>
                <w:noProof/>
              </w:rPr>
              <w:t>17.13</w:t>
            </w:r>
          </w:p>
        </w:tc>
        <w:tc>
          <w:tcPr>
            <w:tcW w:w="1161" w:type="dxa"/>
            <w:shd w:val="clear" w:color="auto" w:fill="C4EFCE"/>
            <w:noWrap/>
            <w:vAlign w:val="center"/>
            <w:hideMark/>
          </w:tcPr>
          <w:p w14:paraId="701D7F02" w14:textId="77777777" w:rsidR="00E040FD" w:rsidRDefault="00740D64">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369E606B" w14:textId="353377BE"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4E5C9E6" w14:textId="128584CD" w:rsidR="00E040FD" w:rsidRDefault="00740D64">
            <w:pPr>
              <w:pStyle w:val="P68B1DB1-Normal8"/>
              <w:spacing w:after="0" w:line="240" w:lineRule="auto"/>
              <w:jc w:val="center"/>
              <w:rPr>
                <w:rFonts w:eastAsia="Times New Roman" w:cs="Calibri"/>
                <w:noProof/>
              </w:rPr>
            </w:pPr>
            <w:r>
              <w:rPr>
                <w:noProof/>
              </w:rPr>
              <w:t xml:space="preserve">Slutförande av genomförandet av </w:t>
            </w:r>
            <w:r>
              <w:rPr>
                <w:i/>
                <w:noProof/>
              </w:rPr>
              <w:t>Sistema de Gestão de Património Imobiliário Público</w:t>
            </w:r>
            <w:r>
              <w:rPr>
                <w:noProof/>
              </w:rPr>
              <w:t xml:space="preserve"> (SIGPIP) och moderniseringen av informationssystemen för statsägda fordon</w:t>
            </w:r>
          </w:p>
        </w:tc>
        <w:tc>
          <w:tcPr>
            <w:tcW w:w="1356" w:type="dxa"/>
            <w:shd w:val="clear" w:color="auto" w:fill="C4EFCE"/>
            <w:noWrap/>
            <w:vAlign w:val="center"/>
            <w:hideMark/>
          </w:tcPr>
          <w:p w14:paraId="2E7F8560" w14:textId="2744589B" w:rsidR="00E040FD" w:rsidRDefault="00740D64">
            <w:pPr>
              <w:pStyle w:val="P68B1DB1-Normal8"/>
              <w:spacing w:after="0" w:line="240" w:lineRule="auto"/>
              <w:rPr>
                <w:rFonts w:eastAsia="Times New Roman" w:cs="Calibri"/>
                <w:noProof/>
              </w:rPr>
            </w:pPr>
            <w:r>
              <w:rPr>
                <w:noProof/>
              </w:rPr>
              <w:t>Slutfört genomförande av SIGPIP och idrifttagande av informationssystem för statsägda fordon</w:t>
            </w:r>
          </w:p>
        </w:tc>
        <w:tc>
          <w:tcPr>
            <w:tcW w:w="909" w:type="dxa"/>
            <w:shd w:val="clear" w:color="auto" w:fill="C4EFCE"/>
            <w:noWrap/>
            <w:vAlign w:val="center"/>
            <w:hideMark/>
          </w:tcPr>
          <w:p w14:paraId="6D2C816C" w14:textId="04080BA1" w:rsidR="00E040FD" w:rsidRDefault="00E040FD">
            <w:pPr>
              <w:spacing w:after="0" w:line="240" w:lineRule="auto"/>
              <w:jc w:val="center"/>
              <w:rPr>
                <w:rFonts w:ascii="Calibri" w:eastAsia="Times New Roman" w:hAnsi="Calibri" w:cs="Calibri"/>
                <w:noProof/>
                <w:sz w:val="16"/>
              </w:rPr>
            </w:pPr>
          </w:p>
        </w:tc>
        <w:tc>
          <w:tcPr>
            <w:tcW w:w="908" w:type="dxa"/>
            <w:shd w:val="clear" w:color="auto" w:fill="C4EFCE"/>
            <w:noWrap/>
            <w:vAlign w:val="center"/>
            <w:hideMark/>
          </w:tcPr>
          <w:p w14:paraId="5F6E0C5C" w14:textId="43B2C062" w:rsidR="00E040FD" w:rsidRDefault="00E040FD">
            <w:pPr>
              <w:spacing w:after="0" w:line="240" w:lineRule="auto"/>
              <w:jc w:val="center"/>
              <w:rPr>
                <w:rFonts w:ascii="Calibri" w:eastAsia="Times New Roman" w:hAnsi="Calibri" w:cs="Calibri"/>
                <w:noProof/>
                <w:sz w:val="16"/>
              </w:rPr>
            </w:pPr>
          </w:p>
        </w:tc>
        <w:tc>
          <w:tcPr>
            <w:tcW w:w="657" w:type="dxa"/>
            <w:shd w:val="clear" w:color="auto" w:fill="C4EFCE"/>
            <w:noWrap/>
            <w:vAlign w:val="center"/>
            <w:hideMark/>
          </w:tcPr>
          <w:p w14:paraId="1BDD16A4" w14:textId="3B8B3F7A" w:rsidR="00E040FD" w:rsidRDefault="00E040FD">
            <w:pPr>
              <w:spacing w:after="0" w:line="240" w:lineRule="auto"/>
              <w:jc w:val="center"/>
              <w:rPr>
                <w:rFonts w:ascii="Calibri" w:eastAsia="Times New Roman" w:hAnsi="Calibri" w:cs="Calibri"/>
                <w:noProof/>
                <w:sz w:val="16"/>
              </w:rPr>
            </w:pPr>
          </w:p>
        </w:tc>
        <w:tc>
          <w:tcPr>
            <w:tcW w:w="530" w:type="dxa"/>
            <w:shd w:val="clear" w:color="auto" w:fill="C4EFCE"/>
            <w:noWrap/>
            <w:vAlign w:val="center"/>
            <w:hideMark/>
          </w:tcPr>
          <w:p w14:paraId="0BBA56AA" w14:textId="77777777" w:rsidR="00E040FD" w:rsidRDefault="00740D64">
            <w:pPr>
              <w:pStyle w:val="P68B1DB1-Normal8"/>
              <w:spacing w:after="0" w:line="240" w:lineRule="auto"/>
              <w:jc w:val="center"/>
              <w:rPr>
                <w:rFonts w:eastAsia="Times New Roman" w:cs="Calibri"/>
                <w:noProof/>
              </w:rPr>
            </w:pPr>
            <w:r>
              <w:rPr>
                <w:noProof/>
              </w:rPr>
              <w:t>KVARTAL 2</w:t>
            </w:r>
          </w:p>
        </w:tc>
        <w:tc>
          <w:tcPr>
            <w:tcW w:w="656" w:type="dxa"/>
            <w:shd w:val="clear" w:color="auto" w:fill="C4EFCE"/>
            <w:noWrap/>
            <w:vAlign w:val="center"/>
            <w:hideMark/>
          </w:tcPr>
          <w:p w14:paraId="069B7D5F" w14:textId="77777777" w:rsidR="00E040FD" w:rsidRDefault="00740D64">
            <w:pPr>
              <w:pStyle w:val="P68B1DB1-Normal8"/>
              <w:spacing w:after="0" w:line="240" w:lineRule="auto"/>
              <w:jc w:val="center"/>
              <w:rPr>
                <w:rFonts w:eastAsia="Times New Roman" w:cs="Calibri"/>
                <w:noProof/>
              </w:rPr>
            </w:pPr>
            <w:r>
              <w:rPr>
                <w:noProof/>
              </w:rPr>
              <w:t>2026</w:t>
            </w:r>
          </w:p>
        </w:tc>
        <w:tc>
          <w:tcPr>
            <w:tcW w:w="5456" w:type="dxa"/>
            <w:shd w:val="clear" w:color="auto" w:fill="C4EFCE"/>
            <w:noWrap/>
            <w:vAlign w:val="center"/>
            <w:hideMark/>
          </w:tcPr>
          <w:p w14:paraId="29151ECC" w14:textId="22FC8058" w:rsidR="00E040FD" w:rsidRDefault="00740D64">
            <w:pPr>
              <w:pStyle w:val="P68B1DB1-Normal8"/>
              <w:spacing w:after="0" w:line="240" w:lineRule="auto"/>
              <w:jc w:val="both"/>
              <w:rPr>
                <w:rFonts w:eastAsia="Times New Roman" w:cs="Calibri"/>
                <w:noProof/>
              </w:rPr>
            </w:pPr>
            <w:r>
              <w:rPr>
                <w:noProof/>
              </w:rPr>
              <w:t>Slutföra genomförandet av ”</w:t>
            </w:r>
            <w:r>
              <w:rPr>
                <w:i/>
                <w:noProof/>
              </w:rPr>
              <w:t>Sistema de Gestão de Património Imobiliário Público”</w:t>
            </w:r>
            <w:r>
              <w:rPr>
                <w:noProof/>
              </w:rPr>
              <w:t xml:space="preserve"> (SIGPIP), som ska förvalta information om offentlig fast egendom. </w:t>
            </w:r>
          </w:p>
          <w:p w14:paraId="16254F2D" w14:textId="680EF6EC" w:rsidR="00E040FD" w:rsidRDefault="00740D64">
            <w:pPr>
              <w:pStyle w:val="P68B1DB1-Normal8"/>
              <w:spacing w:after="0" w:line="240" w:lineRule="auto"/>
              <w:jc w:val="both"/>
              <w:rPr>
                <w:rFonts w:eastAsia="Times New Roman" w:cs="Calibri"/>
                <w:noProof/>
              </w:rPr>
            </w:pPr>
            <w:r>
              <w:rPr>
                <w:noProof/>
              </w:rPr>
              <w:t>Två nya informationssystem som används för att inventera och övervaka statligt ägda fordon.</w:t>
            </w:r>
          </w:p>
        </w:tc>
      </w:tr>
      <w:tr w:rsidR="00E040FD" w14:paraId="29D028EC" w14:textId="77777777">
        <w:trPr>
          <w:trHeight w:val="430"/>
        </w:trPr>
        <w:tc>
          <w:tcPr>
            <w:tcW w:w="1043" w:type="dxa"/>
            <w:gridSpan w:val="2"/>
            <w:shd w:val="clear" w:color="auto" w:fill="C4EFCE"/>
            <w:vAlign w:val="center"/>
            <w:hideMark/>
          </w:tcPr>
          <w:p w14:paraId="339504D8" w14:textId="62CAECE8" w:rsidR="00E040FD" w:rsidRDefault="00740D64">
            <w:pPr>
              <w:pStyle w:val="P68B1DB1-Normal7"/>
              <w:spacing w:after="0" w:line="240" w:lineRule="auto"/>
              <w:jc w:val="center"/>
              <w:rPr>
                <w:rFonts w:eastAsia="Times New Roman" w:cs="Calibri"/>
                <w:noProof/>
              </w:rPr>
            </w:pPr>
            <w:r>
              <w:rPr>
                <w:noProof/>
              </w:rPr>
              <w:t>17.14</w:t>
            </w:r>
          </w:p>
        </w:tc>
        <w:tc>
          <w:tcPr>
            <w:tcW w:w="1161" w:type="dxa"/>
            <w:shd w:val="clear" w:color="auto" w:fill="C4EFCE"/>
            <w:noWrap/>
            <w:vAlign w:val="center"/>
            <w:hideMark/>
          </w:tcPr>
          <w:p w14:paraId="76E795FA" w14:textId="77777777" w:rsidR="00E040FD" w:rsidRDefault="00740D64">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2D718AE9" w14:textId="77777777"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7EAE67B" w14:textId="77777777" w:rsidR="00E040FD" w:rsidRDefault="00740D64">
            <w:pPr>
              <w:pStyle w:val="P68B1DB1-Normal8"/>
              <w:spacing w:after="0" w:line="240" w:lineRule="auto"/>
              <w:jc w:val="center"/>
              <w:rPr>
                <w:rFonts w:eastAsia="Times New Roman" w:cs="Calibri"/>
                <w:noProof/>
              </w:rPr>
            </w:pPr>
            <w:r>
              <w:rPr>
                <w:noProof/>
              </w:rPr>
              <w:t>Slutföra genomförandet av säkerhetscentrumet</w:t>
            </w:r>
          </w:p>
        </w:tc>
        <w:tc>
          <w:tcPr>
            <w:tcW w:w="1356" w:type="dxa"/>
            <w:shd w:val="clear" w:color="auto" w:fill="C4EFCE"/>
            <w:noWrap/>
            <w:vAlign w:val="center"/>
            <w:hideMark/>
          </w:tcPr>
          <w:p w14:paraId="0998F4B9" w14:textId="77777777" w:rsidR="00E040FD" w:rsidRDefault="00740D64">
            <w:pPr>
              <w:pStyle w:val="P68B1DB1-Normal8"/>
              <w:spacing w:after="0" w:line="240" w:lineRule="auto"/>
              <w:jc w:val="center"/>
              <w:rPr>
                <w:rFonts w:eastAsia="Times New Roman" w:cs="Calibri"/>
                <w:noProof/>
              </w:rPr>
            </w:pPr>
            <w:r>
              <w:rPr>
                <w:noProof/>
              </w:rPr>
              <w:t>Slutförande av genomförandet av säkerhetscentrumet</w:t>
            </w:r>
          </w:p>
        </w:tc>
        <w:tc>
          <w:tcPr>
            <w:tcW w:w="909" w:type="dxa"/>
            <w:shd w:val="clear" w:color="auto" w:fill="C4EFCE"/>
            <w:noWrap/>
            <w:vAlign w:val="center"/>
            <w:hideMark/>
          </w:tcPr>
          <w:p w14:paraId="4BF11062" w14:textId="77777777" w:rsidR="00E040FD" w:rsidRDefault="00740D64">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7A0E5BC3" w14:textId="77777777" w:rsidR="00E040FD" w:rsidRDefault="00740D64">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3E331B7" w14:textId="77777777" w:rsidR="00E040FD" w:rsidRDefault="00740D64">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DF70649"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58B8D8F6" w14:textId="77777777" w:rsidR="00E040FD" w:rsidRDefault="00740D64">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46684948" w14:textId="77777777" w:rsidR="00E040FD" w:rsidRDefault="00740D64">
            <w:pPr>
              <w:pStyle w:val="P68B1DB1-Normal8"/>
              <w:spacing w:after="0" w:line="240" w:lineRule="auto"/>
              <w:jc w:val="both"/>
              <w:rPr>
                <w:rFonts w:eastAsia="Times New Roman" w:cs="Calibri"/>
                <w:noProof/>
              </w:rPr>
            </w:pPr>
            <w:r>
              <w:rPr>
                <w:noProof/>
              </w:rPr>
              <w:t>Slutförande av genomförandet av säkerhetscentrumet för att möjliggöra ökad informationssäkerhet och tillgång till data samt genomförande av säkerhetsstrategier och cybersäkerhetslösningar.</w:t>
            </w:r>
          </w:p>
        </w:tc>
      </w:tr>
      <w:tr w:rsidR="00E040FD" w14:paraId="5362F69D" w14:textId="77777777">
        <w:trPr>
          <w:trHeight w:val="640"/>
        </w:trPr>
        <w:tc>
          <w:tcPr>
            <w:tcW w:w="1043" w:type="dxa"/>
            <w:gridSpan w:val="2"/>
            <w:shd w:val="clear" w:color="auto" w:fill="C4EFCE"/>
            <w:vAlign w:val="center"/>
            <w:hideMark/>
          </w:tcPr>
          <w:p w14:paraId="31BEB070" w14:textId="6A625FBD" w:rsidR="00E040FD" w:rsidRDefault="00740D64">
            <w:pPr>
              <w:pStyle w:val="P68B1DB1-Normal7"/>
              <w:spacing w:after="0" w:line="240" w:lineRule="auto"/>
              <w:jc w:val="center"/>
              <w:rPr>
                <w:rFonts w:eastAsia="Times New Roman" w:cs="Calibri"/>
                <w:noProof/>
              </w:rPr>
            </w:pPr>
            <w:r>
              <w:rPr>
                <w:noProof/>
              </w:rPr>
              <w:t>17.15</w:t>
            </w:r>
          </w:p>
        </w:tc>
        <w:tc>
          <w:tcPr>
            <w:tcW w:w="1161" w:type="dxa"/>
            <w:shd w:val="clear" w:color="auto" w:fill="C4EFCE"/>
            <w:noWrap/>
            <w:vAlign w:val="center"/>
            <w:hideMark/>
          </w:tcPr>
          <w:p w14:paraId="7B839632" w14:textId="77777777" w:rsidR="00E040FD" w:rsidRDefault="00740D64">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0225F062" w14:textId="77777777"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04838897" w14:textId="77777777" w:rsidR="00E040FD" w:rsidRDefault="00740D64">
            <w:pPr>
              <w:pStyle w:val="P68B1DB1-Normal8"/>
              <w:spacing w:after="0" w:line="240" w:lineRule="auto"/>
              <w:jc w:val="center"/>
              <w:rPr>
                <w:rFonts w:eastAsia="Times New Roman" w:cs="Calibri"/>
                <w:noProof/>
              </w:rPr>
            </w:pPr>
            <w:r>
              <w:rPr>
                <w:noProof/>
              </w:rPr>
              <w:t>Slutföra genomförandet av förifyllandet av mall 1-deklarationen för kommunal fastighetsskatt (IMI), på grundval av de uppgifter som skatte- och tullmyndigheten har tillgång till.</w:t>
            </w:r>
          </w:p>
        </w:tc>
        <w:tc>
          <w:tcPr>
            <w:tcW w:w="1356" w:type="dxa"/>
            <w:shd w:val="clear" w:color="auto" w:fill="C4EFCE"/>
            <w:noWrap/>
            <w:vAlign w:val="center"/>
            <w:hideMark/>
          </w:tcPr>
          <w:p w14:paraId="451BCA0C" w14:textId="77777777" w:rsidR="00E040FD" w:rsidRDefault="00740D64">
            <w:pPr>
              <w:pStyle w:val="P68B1DB1-Normal8"/>
              <w:spacing w:after="0" w:line="240" w:lineRule="auto"/>
              <w:jc w:val="center"/>
              <w:rPr>
                <w:rFonts w:eastAsia="Times New Roman" w:cs="Calibri"/>
                <w:noProof/>
              </w:rPr>
            </w:pPr>
            <w:r>
              <w:rPr>
                <w:noProof/>
              </w:rPr>
              <w:t>Slutföra genomförandet av förifyllandet av mall 1-deklarationen för kommunal fastighetsskatt (IMI).</w:t>
            </w:r>
          </w:p>
        </w:tc>
        <w:tc>
          <w:tcPr>
            <w:tcW w:w="909" w:type="dxa"/>
            <w:shd w:val="clear" w:color="auto" w:fill="C4EFCE"/>
            <w:noWrap/>
            <w:vAlign w:val="center"/>
            <w:hideMark/>
          </w:tcPr>
          <w:p w14:paraId="5622F9E0" w14:textId="77777777" w:rsidR="00E040FD" w:rsidRDefault="00740D64">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16D8FAE4" w14:textId="77777777" w:rsidR="00E040FD" w:rsidRDefault="00740D64">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D1DC19D" w14:textId="77777777" w:rsidR="00E040FD" w:rsidRDefault="00740D64">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19997423" w14:textId="77777777" w:rsidR="00E040FD" w:rsidRDefault="00740D64">
            <w:pPr>
              <w:pStyle w:val="P68B1DB1-Normal8"/>
              <w:spacing w:after="0" w:line="240" w:lineRule="auto"/>
              <w:jc w:val="center"/>
              <w:rPr>
                <w:rFonts w:eastAsia="Times New Roman" w:cs="Calibri"/>
                <w:noProof/>
              </w:rPr>
            </w:pPr>
            <w:r>
              <w:rPr>
                <w:noProof/>
              </w:rPr>
              <w:t>KVARTAL 2</w:t>
            </w:r>
          </w:p>
        </w:tc>
        <w:tc>
          <w:tcPr>
            <w:tcW w:w="656" w:type="dxa"/>
            <w:shd w:val="clear" w:color="auto" w:fill="C4EFCE"/>
            <w:noWrap/>
            <w:vAlign w:val="center"/>
            <w:hideMark/>
          </w:tcPr>
          <w:p w14:paraId="2F091CDC" w14:textId="77777777" w:rsidR="00E040FD" w:rsidRDefault="00740D64">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0BA4FBF7" w14:textId="77777777" w:rsidR="00E040FD" w:rsidRDefault="00740D64">
            <w:pPr>
              <w:pStyle w:val="P68B1DB1-Normal8"/>
              <w:spacing w:after="0" w:line="240" w:lineRule="auto"/>
              <w:jc w:val="both"/>
              <w:rPr>
                <w:rFonts w:eastAsia="Times New Roman" w:cs="Calibri"/>
                <w:noProof/>
              </w:rPr>
            </w:pPr>
            <w:r>
              <w:rPr>
                <w:noProof/>
              </w:rPr>
              <w:t>Utbyte av uppgifter mellan skatte- och tullmyndigheten och kommunerna för att på förhand fylla i mall 1-deklarationen av den kommunala fastighetsskatten (</w:t>
            </w:r>
            <w:r>
              <w:rPr>
                <w:i/>
                <w:noProof/>
              </w:rPr>
              <w:t>Imposto Municipal sobre Imóveis</w:t>
            </w:r>
            <w:r>
              <w:rPr>
                <w:noProof/>
              </w:rPr>
              <w:t>, IMI), med utnyttjande av befintlig information om fastigheter i respektive informationssystem.</w:t>
            </w:r>
          </w:p>
        </w:tc>
      </w:tr>
      <w:tr w:rsidR="00E040FD" w14:paraId="0B05BC3F" w14:textId="77777777">
        <w:trPr>
          <w:trHeight w:val="640"/>
        </w:trPr>
        <w:tc>
          <w:tcPr>
            <w:tcW w:w="1043" w:type="dxa"/>
            <w:gridSpan w:val="2"/>
            <w:shd w:val="clear" w:color="auto" w:fill="C4EFCE"/>
            <w:vAlign w:val="center"/>
          </w:tcPr>
          <w:p w14:paraId="62EFB6DD" w14:textId="15BA45D9" w:rsidR="00E040FD" w:rsidRDefault="00740D64">
            <w:pPr>
              <w:pStyle w:val="P68B1DB1-Normal11"/>
              <w:spacing w:after="0" w:line="240" w:lineRule="auto"/>
              <w:jc w:val="center"/>
              <w:rPr>
                <w:rFonts w:ascii="Calibri" w:eastAsia="Times New Roman" w:hAnsi="Calibri" w:cs="Calibri"/>
                <w:noProof/>
              </w:rPr>
            </w:pPr>
            <w:r>
              <w:rPr>
                <w:noProof/>
              </w:rPr>
              <w:t>17.21</w:t>
            </w:r>
          </w:p>
        </w:tc>
        <w:tc>
          <w:tcPr>
            <w:tcW w:w="1161" w:type="dxa"/>
            <w:shd w:val="clear" w:color="auto" w:fill="C4EFCE"/>
            <w:noWrap/>
            <w:vAlign w:val="center"/>
          </w:tcPr>
          <w:p w14:paraId="21471993" w14:textId="2900E5A4" w:rsidR="00E040FD" w:rsidRDefault="00740D64">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tcPr>
          <w:p w14:paraId="3FACD559" w14:textId="22769DF8"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tcPr>
          <w:p w14:paraId="648192F8" w14:textId="3B970152" w:rsidR="00E040FD" w:rsidRDefault="00740D64">
            <w:pPr>
              <w:pStyle w:val="P68B1DB1-Normal8"/>
              <w:spacing w:after="0" w:line="240" w:lineRule="auto"/>
              <w:jc w:val="center"/>
              <w:rPr>
                <w:rFonts w:eastAsia="Times New Roman" w:cs="Calibri"/>
                <w:noProof/>
              </w:rPr>
            </w:pPr>
            <w:r>
              <w:rPr>
                <w:noProof/>
              </w:rPr>
              <w:t>Slutföra genomförandet av förifyllandet av en specifik transaktion som omfattas av stämpelskatten.</w:t>
            </w:r>
          </w:p>
        </w:tc>
        <w:tc>
          <w:tcPr>
            <w:tcW w:w="1356" w:type="dxa"/>
            <w:shd w:val="clear" w:color="auto" w:fill="C4EFCE"/>
            <w:noWrap/>
            <w:vAlign w:val="center"/>
          </w:tcPr>
          <w:p w14:paraId="59F0138D" w14:textId="2B1A728B" w:rsidR="00E040FD" w:rsidRDefault="00740D64">
            <w:pPr>
              <w:pStyle w:val="P68B1DB1-Normal8"/>
              <w:spacing w:after="0" w:line="240" w:lineRule="auto"/>
              <w:jc w:val="center"/>
              <w:rPr>
                <w:rFonts w:eastAsia="Times New Roman" w:cs="Calibri"/>
                <w:noProof/>
              </w:rPr>
            </w:pPr>
            <w:r>
              <w:rPr>
                <w:noProof/>
              </w:rPr>
              <w:t>Slutförande av genomförandet av förifyllandet av en specifik transaktion som omfattas av stämpelskatten</w:t>
            </w:r>
          </w:p>
        </w:tc>
        <w:tc>
          <w:tcPr>
            <w:tcW w:w="909" w:type="dxa"/>
            <w:shd w:val="clear" w:color="auto" w:fill="C4EFCE"/>
            <w:noWrap/>
            <w:vAlign w:val="center"/>
          </w:tcPr>
          <w:p w14:paraId="6A2AF1CB" w14:textId="77777777" w:rsidR="00E040FD" w:rsidRDefault="00E040FD">
            <w:pPr>
              <w:spacing w:after="0" w:line="240" w:lineRule="auto"/>
              <w:jc w:val="center"/>
              <w:rPr>
                <w:rFonts w:ascii="Calibri" w:eastAsia="Times New Roman" w:hAnsi="Calibri" w:cs="Calibri"/>
                <w:noProof/>
                <w:sz w:val="16"/>
              </w:rPr>
            </w:pPr>
          </w:p>
        </w:tc>
        <w:tc>
          <w:tcPr>
            <w:tcW w:w="908" w:type="dxa"/>
            <w:shd w:val="clear" w:color="auto" w:fill="C4EFCE"/>
            <w:noWrap/>
            <w:vAlign w:val="center"/>
          </w:tcPr>
          <w:p w14:paraId="0C8AF654" w14:textId="77777777" w:rsidR="00E040FD" w:rsidRDefault="00E040FD">
            <w:pPr>
              <w:spacing w:after="0" w:line="240" w:lineRule="auto"/>
              <w:jc w:val="center"/>
              <w:rPr>
                <w:rFonts w:ascii="Calibri" w:eastAsia="Times New Roman" w:hAnsi="Calibri" w:cs="Calibri"/>
                <w:noProof/>
                <w:sz w:val="16"/>
              </w:rPr>
            </w:pPr>
          </w:p>
        </w:tc>
        <w:tc>
          <w:tcPr>
            <w:tcW w:w="657" w:type="dxa"/>
            <w:shd w:val="clear" w:color="auto" w:fill="C4EFCE"/>
            <w:noWrap/>
            <w:vAlign w:val="center"/>
          </w:tcPr>
          <w:p w14:paraId="4A18B87A" w14:textId="77777777" w:rsidR="00E040FD" w:rsidRDefault="00E040FD">
            <w:pPr>
              <w:spacing w:after="0" w:line="240" w:lineRule="auto"/>
              <w:jc w:val="center"/>
              <w:rPr>
                <w:rFonts w:ascii="Calibri" w:eastAsia="Times New Roman" w:hAnsi="Calibri" w:cs="Calibri"/>
                <w:noProof/>
                <w:sz w:val="16"/>
              </w:rPr>
            </w:pPr>
          </w:p>
        </w:tc>
        <w:tc>
          <w:tcPr>
            <w:tcW w:w="530" w:type="dxa"/>
            <w:shd w:val="clear" w:color="auto" w:fill="C4EFCE"/>
            <w:noWrap/>
            <w:vAlign w:val="center"/>
          </w:tcPr>
          <w:p w14:paraId="3169F07F" w14:textId="30A90A7A"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tcPr>
          <w:p w14:paraId="483BF940" w14:textId="6003A4D6" w:rsidR="00E040FD" w:rsidRDefault="00740D64">
            <w:pPr>
              <w:pStyle w:val="P68B1DB1-Normal8"/>
              <w:spacing w:after="0" w:line="240" w:lineRule="auto"/>
              <w:jc w:val="center"/>
              <w:rPr>
                <w:rFonts w:eastAsia="Times New Roman" w:cs="Calibri"/>
                <w:noProof/>
              </w:rPr>
            </w:pPr>
            <w:r>
              <w:rPr>
                <w:noProof/>
              </w:rPr>
              <w:t>2023</w:t>
            </w:r>
          </w:p>
        </w:tc>
        <w:tc>
          <w:tcPr>
            <w:tcW w:w="5456" w:type="dxa"/>
            <w:shd w:val="clear" w:color="auto" w:fill="C4EFCE"/>
            <w:noWrap/>
            <w:vAlign w:val="center"/>
          </w:tcPr>
          <w:p w14:paraId="3FD5E02C" w14:textId="06D7A0A1" w:rsidR="00E040FD" w:rsidRDefault="00740D64">
            <w:pPr>
              <w:pStyle w:val="P68B1DB1-Normal8"/>
              <w:spacing w:after="0" w:line="240" w:lineRule="auto"/>
              <w:jc w:val="both"/>
              <w:rPr>
                <w:rFonts w:eastAsia="Times New Roman" w:cs="Calibri"/>
                <w:noProof/>
              </w:rPr>
            </w:pPr>
            <w:r>
              <w:rPr>
                <w:noProof/>
              </w:rPr>
              <w:t>Slutföra genomförandet av förfyllnadstjänster för fastighets- och fordonsöverföringar som omfattas av stämpelskatt (</w:t>
            </w:r>
            <w:r>
              <w:rPr>
                <w:i/>
                <w:noProof/>
              </w:rPr>
              <w:t>”Imposto de Selo</w:t>
            </w:r>
            <w:r>
              <w:rPr>
                <w:noProof/>
              </w:rPr>
              <w:t>”), med utnyttjande av befintlig information om fastigheter som finns tillgänglig för skatte- och tullmyndigheterna, Rörings- och transportinstitutet</w:t>
            </w:r>
            <w:r>
              <w:rPr>
                <w:i/>
                <w:noProof/>
              </w:rPr>
              <w:t xml:space="preserve">. </w:t>
            </w:r>
            <w:r>
              <w:rPr>
                <w:noProof/>
              </w:rPr>
              <w:t>(IMT) och Institutet för register och notarier (IRN).</w:t>
            </w:r>
          </w:p>
        </w:tc>
      </w:tr>
      <w:tr w:rsidR="00E040FD" w14:paraId="5A586D67" w14:textId="77777777">
        <w:trPr>
          <w:trHeight w:val="430"/>
        </w:trPr>
        <w:tc>
          <w:tcPr>
            <w:tcW w:w="1043" w:type="dxa"/>
            <w:gridSpan w:val="2"/>
            <w:shd w:val="clear" w:color="auto" w:fill="C4EFCE"/>
            <w:vAlign w:val="center"/>
            <w:hideMark/>
          </w:tcPr>
          <w:p w14:paraId="169BD49B" w14:textId="22DC1B0C" w:rsidR="00E040FD" w:rsidRDefault="00740D64">
            <w:pPr>
              <w:pStyle w:val="P68B1DB1-Normal7"/>
              <w:spacing w:after="0" w:line="240" w:lineRule="auto"/>
              <w:jc w:val="center"/>
              <w:rPr>
                <w:rFonts w:eastAsia="Times New Roman" w:cs="Calibri"/>
                <w:noProof/>
              </w:rPr>
            </w:pPr>
            <w:r>
              <w:rPr>
                <w:noProof/>
              </w:rPr>
              <w:t>17.16</w:t>
            </w:r>
          </w:p>
        </w:tc>
        <w:tc>
          <w:tcPr>
            <w:tcW w:w="1161" w:type="dxa"/>
            <w:shd w:val="clear" w:color="auto" w:fill="C4EFCE"/>
            <w:noWrap/>
            <w:vAlign w:val="center"/>
            <w:hideMark/>
          </w:tcPr>
          <w:p w14:paraId="7338038A" w14:textId="77777777" w:rsidR="00E040FD" w:rsidRDefault="00740D64">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46ECBF0B" w14:textId="77777777" w:rsidR="00E040FD" w:rsidRDefault="00740D64">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0369D0DB" w14:textId="77777777" w:rsidR="00E040FD" w:rsidRDefault="00740D64">
            <w:pPr>
              <w:pStyle w:val="P68B1DB1-Normal8"/>
              <w:spacing w:after="0" w:line="240" w:lineRule="auto"/>
              <w:jc w:val="center"/>
              <w:rPr>
                <w:rFonts w:eastAsia="Times New Roman" w:cs="Calibri"/>
                <w:noProof/>
              </w:rPr>
            </w:pPr>
            <w:r>
              <w:rPr>
                <w:noProof/>
              </w:rPr>
              <w:t>Tillhandahållande och operationalisering av den slutliga versionen av informationssystemet till stöd för den förenklade bedömningen av landsbygdsfastigheter</w:t>
            </w:r>
          </w:p>
        </w:tc>
        <w:tc>
          <w:tcPr>
            <w:tcW w:w="1356" w:type="dxa"/>
            <w:shd w:val="clear" w:color="auto" w:fill="C4EFCE"/>
            <w:noWrap/>
            <w:vAlign w:val="center"/>
            <w:hideMark/>
          </w:tcPr>
          <w:p w14:paraId="0D7E1C75" w14:textId="77777777" w:rsidR="00E040FD" w:rsidRDefault="00740D64">
            <w:pPr>
              <w:pStyle w:val="P68B1DB1-Normal8"/>
              <w:spacing w:after="0" w:line="240" w:lineRule="auto"/>
              <w:jc w:val="center"/>
              <w:rPr>
                <w:rFonts w:eastAsia="Times New Roman" w:cs="Calibri"/>
                <w:noProof/>
              </w:rPr>
            </w:pPr>
            <w:r>
              <w:rPr>
                <w:noProof/>
              </w:rPr>
              <w:t>Tillhandahållande och operationalisering av den slutliga versionen av informationssystemet till stöd för den förenklade bedömningen av landsbygdsfastigheter</w:t>
            </w:r>
          </w:p>
        </w:tc>
        <w:tc>
          <w:tcPr>
            <w:tcW w:w="909" w:type="dxa"/>
            <w:shd w:val="clear" w:color="auto" w:fill="C4EFCE"/>
            <w:noWrap/>
            <w:vAlign w:val="center"/>
            <w:hideMark/>
          </w:tcPr>
          <w:p w14:paraId="3A165F24" w14:textId="77777777" w:rsidR="00E040FD" w:rsidRDefault="00740D64">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74CA91F" w14:textId="77777777" w:rsidR="00E040FD" w:rsidRDefault="00740D64">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2300B0DA" w14:textId="77777777" w:rsidR="00E040FD" w:rsidRDefault="00740D64">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C8D6393"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0731EA14" w14:textId="77777777" w:rsidR="00E040FD" w:rsidRDefault="00740D64">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0EDB57E" w14:textId="77777777" w:rsidR="00E040FD" w:rsidRDefault="00740D64">
            <w:pPr>
              <w:pStyle w:val="P68B1DB1-Normal8"/>
              <w:spacing w:after="0" w:line="240" w:lineRule="auto"/>
              <w:jc w:val="both"/>
              <w:rPr>
                <w:rFonts w:eastAsia="Times New Roman" w:cs="Calibri"/>
                <w:noProof/>
              </w:rPr>
            </w:pPr>
            <w:r>
              <w:rPr>
                <w:noProof/>
              </w:rPr>
              <w:t>Tillhandahållande av det informationssystem som stöder den förenklade bedömningen av landsbygdsfastigheter som en kompletterande åtgärd till den allmänna omvärderingen av denna typ av egendom.</w:t>
            </w:r>
          </w:p>
        </w:tc>
      </w:tr>
      <w:tr w:rsidR="00E040FD" w14:paraId="4384BCD2" w14:textId="77777777">
        <w:trPr>
          <w:trHeight w:val="640"/>
        </w:trPr>
        <w:tc>
          <w:tcPr>
            <w:tcW w:w="1043" w:type="dxa"/>
            <w:gridSpan w:val="2"/>
            <w:shd w:val="clear" w:color="auto" w:fill="C4EFCE"/>
            <w:vAlign w:val="center"/>
            <w:hideMark/>
          </w:tcPr>
          <w:p w14:paraId="0D69DEF7" w14:textId="1C27A11A" w:rsidR="00E040FD" w:rsidRDefault="00740D64">
            <w:pPr>
              <w:pStyle w:val="P68B1DB1-Normal7"/>
              <w:spacing w:after="0" w:line="240" w:lineRule="auto"/>
              <w:jc w:val="center"/>
              <w:rPr>
                <w:rFonts w:eastAsia="Times New Roman" w:cs="Calibri"/>
                <w:noProof/>
              </w:rPr>
            </w:pPr>
            <w:r>
              <w:rPr>
                <w:noProof/>
              </w:rPr>
              <w:t>17.17</w:t>
            </w:r>
          </w:p>
        </w:tc>
        <w:tc>
          <w:tcPr>
            <w:tcW w:w="1161" w:type="dxa"/>
            <w:shd w:val="clear" w:color="auto" w:fill="C4EFCE"/>
            <w:noWrap/>
            <w:vAlign w:val="center"/>
            <w:hideMark/>
          </w:tcPr>
          <w:p w14:paraId="319B5557" w14:textId="77777777" w:rsidR="00E040FD" w:rsidRDefault="00740D64">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2F25B982" w14:textId="77777777" w:rsidR="00E040FD" w:rsidRDefault="00740D64">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554A6DF7" w14:textId="77777777" w:rsidR="00E040FD" w:rsidRDefault="00740D64">
            <w:pPr>
              <w:pStyle w:val="P68B1DB1-Normal8"/>
              <w:spacing w:after="0" w:line="240" w:lineRule="auto"/>
              <w:jc w:val="center"/>
              <w:rPr>
                <w:rFonts w:eastAsia="Times New Roman" w:cs="Calibri"/>
                <w:noProof/>
              </w:rPr>
            </w:pPr>
            <w:r>
              <w:rPr>
                <w:noProof/>
              </w:rPr>
              <w:t>Slutföra karakteriseringen av Edafo-klimat-morfologiska (mark och klimat) och bedömning av landsbygdens ekonomiska potential.</w:t>
            </w:r>
          </w:p>
        </w:tc>
        <w:tc>
          <w:tcPr>
            <w:tcW w:w="1356" w:type="dxa"/>
            <w:shd w:val="clear" w:color="auto" w:fill="C4EFCE"/>
            <w:noWrap/>
            <w:vAlign w:val="center"/>
            <w:hideMark/>
          </w:tcPr>
          <w:p w14:paraId="23699059" w14:textId="77777777" w:rsidR="00E040FD" w:rsidRDefault="00740D64">
            <w:pPr>
              <w:pStyle w:val="P68B1DB1-Normal9"/>
              <w:spacing w:after="0" w:line="240" w:lineRule="auto"/>
              <w:rPr>
                <w:rFonts w:eastAsia="Times New Roman" w:cs="Calibri"/>
                <w:noProof/>
              </w:rPr>
            </w:pPr>
            <w:r>
              <w:rPr>
                <w:noProof/>
              </w:rPr>
              <w:t> </w:t>
            </w:r>
          </w:p>
        </w:tc>
        <w:tc>
          <w:tcPr>
            <w:tcW w:w="909" w:type="dxa"/>
            <w:shd w:val="clear" w:color="auto" w:fill="C4EFCE"/>
            <w:noWrap/>
            <w:vAlign w:val="center"/>
            <w:hideMark/>
          </w:tcPr>
          <w:p w14:paraId="23D3643A" w14:textId="77777777" w:rsidR="00E040FD" w:rsidRDefault="00740D64">
            <w:pPr>
              <w:pStyle w:val="P68B1DB1-Normal8"/>
              <w:spacing w:after="0" w:line="240" w:lineRule="auto"/>
              <w:jc w:val="center"/>
              <w:rPr>
                <w:rFonts w:eastAsia="Times New Roman" w:cs="Calibri"/>
                <w:noProof/>
              </w:rPr>
            </w:pPr>
            <w:r>
              <w:rPr>
                <w:noProof/>
              </w:rPr>
              <w:t>%</w:t>
            </w:r>
          </w:p>
        </w:tc>
        <w:tc>
          <w:tcPr>
            <w:tcW w:w="908" w:type="dxa"/>
            <w:shd w:val="clear" w:color="auto" w:fill="C4EFCE"/>
            <w:noWrap/>
            <w:vAlign w:val="center"/>
            <w:hideMark/>
          </w:tcPr>
          <w:p w14:paraId="7FB8B9E4" w14:textId="77777777" w:rsidR="00E040FD" w:rsidRDefault="00740D64">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6CC06233" w14:textId="77777777" w:rsidR="00E040FD" w:rsidRDefault="00740D64">
            <w:pPr>
              <w:pStyle w:val="P68B1DB1-Normal8"/>
              <w:spacing w:after="0" w:line="240" w:lineRule="auto"/>
              <w:jc w:val="center"/>
              <w:rPr>
                <w:rFonts w:eastAsia="Times New Roman" w:cs="Calibri"/>
                <w:noProof/>
              </w:rPr>
            </w:pPr>
            <w:r>
              <w:rPr>
                <w:noProof/>
              </w:rPr>
              <w:t>90</w:t>
            </w:r>
          </w:p>
        </w:tc>
        <w:tc>
          <w:tcPr>
            <w:tcW w:w="530" w:type="dxa"/>
            <w:shd w:val="clear" w:color="auto" w:fill="C4EFCE"/>
            <w:noWrap/>
            <w:vAlign w:val="center"/>
            <w:hideMark/>
          </w:tcPr>
          <w:p w14:paraId="2B8440D4"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0BB7DA10" w14:textId="77777777" w:rsidR="00E040FD" w:rsidRDefault="00740D64">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7355182" w14:textId="77777777" w:rsidR="00E040FD" w:rsidRDefault="00740D64">
            <w:pPr>
              <w:pStyle w:val="P68B1DB1-Normal8"/>
              <w:spacing w:after="0" w:line="240" w:lineRule="auto"/>
              <w:jc w:val="both"/>
              <w:rPr>
                <w:rFonts w:eastAsia="Times New Roman" w:cs="Calibri"/>
                <w:noProof/>
              </w:rPr>
            </w:pPr>
            <w:r>
              <w:rPr>
                <w:noProof/>
              </w:rPr>
              <w:t>Procentandel av det portugisiska fastlandet vars edafo-klimat-morfologiska karakterisering och bedömning av den ekonomiska potentialen ska slutföras, med stöd av utvecklingen av en georefererad informationshanteringslösning.</w:t>
            </w:r>
          </w:p>
        </w:tc>
      </w:tr>
      <w:tr w:rsidR="00E040FD" w14:paraId="636011DB" w14:textId="77777777">
        <w:trPr>
          <w:trHeight w:val="1270"/>
        </w:trPr>
        <w:tc>
          <w:tcPr>
            <w:tcW w:w="1043" w:type="dxa"/>
            <w:gridSpan w:val="2"/>
            <w:shd w:val="clear" w:color="auto" w:fill="C4EFCE"/>
            <w:vAlign w:val="center"/>
            <w:hideMark/>
          </w:tcPr>
          <w:p w14:paraId="564CA0E6" w14:textId="3B2D5A91" w:rsidR="00E040FD" w:rsidRDefault="00740D64">
            <w:pPr>
              <w:pStyle w:val="P68B1DB1-Normal7"/>
              <w:spacing w:after="0" w:line="240" w:lineRule="auto"/>
              <w:jc w:val="center"/>
              <w:rPr>
                <w:rFonts w:eastAsia="Times New Roman" w:cs="Calibri"/>
                <w:noProof/>
              </w:rPr>
            </w:pPr>
            <w:r>
              <w:rPr>
                <w:noProof/>
              </w:rPr>
              <w:t>17.18</w:t>
            </w:r>
          </w:p>
        </w:tc>
        <w:tc>
          <w:tcPr>
            <w:tcW w:w="1161" w:type="dxa"/>
            <w:shd w:val="clear" w:color="auto" w:fill="C4EFCE"/>
            <w:noWrap/>
            <w:vAlign w:val="center"/>
            <w:hideMark/>
          </w:tcPr>
          <w:p w14:paraId="54C584E0" w14:textId="77777777" w:rsidR="00E040FD" w:rsidRDefault="00740D64">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38875FBD" w14:textId="77777777" w:rsidR="00E040FD" w:rsidRDefault="00740D64">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3C70B1BF" w14:textId="77777777" w:rsidR="00E040FD" w:rsidRDefault="00740D64">
            <w:pPr>
              <w:pStyle w:val="P68B1DB1-Normal8"/>
              <w:spacing w:after="0" w:line="240" w:lineRule="auto"/>
              <w:jc w:val="center"/>
              <w:rPr>
                <w:rFonts w:eastAsia="Times New Roman" w:cs="Calibri"/>
                <w:noProof/>
              </w:rPr>
            </w:pPr>
            <w:r>
              <w:rPr>
                <w:noProof/>
              </w:rPr>
              <w:t xml:space="preserve">Utbyggnad av funktionerna på webbplatsen </w:t>
            </w:r>
            <w:r>
              <w:rPr>
                <w:i/>
                <w:noProof/>
              </w:rPr>
              <w:t>Segurança Social Direta</w:t>
            </w:r>
            <w:r>
              <w:rPr>
                <w:noProof/>
              </w:rPr>
              <w:t xml:space="preserve"> genom att lägga till fem nya onlinetjänster</w:t>
            </w:r>
          </w:p>
        </w:tc>
        <w:tc>
          <w:tcPr>
            <w:tcW w:w="1356" w:type="dxa"/>
            <w:shd w:val="clear" w:color="auto" w:fill="C4EFCE"/>
            <w:noWrap/>
            <w:vAlign w:val="center"/>
            <w:hideMark/>
          </w:tcPr>
          <w:p w14:paraId="4A5FCF4B" w14:textId="77777777" w:rsidR="00E040FD" w:rsidRDefault="00740D64">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58A04118" w14:textId="77777777" w:rsidR="00E040FD" w:rsidRDefault="00740D64">
            <w:pPr>
              <w:pStyle w:val="P68B1DB1-Normal8"/>
              <w:spacing w:after="0" w:line="240" w:lineRule="auto"/>
              <w:jc w:val="center"/>
              <w:rPr>
                <w:rFonts w:eastAsia="Times New Roman" w:cs="Calibri"/>
                <w:noProof/>
              </w:rPr>
            </w:pPr>
            <w:r>
              <w:rPr>
                <w:noProof/>
              </w:rPr>
              <w:t>Antal</w:t>
            </w:r>
          </w:p>
        </w:tc>
        <w:tc>
          <w:tcPr>
            <w:tcW w:w="908" w:type="dxa"/>
            <w:shd w:val="clear" w:color="auto" w:fill="C4EFCE"/>
            <w:noWrap/>
            <w:vAlign w:val="center"/>
            <w:hideMark/>
          </w:tcPr>
          <w:p w14:paraId="16EE0F30" w14:textId="77777777" w:rsidR="00E040FD" w:rsidRDefault="00740D64">
            <w:pPr>
              <w:pStyle w:val="P68B1DB1-Normal8"/>
              <w:spacing w:after="0" w:line="240" w:lineRule="auto"/>
              <w:jc w:val="center"/>
              <w:rPr>
                <w:rFonts w:eastAsia="Times New Roman" w:cs="Calibri"/>
                <w:noProof/>
              </w:rPr>
            </w:pPr>
            <w:r>
              <w:rPr>
                <w:noProof/>
              </w:rPr>
              <w:t>3</w:t>
            </w:r>
          </w:p>
        </w:tc>
        <w:tc>
          <w:tcPr>
            <w:tcW w:w="657" w:type="dxa"/>
            <w:shd w:val="clear" w:color="auto" w:fill="C4EFCE"/>
            <w:noWrap/>
            <w:vAlign w:val="center"/>
            <w:hideMark/>
          </w:tcPr>
          <w:p w14:paraId="45C95345" w14:textId="77777777" w:rsidR="00E040FD" w:rsidRDefault="00740D64">
            <w:pPr>
              <w:pStyle w:val="P68B1DB1-Normal8"/>
              <w:spacing w:after="0" w:line="240" w:lineRule="auto"/>
              <w:jc w:val="center"/>
              <w:rPr>
                <w:rFonts w:eastAsia="Times New Roman" w:cs="Calibri"/>
                <w:noProof/>
              </w:rPr>
            </w:pPr>
            <w:r>
              <w:rPr>
                <w:noProof/>
              </w:rPr>
              <w:t>8</w:t>
            </w:r>
          </w:p>
        </w:tc>
        <w:tc>
          <w:tcPr>
            <w:tcW w:w="530" w:type="dxa"/>
            <w:shd w:val="clear" w:color="auto" w:fill="C4EFCE"/>
            <w:noWrap/>
            <w:vAlign w:val="center"/>
            <w:hideMark/>
          </w:tcPr>
          <w:p w14:paraId="578C45B2"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3B5AB061" w14:textId="77777777" w:rsidR="00E040FD" w:rsidRDefault="00740D64">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12D569A" w14:textId="0C5219B1" w:rsidR="00E040FD" w:rsidRDefault="00740D64">
            <w:pPr>
              <w:pStyle w:val="P68B1DB1-Normal8"/>
              <w:spacing w:after="0" w:line="240" w:lineRule="auto"/>
              <w:jc w:val="both"/>
              <w:rPr>
                <w:rFonts w:eastAsia="Times New Roman" w:cs="Calibri"/>
                <w:noProof/>
              </w:rPr>
            </w:pPr>
            <w:r>
              <w:rPr>
                <w:noProof/>
              </w:rPr>
              <w:t xml:space="preserve">Antal nya onlinetjänster som lagts till </w:t>
            </w:r>
            <w:r>
              <w:rPr>
                <w:i/>
                <w:noProof/>
              </w:rPr>
              <w:t>Segurança Social Diretas webbplats</w:t>
            </w:r>
            <w:r>
              <w:rPr>
                <w:noProof/>
              </w:rPr>
              <w:t xml:space="preserve"> för att utvidga dess funktioner, nämligen i) Informationssystem för tekniskt bistånd till domstolar – förmyndarskapsförfaranden och förfaranden för främjande och skydd. II) Tilläggsförmåner – anmälan av arbetslöshetsstatus. </w:t>
            </w:r>
            <w:r>
              <w:rPr>
                <w:i/>
                <w:noProof/>
              </w:rPr>
              <w:t>familjeförmåner – omprövning</w:t>
            </w:r>
            <w:r>
              <w:rPr>
                <w:noProof/>
              </w:rPr>
              <w:t xml:space="preserve">. IV) bidrag på grund av avbrytande av verksamheten. och v) efterlevandepension. Målet är att öka </w:t>
            </w:r>
            <w:r>
              <w:rPr>
                <w:i/>
                <w:noProof/>
              </w:rPr>
              <w:t>Segurança Social Diretas relativa vikt i alla</w:t>
            </w:r>
            <w:r>
              <w:rPr>
                <w:noProof/>
              </w:rPr>
              <w:t xml:space="preserve"> kommunikationskanaler med social trygghet, mot bakgrund av införandet av 360-graders-planen.</w:t>
            </w:r>
          </w:p>
        </w:tc>
      </w:tr>
      <w:tr w:rsidR="00E040FD" w14:paraId="67757C18" w14:textId="77777777">
        <w:trPr>
          <w:trHeight w:val="850"/>
        </w:trPr>
        <w:tc>
          <w:tcPr>
            <w:tcW w:w="1043" w:type="dxa"/>
            <w:gridSpan w:val="2"/>
            <w:shd w:val="clear" w:color="auto" w:fill="C4EFCE"/>
            <w:vAlign w:val="center"/>
            <w:hideMark/>
          </w:tcPr>
          <w:p w14:paraId="7799FC6F" w14:textId="77E3C44D" w:rsidR="00E040FD" w:rsidRDefault="00740D64">
            <w:pPr>
              <w:pStyle w:val="P68B1DB1-Normal7"/>
              <w:spacing w:after="0" w:line="240" w:lineRule="auto"/>
              <w:jc w:val="center"/>
              <w:rPr>
                <w:rFonts w:eastAsia="Times New Roman" w:cs="Calibri"/>
                <w:noProof/>
              </w:rPr>
            </w:pPr>
            <w:r>
              <w:rPr>
                <w:noProof/>
              </w:rPr>
              <w:t>17.19</w:t>
            </w:r>
          </w:p>
        </w:tc>
        <w:tc>
          <w:tcPr>
            <w:tcW w:w="1161" w:type="dxa"/>
            <w:shd w:val="clear" w:color="auto" w:fill="C4EFCE"/>
            <w:noWrap/>
            <w:vAlign w:val="center"/>
            <w:hideMark/>
          </w:tcPr>
          <w:p w14:paraId="69763485" w14:textId="77777777" w:rsidR="00E040FD" w:rsidRDefault="00740D64">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76C9B871" w14:textId="77777777" w:rsidR="00E040FD" w:rsidRDefault="00740D64">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33B5B6FF" w14:textId="77777777" w:rsidR="00E040FD" w:rsidRDefault="00740D64">
            <w:pPr>
              <w:pStyle w:val="P68B1DB1-Normal8"/>
              <w:spacing w:after="0" w:line="240" w:lineRule="auto"/>
              <w:jc w:val="center"/>
              <w:rPr>
                <w:rFonts w:eastAsia="Times New Roman" w:cs="Calibri"/>
                <w:noProof/>
              </w:rPr>
            </w:pPr>
            <w:r>
              <w:rPr>
                <w:noProof/>
              </w:rPr>
              <w:t>Minskning med 80 % av det genomsnittliga antalet dagar som det tar att bevilja avgiftsfinansierade sociala förmåner för dem som har en genomsnittlig handläggningstid på mer än 10 dagar.</w:t>
            </w:r>
          </w:p>
        </w:tc>
        <w:tc>
          <w:tcPr>
            <w:tcW w:w="1356" w:type="dxa"/>
            <w:shd w:val="clear" w:color="auto" w:fill="C4EFCE"/>
            <w:noWrap/>
            <w:vAlign w:val="center"/>
            <w:hideMark/>
          </w:tcPr>
          <w:p w14:paraId="5D3A167F" w14:textId="77777777" w:rsidR="00E040FD" w:rsidRDefault="00740D64">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187DF961" w14:textId="77777777" w:rsidR="00E040FD" w:rsidRDefault="00740D64">
            <w:pPr>
              <w:pStyle w:val="P68B1DB1-Normal8"/>
              <w:spacing w:after="0" w:line="240" w:lineRule="auto"/>
              <w:jc w:val="center"/>
              <w:rPr>
                <w:rFonts w:eastAsia="Times New Roman" w:cs="Calibri"/>
                <w:noProof/>
              </w:rPr>
            </w:pPr>
            <w:r>
              <w:rPr>
                <w:noProof/>
              </w:rPr>
              <w:t>Antal</w:t>
            </w:r>
          </w:p>
        </w:tc>
        <w:tc>
          <w:tcPr>
            <w:tcW w:w="908" w:type="dxa"/>
            <w:shd w:val="clear" w:color="auto" w:fill="C4EFCE"/>
            <w:noWrap/>
            <w:vAlign w:val="center"/>
            <w:hideMark/>
          </w:tcPr>
          <w:p w14:paraId="33D4BFA7" w14:textId="77777777" w:rsidR="00E040FD" w:rsidRDefault="00740D64">
            <w:pPr>
              <w:pStyle w:val="P68B1DB1-Normal8"/>
              <w:spacing w:after="0" w:line="240" w:lineRule="auto"/>
              <w:jc w:val="center"/>
              <w:rPr>
                <w:rFonts w:eastAsia="Times New Roman" w:cs="Calibri"/>
                <w:noProof/>
              </w:rPr>
            </w:pPr>
            <w:r>
              <w:rPr>
                <w:noProof/>
              </w:rPr>
              <w:t>109</w:t>
            </w:r>
          </w:p>
        </w:tc>
        <w:tc>
          <w:tcPr>
            <w:tcW w:w="657" w:type="dxa"/>
            <w:shd w:val="clear" w:color="auto" w:fill="C4EFCE"/>
            <w:noWrap/>
            <w:vAlign w:val="center"/>
            <w:hideMark/>
          </w:tcPr>
          <w:p w14:paraId="03C9331A" w14:textId="77777777" w:rsidR="00E040FD" w:rsidRDefault="00740D64">
            <w:pPr>
              <w:pStyle w:val="P68B1DB1-Normal8"/>
              <w:spacing w:after="0" w:line="240" w:lineRule="auto"/>
              <w:jc w:val="center"/>
              <w:rPr>
                <w:rFonts w:eastAsia="Times New Roman" w:cs="Calibri"/>
                <w:noProof/>
              </w:rPr>
            </w:pPr>
            <w:r>
              <w:rPr>
                <w:noProof/>
              </w:rPr>
              <w:t>22</w:t>
            </w:r>
          </w:p>
        </w:tc>
        <w:tc>
          <w:tcPr>
            <w:tcW w:w="530" w:type="dxa"/>
            <w:shd w:val="clear" w:color="auto" w:fill="C4EFCE"/>
            <w:noWrap/>
            <w:vAlign w:val="center"/>
            <w:hideMark/>
          </w:tcPr>
          <w:p w14:paraId="58BA2038"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7772F1E3" w14:textId="77777777" w:rsidR="00E040FD" w:rsidRDefault="00740D64">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0FB680BD" w14:textId="77777777" w:rsidR="00E040FD" w:rsidRDefault="00740D64">
            <w:pPr>
              <w:pStyle w:val="P68B1DB1-Normal8"/>
              <w:spacing w:after="0" w:line="240" w:lineRule="auto"/>
              <w:jc w:val="both"/>
              <w:rPr>
                <w:rFonts w:eastAsia="Times New Roman" w:cs="Calibri"/>
                <w:noProof/>
              </w:rPr>
            </w:pPr>
            <w:r>
              <w:rPr>
                <w:noProof/>
              </w:rPr>
              <w:t xml:space="preserve">Minskning med 80 % av det genomsnittliga antalet dagar som det tar att bevilja avgiftsfinansierade sociala förmåner för dem som har en genomsnittlig handläggningstid på mer än 10 dagar, till följd av de förbättringar som genomförts </w:t>
            </w:r>
            <w:r>
              <w:rPr>
                <w:i/>
                <w:noProof/>
              </w:rPr>
              <w:t>på webbplatsen Segurança Social</w:t>
            </w:r>
            <w:r>
              <w:rPr>
                <w:noProof/>
              </w:rPr>
              <w:t xml:space="preserve"> Direta (avseende ålderspension för pensionärer med avgiftsfinansierad yrkesverksamhet endast i Portugal).</w:t>
            </w:r>
          </w:p>
        </w:tc>
      </w:tr>
      <w:tr w:rsidR="00E040FD" w14:paraId="4C7418F3" w14:textId="77777777">
        <w:trPr>
          <w:gridBefore w:val="1"/>
          <w:wBefore w:w="7" w:type="dxa"/>
          <w:trHeight w:val="1480"/>
        </w:trPr>
        <w:tc>
          <w:tcPr>
            <w:tcW w:w="1036" w:type="dxa"/>
            <w:shd w:val="clear" w:color="auto" w:fill="C4EFCE"/>
            <w:vAlign w:val="center"/>
            <w:hideMark/>
          </w:tcPr>
          <w:p w14:paraId="21268FB8" w14:textId="1D9AEF2B" w:rsidR="00E040FD" w:rsidRDefault="00740D64">
            <w:pPr>
              <w:pStyle w:val="P68B1DB1-Normal7"/>
              <w:spacing w:after="0" w:line="240" w:lineRule="auto"/>
              <w:jc w:val="center"/>
              <w:rPr>
                <w:rFonts w:eastAsia="Times New Roman" w:cs="Calibri"/>
                <w:noProof/>
              </w:rPr>
            </w:pPr>
            <w:r>
              <w:rPr>
                <w:noProof/>
              </w:rPr>
              <w:t>17.20</w:t>
            </w:r>
          </w:p>
        </w:tc>
        <w:tc>
          <w:tcPr>
            <w:tcW w:w="1161" w:type="dxa"/>
            <w:shd w:val="clear" w:color="auto" w:fill="C4EFCE"/>
            <w:noWrap/>
            <w:vAlign w:val="center"/>
            <w:hideMark/>
          </w:tcPr>
          <w:p w14:paraId="5F644801" w14:textId="77777777" w:rsidR="00E040FD" w:rsidRDefault="00740D64">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252B371D" w14:textId="77777777" w:rsidR="00E040FD" w:rsidRDefault="00740D64">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05EE2AD5" w14:textId="77777777" w:rsidR="00E040FD" w:rsidRDefault="00740D64">
            <w:pPr>
              <w:pStyle w:val="P68B1DB1-Normal8"/>
              <w:spacing w:after="0" w:line="240" w:lineRule="auto"/>
              <w:jc w:val="center"/>
              <w:rPr>
                <w:rFonts w:eastAsia="Times New Roman" w:cs="Calibri"/>
                <w:noProof/>
              </w:rPr>
            </w:pPr>
            <w:r>
              <w:rPr>
                <w:noProof/>
              </w:rPr>
              <w:t>Genomförande av intelligenta övervakningsmodeller för att stödja förebyggande av bedrägerier, på grundval av maskininlärningsprocesser</w:t>
            </w:r>
          </w:p>
        </w:tc>
        <w:tc>
          <w:tcPr>
            <w:tcW w:w="1356" w:type="dxa"/>
            <w:shd w:val="clear" w:color="auto" w:fill="C4EFCE"/>
            <w:noWrap/>
            <w:vAlign w:val="center"/>
            <w:hideMark/>
          </w:tcPr>
          <w:p w14:paraId="1CEDD1F2" w14:textId="77777777" w:rsidR="00E040FD" w:rsidRDefault="00740D64">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6A9BFCF7" w14:textId="77777777" w:rsidR="00E040FD" w:rsidRDefault="00740D64">
            <w:pPr>
              <w:pStyle w:val="P68B1DB1-Normal8"/>
              <w:spacing w:after="0" w:line="240" w:lineRule="auto"/>
              <w:jc w:val="center"/>
              <w:rPr>
                <w:rFonts w:eastAsia="Times New Roman" w:cs="Calibri"/>
                <w:noProof/>
              </w:rPr>
            </w:pPr>
            <w:r>
              <w:rPr>
                <w:noProof/>
              </w:rPr>
              <w:t>Antal</w:t>
            </w:r>
          </w:p>
        </w:tc>
        <w:tc>
          <w:tcPr>
            <w:tcW w:w="908" w:type="dxa"/>
            <w:shd w:val="clear" w:color="auto" w:fill="C4EFCE"/>
            <w:noWrap/>
            <w:vAlign w:val="center"/>
            <w:hideMark/>
          </w:tcPr>
          <w:p w14:paraId="7D447794" w14:textId="77777777" w:rsidR="00E040FD" w:rsidRDefault="00740D64">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46AC5F87" w14:textId="77777777" w:rsidR="00E040FD" w:rsidRDefault="00740D64">
            <w:pPr>
              <w:pStyle w:val="P68B1DB1-Normal8"/>
              <w:spacing w:after="0" w:line="240" w:lineRule="auto"/>
              <w:jc w:val="center"/>
              <w:rPr>
                <w:rFonts w:eastAsia="Times New Roman" w:cs="Calibri"/>
                <w:noProof/>
              </w:rPr>
            </w:pPr>
            <w:r>
              <w:rPr>
                <w:noProof/>
              </w:rPr>
              <w:t>2</w:t>
            </w:r>
          </w:p>
        </w:tc>
        <w:tc>
          <w:tcPr>
            <w:tcW w:w="530" w:type="dxa"/>
            <w:shd w:val="clear" w:color="auto" w:fill="C4EFCE"/>
            <w:noWrap/>
            <w:vAlign w:val="center"/>
            <w:hideMark/>
          </w:tcPr>
          <w:p w14:paraId="5DD99422" w14:textId="77777777" w:rsidR="00E040FD" w:rsidRDefault="00740D64">
            <w:pPr>
              <w:pStyle w:val="P68B1DB1-Normal8"/>
              <w:spacing w:after="0" w:line="240" w:lineRule="auto"/>
              <w:jc w:val="center"/>
              <w:rPr>
                <w:rFonts w:eastAsia="Times New Roman" w:cs="Calibri"/>
                <w:noProof/>
              </w:rPr>
            </w:pPr>
            <w:r>
              <w:rPr>
                <w:noProof/>
              </w:rPr>
              <w:t>KVARTAL 4</w:t>
            </w:r>
          </w:p>
        </w:tc>
        <w:tc>
          <w:tcPr>
            <w:tcW w:w="656" w:type="dxa"/>
            <w:shd w:val="clear" w:color="auto" w:fill="C4EFCE"/>
            <w:noWrap/>
            <w:vAlign w:val="center"/>
            <w:hideMark/>
          </w:tcPr>
          <w:p w14:paraId="7F14D13C" w14:textId="77777777" w:rsidR="00E040FD" w:rsidRDefault="00740D64">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5CABF8C9" w14:textId="77777777" w:rsidR="00E040FD" w:rsidRDefault="00740D64">
            <w:pPr>
              <w:pStyle w:val="P68B1DB1-Normal8"/>
              <w:spacing w:after="0" w:line="240" w:lineRule="auto"/>
              <w:jc w:val="both"/>
              <w:rPr>
                <w:rFonts w:eastAsia="Times New Roman" w:cs="Calibri"/>
                <w:noProof/>
              </w:rPr>
            </w:pPr>
            <w:r>
              <w:rPr>
                <w:noProof/>
              </w:rPr>
              <w:t>Två intelligenta övervakningsmodeller, som använder maskininlärningsprocesser, ska levereras och tas i drift. De två modeller som ska skapas och genomföras ska vara följande: en prediktiv modell som kan flagga enheter som ska inspekteras på grundval av resultaten av lärandealgoritmer, med hjälp av historiska data från delsystemet för övervakningsinformation i informationssystemet för social trygghet, i syfte att utföra mer riktade övervakningsåtgärder, med mindre operativa insatser och mer självsäkra resultat, öka övervakningssystemets ändamålsenlighet och effektivitet och dra nytta av andra informationskällor. II) en modell för riskindex för förmånstagare av sociala förmåner.</w:t>
            </w:r>
          </w:p>
        </w:tc>
      </w:tr>
      <w:tr w:rsidR="00E040FD" w14:paraId="69E96EC0" w14:textId="77777777">
        <w:trPr>
          <w:gridBefore w:val="1"/>
          <w:wBefore w:w="7" w:type="dxa"/>
          <w:trHeight w:val="1480"/>
        </w:trPr>
        <w:tc>
          <w:tcPr>
            <w:tcW w:w="1036" w:type="dxa"/>
            <w:shd w:val="clear" w:color="auto" w:fill="C4EFCE"/>
            <w:vAlign w:val="center"/>
          </w:tcPr>
          <w:p w14:paraId="01D7CF90" w14:textId="67468CFC" w:rsidR="00E040FD" w:rsidRDefault="00740D64">
            <w:pPr>
              <w:pStyle w:val="P68B1DB1-Normal11"/>
              <w:spacing w:after="0" w:line="240" w:lineRule="auto"/>
              <w:jc w:val="center"/>
              <w:rPr>
                <w:rFonts w:eastAsia="Times New Roman"/>
                <w:noProof/>
              </w:rPr>
            </w:pPr>
            <w:r>
              <w:rPr>
                <w:noProof/>
              </w:rPr>
              <w:t>17.22</w:t>
            </w:r>
          </w:p>
        </w:tc>
        <w:tc>
          <w:tcPr>
            <w:tcW w:w="1161" w:type="dxa"/>
            <w:shd w:val="clear" w:color="auto" w:fill="C4EFCE"/>
            <w:noWrap/>
            <w:vAlign w:val="center"/>
          </w:tcPr>
          <w:p w14:paraId="4F426F40" w14:textId="196A5CF9" w:rsidR="00E040FD" w:rsidRDefault="00740D64">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42B2BCF9" w14:textId="55495B11" w:rsidR="00E040FD" w:rsidRDefault="00740D64">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5E087B51" w14:textId="7A377310" w:rsidR="00E040FD" w:rsidRDefault="00740D64">
            <w:pPr>
              <w:pStyle w:val="P68B1DB1-Normal12"/>
              <w:spacing w:after="0" w:line="240" w:lineRule="auto"/>
              <w:jc w:val="center"/>
              <w:rPr>
                <w:rFonts w:eastAsia="Times New Roman" w:cstheme="minorHAnsi"/>
                <w:noProof/>
              </w:rPr>
            </w:pPr>
            <w:r>
              <w:rPr>
                <w:noProof/>
              </w:rPr>
              <w:t>Ikraftträdande av en rättsakt som ändrar den rättsliga ramen för utvalda skatteförmåner</w:t>
            </w:r>
          </w:p>
        </w:tc>
        <w:tc>
          <w:tcPr>
            <w:tcW w:w="1356" w:type="dxa"/>
            <w:shd w:val="clear" w:color="auto" w:fill="C4EFCE"/>
            <w:noWrap/>
            <w:vAlign w:val="center"/>
          </w:tcPr>
          <w:p w14:paraId="066FAA9F" w14:textId="6052F03F" w:rsidR="00E040FD" w:rsidRDefault="00740D64">
            <w:pPr>
              <w:pStyle w:val="P68B1DB1-Normal12"/>
              <w:spacing w:after="0" w:line="240" w:lineRule="auto"/>
              <w:jc w:val="center"/>
              <w:rPr>
                <w:rFonts w:eastAsia="Times New Roman" w:cstheme="minorHAnsi"/>
                <w:noProof/>
              </w:rPr>
            </w:pPr>
            <w:r>
              <w:rPr>
                <w:noProof/>
              </w:rPr>
              <w:t xml:space="preserve">Bestämmelse i rättsakten som anger rättsaktens ikraftträdande </w:t>
            </w:r>
          </w:p>
        </w:tc>
        <w:tc>
          <w:tcPr>
            <w:tcW w:w="909" w:type="dxa"/>
            <w:shd w:val="clear" w:color="auto" w:fill="C4EFCE"/>
            <w:noWrap/>
            <w:vAlign w:val="center"/>
          </w:tcPr>
          <w:p w14:paraId="04F14139" w14:textId="77777777" w:rsidR="00E040FD" w:rsidRDefault="00E040FD">
            <w:pPr>
              <w:spacing w:after="0" w:line="240" w:lineRule="auto"/>
              <w:jc w:val="center"/>
              <w:rPr>
                <w:rFonts w:eastAsia="Times New Roman" w:cstheme="minorHAnsi"/>
                <w:noProof/>
                <w:sz w:val="16"/>
              </w:rPr>
            </w:pPr>
          </w:p>
        </w:tc>
        <w:tc>
          <w:tcPr>
            <w:tcW w:w="908" w:type="dxa"/>
            <w:shd w:val="clear" w:color="auto" w:fill="C4EFCE"/>
            <w:noWrap/>
            <w:vAlign w:val="center"/>
          </w:tcPr>
          <w:p w14:paraId="365FE8AC" w14:textId="77777777" w:rsidR="00E040FD" w:rsidRDefault="00E040FD">
            <w:pPr>
              <w:spacing w:after="0" w:line="240" w:lineRule="auto"/>
              <w:jc w:val="center"/>
              <w:rPr>
                <w:rFonts w:eastAsia="Times New Roman" w:cstheme="minorHAnsi"/>
                <w:noProof/>
                <w:sz w:val="16"/>
              </w:rPr>
            </w:pPr>
          </w:p>
        </w:tc>
        <w:tc>
          <w:tcPr>
            <w:tcW w:w="657" w:type="dxa"/>
            <w:shd w:val="clear" w:color="auto" w:fill="C4EFCE"/>
            <w:noWrap/>
            <w:vAlign w:val="center"/>
          </w:tcPr>
          <w:p w14:paraId="186DD478" w14:textId="77777777" w:rsidR="00E040FD" w:rsidRDefault="00E040FD">
            <w:pPr>
              <w:spacing w:after="0" w:line="240" w:lineRule="auto"/>
              <w:jc w:val="center"/>
              <w:rPr>
                <w:rFonts w:eastAsia="Times New Roman" w:cstheme="minorHAnsi"/>
                <w:noProof/>
                <w:sz w:val="16"/>
              </w:rPr>
            </w:pPr>
          </w:p>
        </w:tc>
        <w:tc>
          <w:tcPr>
            <w:tcW w:w="530" w:type="dxa"/>
            <w:shd w:val="clear" w:color="auto" w:fill="C4EFCE"/>
            <w:noWrap/>
            <w:vAlign w:val="center"/>
          </w:tcPr>
          <w:p w14:paraId="487CCC18" w14:textId="5AA3F23D" w:rsidR="00E040FD" w:rsidRDefault="00740D64">
            <w:pPr>
              <w:pStyle w:val="P68B1DB1-Normal12"/>
              <w:spacing w:after="0" w:line="240" w:lineRule="auto"/>
              <w:jc w:val="center"/>
              <w:rPr>
                <w:rFonts w:eastAsia="Times New Roman"/>
                <w:noProof/>
              </w:rPr>
            </w:pPr>
            <w:r>
              <w:rPr>
                <w:noProof/>
              </w:rPr>
              <w:t>KVARTAL 2</w:t>
            </w:r>
          </w:p>
        </w:tc>
        <w:tc>
          <w:tcPr>
            <w:tcW w:w="656" w:type="dxa"/>
            <w:shd w:val="clear" w:color="auto" w:fill="C4EFCE"/>
            <w:noWrap/>
            <w:vAlign w:val="center"/>
          </w:tcPr>
          <w:p w14:paraId="76AEA003" w14:textId="7985F81C" w:rsidR="00E040FD" w:rsidRDefault="00740D64">
            <w:pPr>
              <w:pStyle w:val="P68B1DB1-Normal12"/>
              <w:spacing w:after="0" w:line="240" w:lineRule="auto"/>
              <w:jc w:val="center"/>
              <w:rPr>
                <w:rFonts w:eastAsia="Times New Roman" w:cstheme="minorHAnsi"/>
                <w:noProof/>
              </w:rPr>
            </w:pPr>
            <w:r>
              <w:rPr>
                <w:noProof/>
              </w:rPr>
              <w:t>2023</w:t>
            </w:r>
          </w:p>
        </w:tc>
        <w:tc>
          <w:tcPr>
            <w:tcW w:w="5456" w:type="dxa"/>
            <w:shd w:val="clear" w:color="auto" w:fill="C4EFCE"/>
            <w:noWrap/>
            <w:vAlign w:val="center"/>
          </w:tcPr>
          <w:p w14:paraId="243D977D" w14:textId="31C1F2BF" w:rsidR="00E040FD" w:rsidRDefault="00740D64">
            <w:pPr>
              <w:pStyle w:val="P68B1DB1-Normal12"/>
              <w:spacing w:after="0" w:line="240" w:lineRule="auto"/>
              <w:jc w:val="both"/>
              <w:rPr>
                <w:rFonts w:eastAsia="Times New Roman" w:cstheme="minorHAnsi"/>
                <w:noProof/>
              </w:rPr>
            </w:pPr>
            <w:r>
              <w:rPr>
                <w:noProof/>
              </w:rPr>
              <w:t xml:space="preserve">Ikraftträdande av en rättsakt som ska avskaffa eller utvidga en riktad uppsättning skatteförmåner. Rättsakten ska omfatta skatteförmåner som löper ut året efter ikraftträdandet, som inte längre är anpassade till det ursprungliga allmänpolitiska målet eller har ett litet antal stödmottagare och som kan vara skadliga för miljön. </w:t>
            </w:r>
          </w:p>
        </w:tc>
      </w:tr>
      <w:tr w:rsidR="00E040FD" w14:paraId="7D159597" w14:textId="77777777">
        <w:trPr>
          <w:gridBefore w:val="1"/>
          <w:wBefore w:w="7" w:type="dxa"/>
          <w:trHeight w:val="1480"/>
        </w:trPr>
        <w:tc>
          <w:tcPr>
            <w:tcW w:w="1036" w:type="dxa"/>
            <w:shd w:val="clear" w:color="auto" w:fill="C4EFCE"/>
            <w:vAlign w:val="center"/>
          </w:tcPr>
          <w:p w14:paraId="4663EF1C" w14:textId="69D49F94" w:rsidR="00E040FD" w:rsidRDefault="00740D64">
            <w:pPr>
              <w:pStyle w:val="P68B1DB1-Normal11"/>
              <w:spacing w:after="0" w:line="240" w:lineRule="auto"/>
              <w:jc w:val="center"/>
              <w:rPr>
                <w:rFonts w:eastAsia="Times New Roman"/>
                <w:noProof/>
              </w:rPr>
            </w:pPr>
            <w:r>
              <w:rPr>
                <w:noProof/>
              </w:rPr>
              <w:t>17.23</w:t>
            </w:r>
          </w:p>
        </w:tc>
        <w:tc>
          <w:tcPr>
            <w:tcW w:w="1161" w:type="dxa"/>
            <w:shd w:val="clear" w:color="auto" w:fill="C4EFCE"/>
            <w:noWrap/>
            <w:vAlign w:val="center"/>
          </w:tcPr>
          <w:p w14:paraId="02D8E2E9" w14:textId="15919057" w:rsidR="00E040FD" w:rsidRDefault="00740D64">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5585C109" w14:textId="6D8FEF48" w:rsidR="00E040FD" w:rsidRDefault="00740D64">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074B5F8D" w14:textId="45DB9125" w:rsidR="00E040FD" w:rsidRDefault="00740D64">
            <w:pPr>
              <w:pStyle w:val="P68B1DB1-Normal12"/>
              <w:spacing w:after="0" w:line="240" w:lineRule="auto"/>
              <w:jc w:val="center"/>
              <w:rPr>
                <w:rFonts w:eastAsia="Times New Roman" w:cstheme="minorHAnsi"/>
                <w:noProof/>
              </w:rPr>
            </w:pPr>
            <w:r>
              <w:rPr>
                <w:noProof/>
              </w:rPr>
              <w:t xml:space="preserve">Ikraftträdande av rättsakten om inrättande av den permanenta enheten för teknisk skattepolitik </w:t>
            </w:r>
            <w:r>
              <w:rPr>
                <w:i/>
                <w:noProof/>
              </w:rPr>
              <w:t>Unidade Técnica de Avaliação Tributária e Aduaneira</w:t>
            </w:r>
            <w:r>
              <w:rPr>
                <w:noProof/>
              </w:rPr>
              <w:t xml:space="preserve"> (U-TAX)</w:t>
            </w:r>
          </w:p>
        </w:tc>
        <w:tc>
          <w:tcPr>
            <w:tcW w:w="1356" w:type="dxa"/>
            <w:shd w:val="clear" w:color="auto" w:fill="C4EFCE"/>
            <w:noWrap/>
            <w:vAlign w:val="center"/>
          </w:tcPr>
          <w:p w14:paraId="719D5034" w14:textId="1C010633" w:rsidR="00E040FD" w:rsidRDefault="00740D64">
            <w:pPr>
              <w:pStyle w:val="P68B1DB1-Normal12"/>
              <w:spacing w:after="0" w:line="240" w:lineRule="auto"/>
              <w:jc w:val="center"/>
              <w:rPr>
                <w:rFonts w:eastAsia="Times New Roman" w:cstheme="minorHAnsi"/>
                <w:noProof/>
              </w:rPr>
            </w:pPr>
            <w:r>
              <w:rPr>
                <w:noProof/>
              </w:rPr>
              <w:t>Bestämmelse i rättsakten som anger rättsaktens ikraftträdande</w:t>
            </w:r>
          </w:p>
        </w:tc>
        <w:tc>
          <w:tcPr>
            <w:tcW w:w="909" w:type="dxa"/>
            <w:shd w:val="clear" w:color="auto" w:fill="C4EFCE"/>
            <w:noWrap/>
            <w:vAlign w:val="center"/>
          </w:tcPr>
          <w:p w14:paraId="3B1ACCA2" w14:textId="77777777" w:rsidR="00E040FD" w:rsidRDefault="00E040FD">
            <w:pPr>
              <w:spacing w:after="0" w:line="240" w:lineRule="auto"/>
              <w:jc w:val="center"/>
              <w:rPr>
                <w:rFonts w:eastAsia="Times New Roman" w:cstheme="minorHAnsi"/>
                <w:noProof/>
                <w:sz w:val="16"/>
              </w:rPr>
            </w:pPr>
          </w:p>
        </w:tc>
        <w:tc>
          <w:tcPr>
            <w:tcW w:w="908" w:type="dxa"/>
            <w:shd w:val="clear" w:color="auto" w:fill="C4EFCE"/>
            <w:noWrap/>
            <w:vAlign w:val="center"/>
          </w:tcPr>
          <w:p w14:paraId="0E293281" w14:textId="77777777" w:rsidR="00E040FD" w:rsidRDefault="00E040FD">
            <w:pPr>
              <w:spacing w:after="0" w:line="240" w:lineRule="auto"/>
              <w:jc w:val="center"/>
              <w:rPr>
                <w:rFonts w:eastAsia="Times New Roman" w:cstheme="minorHAnsi"/>
                <w:noProof/>
                <w:sz w:val="16"/>
              </w:rPr>
            </w:pPr>
          </w:p>
        </w:tc>
        <w:tc>
          <w:tcPr>
            <w:tcW w:w="657" w:type="dxa"/>
            <w:shd w:val="clear" w:color="auto" w:fill="C4EFCE"/>
            <w:noWrap/>
            <w:vAlign w:val="center"/>
          </w:tcPr>
          <w:p w14:paraId="5D83358F" w14:textId="77777777" w:rsidR="00E040FD" w:rsidRDefault="00E040FD">
            <w:pPr>
              <w:spacing w:after="0" w:line="240" w:lineRule="auto"/>
              <w:jc w:val="center"/>
              <w:rPr>
                <w:rFonts w:eastAsia="Times New Roman" w:cstheme="minorHAnsi"/>
                <w:noProof/>
                <w:sz w:val="16"/>
              </w:rPr>
            </w:pPr>
          </w:p>
        </w:tc>
        <w:tc>
          <w:tcPr>
            <w:tcW w:w="530" w:type="dxa"/>
            <w:shd w:val="clear" w:color="auto" w:fill="C4EFCE"/>
            <w:noWrap/>
            <w:vAlign w:val="center"/>
          </w:tcPr>
          <w:p w14:paraId="0DAA9FB8" w14:textId="4F3E99EE" w:rsidR="00E040FD" w:rsidRDefault="00740D64">
            <w:pPr>
              <w:pStyle w:val="P68B1DB1-Normal12"/>
              <w:spacing w:after="0" w:line="240" w:lineRule="auto"/>
              <w:jc w:val="center"/>
              <w:rPr>
                <w:rFonts w:eastAsia="Times New Roman" w:cstheme="minorHAnsi"/>
                <w:noProof/>
              </w:rPr>
            </w:pPr>
            <w:r>
              <w:rPr>
                <w:noProof/>
              </w:rPr>
              <w:t>KVARTAL 4</w:t>
            </w:r>
          </w:p>
        </w:tc>
        <w:tc>
          <w:tcPr>
            <w:tcW w:w="656" w:type="dxa"/>
            <w:shd w:val="clear" w:color="auto" w:fill="C4EFCE"/>
            <w:noWrap/>
            <w:vAlign w:val="center"/>
          </w:tcPr>
          <w:p w14:paraId="65BE177B" w14:textId="2FA41D59" w:rsidR="00E040FD" w:rsidRDefault="00740D64">
            <w:pPr>
              <w:pStyle w:val="P68B1DB1-Normal12"/>
              <w:spacing w:after="0" w:line="240" w:lineRule="auto"/>
              <w:jc w:val="center"/>
              <w:rPr>
                <w:rFonts w:eastAsia="Times New Roman" w:cstheme="minorHAnsi"/>
                <w:noProof/>
              </w:rPr>
            </w:pPr>
            <w:r>
              <w:rPr>
                <w:noProof/>
              </w:rPr>
              <w:t>2023</w:t>
            </w:r>
          </w:p>
        </w:tc>
        <w:tc>
          <w:tcPr>
            <w:tcW w:w="5456" w:type="dxa"/>
            <w:shd w:val="clear" w:color="auto" w:fill="C4EFCE"/>
            <w:noWrap/>
            <w:vAlign w:val="center"/>
          </w:tcPr>
          <w:p w14:paraId="4897A805" w14:textId="581A7D2B" w:rsidR="00E040FD" w:rsidRDefault="00740D64">
            <w:pPr>
              <w:pStyle w:val="P68B1DB1-Bodytext1013"/>
              <w:rPr>
                <w:rFonts w:cstheme="minorHAnsi"/>
                <w:noProof/>
              </w:rPr>
            </w:pPr>
            <w:r>
              <w:rPr>
                <w:noProof/>
              </w:rPr>
              <w:t>Ikraftträdande av den rättsakt som ska skapa den permanenta tekniska skattepolitiska enheten U-TAX.</w:t>
            </w:r>
          </w:p>
        </w:tc>
      </w:tr>
      <w:tr w:rsidR="00E040FD" w14:paraId="0837937C" w14:textId="77777777">
        <w:trPr>
          <w:gridBefore w:val="1"/>
          <w:wBefore w:w="7" w:type="dxa"/>
          <w:trHeight w:val="1480"/>
        </w:trPr>
        <w:tc>
          <w:tcPr>
            <w:tcW w:w="1036" w:type="dxa"/>
            <w:shd w:val="clear" w:color="auto" w:fill="C4EFCE"/>
            <w:vAlign w:val="center"/>
          </w:tcPr>
          <w:p w14:paraId="3233421E" w14:textId="76C741D0" w:rsidR="00E040FD" w:rsidRDefault="00740D64">
            <w:pPr>
              <w:pStyle w:val="P68B1DB1-Normal11"/>
              <w:spacing w:after="0" w:line="240" w:lineRule="auto"/>
              <w:jc w:val="center"/>
              <w:rPr>
                <w:rFonts w:eastAsia="Times New Roman"/>
                <w:noProof/>
              </w:rPr>
            </w:pPr>
            <w:r>
              <w:rPr>
                <w:noProof/>
              </w:rPr>
              <w:t>17.24</w:t>
            </w:r>
          </w:p>
        </w:tc>
        <w:tc>
          <w:tcPr>
            <w:tcW w:w="1161" w:type="dxa"/>
            <w:shd w:val="clear" w:color="auto" w:fill="C4EFCE"/>
            <w:noWrap/>
            <w:vAlign w:val="center"/>
          </w:tcPr>
          <w:p w14:paraId="737C50B6" w14:textId="0F8480BF" w:rsidR="00E040FD" w:rsidRDefault="00740D64">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033151D4" w14:textId="6185ABFC" w:rsidR="00E040FD" w:rsidRDefault="00740D64">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161CE14C" w14:textId="582AD1B7" w:rsidR="00E040FD" w:rsidRDefault="00740D64">
            <w:pPr>
              <w:pStyle w:val="P68B1DB1-Bodytext1013"/>
              <w:rPr>
                <w:rFonts w:cstheme="minorHAnsi"/>
                <w:noProof/>
              </w:rPr>
            </w:pPr>
            <w:r>
              <w:rPr>
                <w:noProof/>
              </w:rPr>
              <w:t>U-TAX offentliggör en bedömningsrapport om befintliga skatteförmåner</w:t>
            </w:r>
          </w:p>
        </w:tc>
        <w:tc>
          <w:tcPr>
            <w:tcW w:w="1356" w:type="dxa"/>
            <w:shd w:val="clear" w:color="auto" w:fill="C4EFCE"/>
            <w:noWrap/>
            <w:vAlign w:val="center"/>
          </w:tcPr>
          <w:p w14:paraId="6CFBEBB0" w14:textId="37037DA5" w:rsidR="00E040FD" w:rsidRDefault="00740D64">
            <w:pPr>
              <w:pStyle w:val="P68B1DB1-Normal12"/>
              <w:spacing w:after="0" w:line="240" w:lineRule="auto"/>
              <w:jc w:val="center"/>
              <w:rPr>
                <w:rFonts w:eastAsia="Times New Roman" w:cstheme="minorHAnsi"/>
                <w:noProof/>
              </w:rPr>
            </w:pPr>
            <w:r>
              <w:rPr>
                <w:noProof/>
              </w:rPr>
              <w:t>U-TAX offentliggör bedömningsrapporten</w:t>
            </w:r>
          </w:p>
        </w:tc>
        <w:tc>
          <w:tcPr>
            <w:tcW w:w="909" w:type="dxa"/>
            <w:shd w:val="clear" w:color="auto" w:fill="C4EFCE"/>
            <w:noWrap/>
            <w:vAlign w:val="center"/>
          </w:tcPr>
          <w:p w14:paraId="178DAFEF" w14:textId="77777777" w:rsidR="00E040FD" w:rsidRDefault="00E040FD">
            <w:pPr>
              <w:spacing w:after="0" w:line="240" w:lineRule="auto"/>
              <w:jc w:val="center"/>
              <w:rPr>
                <w:rFonts w:eastAsia="Times New Roman" w:cstheme="minorHAnsi"/>
                <w:noProof/>
                <w:sz w:val="16"/>
              </w:rPr>
            </w:pPr>
          </w:p>
        </w:tc>
        <w:tc>
          <w:tcPr>
            <w:tcW w:w="908" w:type="dxa"/>
            <w:shd w:val="clear" w:color="auto" w:fill="C4EFCE"/>
            <w:noWrap/>
            <w:vAlign w:val="center"/>
          </w:tcPr>
          <w:p w14:paraId="31A31401" w14:textId="77777777" w:rsidR="00E040FD" w:rsidRDefault="00E040FD">
            <w:pPr>
              <w:spacing w:after="0" w:line="240" w:lineRule="auto"/>
              <w:jc w:val="center"/>
              <w:rPr>
                <w:rFonts w:eastAsia="Times New Roman" w:cstheme="minorHAnsi"/>
                <w:noProof/>
                <w:sz w:val="16"/>
              </w:rPr>
            </w:pPr>
          </w:p>
        </w:tc>
        <w:tc>
          <w:tcPr>
            <w:tcW w:w="657" w:type="dxa"/>
            <w:shd w:val="clear" w:color="auto" w:fill="C4EFCE"/>
            <w:noWrap/>
            <w:vAlign w:val="center"/>
          </w:tcPr>
          <w:p w14:paraId="58433C55" w14:textId="77777777" w:rsidR="00E040FD" w:rsidRDefault="00E040FD">
            <w:pPr>
              <w:spacing w:after="0" w:line="240" w:lineRule="auto"/>
              <w:jc w:val="center"/>
              <w:rPr>
                <w:rFonts w:eastAsia="Times New Roman" w:cstheme="minorHAnsi"/>
                <w:noProof/>
                <w:sz w:val="16"/>
              </w:rPr>
            </w:pPr>
          </w:p>
        </w:tc>
        <w:tc>
          <w:tcPr>
            <w:tcW w:w="530" w:type="dxa"/>
            <w:shd w:val="clear" w:color="auto" w:fill="C4EFCE"/>
            <w:noWrap/>
            <w:vAlign w:val="center"/>
          </w:tcPr>
          <w:p w14:paraId="266E7E25" w14:textId="18AC0BB2" w:rsidR="00E040FD" w:rsidRDefault="00740D64">
            <w:pPr>
              <w:pStyle w:val="P68B1DB1-Normal12"/>
              <w:spacing w:after="0" w:line="240" w:lineRule="auto"/>
              <w:jc w:val="center"/>
              <w:rPr>
                <w:rFonts w:eastAsia="Times New Roman" w:cstheme="minorHAnsi"/>
                <w:noProof/>
              </w:rPr>
            </w:pPr>
            <w:r>
              <w:rPr>
                <w:noProof/>
              </w:rPr>
              <w:t>KVARTAL 2</w:t>
            </w:r>
          </w:p>
        </w:tc>
        <w:tc>
          <w:tcPr>
            <w:tcW w:w="656" w:type="dxa"/>
            <w:shd w:val="clear" w:color="auto" w:fill="C4EFCE"/>
            <w:noWrap/>
            <w:vAlign w:val="center"/>
          </w:tcPr>
          <w:p w14:paraId="77EA0F2E" w14:textId="13F6F2D7" w:rsidR="00E040FD" w:rsidRDefault="00740D64">
            <w:pPr>
              <w:pStyle w:val="P68B1DB1-Normal12"/>
              <w:spacing w:after="0" w:line="240" w:lineRule="auto"/>
              <w:jc w:val="center"/>
              <w:rPr>
                <w:rFonts w:eastAsia="Times New Roman" w:cstheme="minorHAnsi"/>
                <w:noProof/>
              </w:rPr>
            </w:pPr>
            <w:r>
              <w:rPr>
                <w:noProof/>
              </w:rPr>
              <w:t>2025</w:t>
            </w:r>
          </w:p>
        </w:tc>
        <w:tc>
          <w:tcPr>
            <w:tcW w:w="5456" w:type="dxa"/>
            <w:shd w:val="clear" w:color="auto" w:fill="C4EFCE"/>
            <w:noWrap/>
            <w:vAlign w:val="center"/>
          </w:tcPr>
          <w:p w14:paraId="03CED8F5" w14:textId="2F4499FE" w:rsidR="00E040FD" w:rsidRDefault="00740D64">
            <w:pPr>
              <w:pStyle w:val="P68B1DB1-Bodytext1013"/>
              <w:spacing w:after="0"/>
              <w:rPr>
                <w:rFonts w:cstheme="minorHAnsi"/>
                <w:noProof/>
              </w:rPr>
            </w:pPr>
            <w:r>
              <w:rPr>
                <w:noProof/>
              </w:rPr>
              <w:t xml:space="preserve">Offentliggörande av en bedömningsrapport från U-TAX om befintliga skatteförmåner. Rapporten ska innehålla en kostnads-nyttoanalys med kriterier för skatteförmånernas ändamålsenlighet med avseende på deras ursprungliga offentliga politiska mål, de genererade skatteutgifternas ekonomiska effektivitet och miljöhänsyn. </w:t>
            </w:r>
          </w:p>
          <w:p w14:paraId="32CA742E" w14:textId="77777777" w:rsidR="00E040FD" w:rsidRDefault="00740D64">
            <w:pPr>
              <w:pStyle w:val="P68B1DB1-Bodytext1013"/>
              <w:spacing w:after="0"/>
              <w:rPr>
                <w:rFonts w:cstheme="minorHAnsi"/>
                <w:noProof/>
              </w:rPr>
            </w:pPr>
            <w:r>
              <w:rPr>
                <w:noProof/>
              </w:rPr>
              <w:t xml:space="preserve">Bedömningsrapporten ska omfatta de skatteförmåner som löper ut året efter offentliggörandet samt en betydande uppsättning skatteförmåner, även utanför </w:t>
            </w:r>
            <w:r>
              <w:rPr>
                <w:i/>
                <w:noProof/>
              </w:rPr>
              <w:t>Estatuto dos Benefícios Fiscais</w:t>
            </w:r>
            <w:r>
              <w:rPr>
                <w:noProof/>
              </w:rPr>
              <w:t xml:space="preserve">. </w:t>
            </w:r>
          </w:p>
          <w:p w14:paraId="3165E0FB" w14:textId="74F6954C" w:rsidR="00E040FD" w:rsidRDefault="00740D64">
            <w:pPr>
              <w:pStyle w:val="P68B1DB1-Bodytext1013"/>
              <w:spacing w:after="0"/>
              <w:rPr>
                <w:rFonts w:cstheme="minorHAnsi"/>
                <w:noProof/>
              </w:rPr>
            </w:pPr>
            <w:r>
              <w:rPr>
                <w:noProof/>
              </w:rPr>
              <w:t>De omfattande skatteförmånerna ska definieras utifrån representativiteten hos dess tillhörande skatteutgifter, med fokus på dem som rör mervärdesskatt, personlig inkomstskatt och bolagsskatt.</w:t>
            </w:r>
          </w:p>
          <w:p w14:paraId="27114AA9" w14:textId="1D86CB07" w:rsidR="00E040FD" w:rsidRDefault="00740D64">
            <w:pPr>
              <w:pStyle w:val="P68B1DB1-Normal12"/>
              <w:rPr>
                <w:noProof/>
              </w:rPr>
            </w:pPr>
            <w:r>
              <w:rPr>
                <w:noProof/>
              </w:rPr>
              <w:t xml:space="preserve">U-TAX får i sin analys undanta portugisiska skatteförmåner som redan utvärderats av särskilda arbetsgrupper före inrättandet, liksom portugisiska skatteförmåner som utvärderats av oberoende offentliga institutioner, förutsatt att denna offentliggjorda analys är aktuell och överensstämmer med de kriterier som anges ovan för kostnads-nyttoanalysen. </w:t>
            </w:r>
          </w:p>
          <w:p w14:paraId="69554B53" w14:textId="6AC9827B" w:rsidR="00E040FD" w:rsidRDefault="00740D64">
            <w:pPr>
              <w:pStyle w:val="P68B1DB1-Normal12"/>
              <w:spacing w:after="0" w:line="240" w:lineRule="auto"/>
              <w:jc w:val="both"/>
              <w:rPr>
                <w:rFonts w:eastAsia="Times New Roman" w:cstheme="minorHAnsi"/>
                <w:noProof/>
              </w:rPr>
            </w:pPr>
            <w:r>
              <w:rPr>
                <w:noProof/>
              </w:rPr>
              <w:t>Utredningsrapporten ska innehålla rekommendationer om vilka av de skatteförmåner som omfattas av den som ska avskaffas, utvidgas eller ändras.</w:t>
            </w:r>
          </w:p>
        </w:tc>
      </w:tr>
      <w:tr w:rsidR="00E040FD" w14:paraId="014DEF92" w14:textId="77777777">
        <w:trPr>
          <w:gridBefore w:val="1"/>
          <w:wBefore w:w="7" w:type="dxa"/>
          <w:trHeight w:val="1480"/>
        </w:trPr>
        <w:tc>
          <w:tcPr>
            <w:tcW w:w="1036" w:type="dxa"/>
            <w:shd w:val="clear" w:color="auto" w:fill="C4EFCE"/>
            <w:vAlign w:val="center"/>
          </w:tcPr>
          <w:p w14:paraId="5B5FBA47" w14:textId="374B26BF" w:rsidR="00E040FD" w:rsidRDefault="00740D64">
            <w:pPr>
              <w:pStyle w:val="P68B1DB1-Normal11"/>
              <w:spacing w:after="0" w:line="240" w:lineRule="auto"/>
              <w:jc w:val="center"/>
              <w:rPr>
                <w:rFonts w:eastAsia="Times New Roman"/>
                <w:noProof/>
              </w:rPr>
            </w:pPr>
            <w:r>
              <w:rPr>
                <w:noProof/>
              </w:rPr>
              <w:t>17.25</w:t>
            </w:r>
          </w:p>
        </w:tc>
        <w:tc>
          <w:tcPr>
            <w:tcW w:w="1161" w:type="dxa"/>
            <w:shd w:val="clear" w:color="auto" w:fill="C4EFCE"/>
            <w:noWrap/>
            <w:vAlign w:val="center"/>
          </w:tcPr>
          <w:p w14:paraId="027A26B7" w14:textId="7BDDCBF5" w:rsidR="00E040FD" w:rsidRDefault="00740D64">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232BE3B1" w14:textId="451A1F82" w:rsidR="00E040FD" w:rsidRDefault="00740D64">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65CAD365" w14:textId="31C85319" w:rsidR="00E040FD" w:rsidRDefault="00740D64">
            <w:pPr>
              <w:pStyle w:val="P68B1DB1-Normal12"/>
              <w:spacing w:after="0" w:line="240" w:lineRule="auto"/>
              <w:jc w:val="center"/>
              <w:rPr>
                <w:rFonts w:eastAsia="Times New Roman" w:cstheme="minorHAnsi"/>
                <w:noProof/>
              </w:rPr>
            </w:pPr>
            <w:r>
              <w:rPr>
                <w:noProof/>
              </w:rPr>
              <w:t xml:space="preserve">Ikraftträdande av en rättsakt om skatteförmåner </w:t>
            </w:r>
          </w:p>
        </w:tc>
        <w:tc>
          <w:tcPr>
            <w:tcW w:w="1356" w:type="dxa"/>
            <w:shd w:val="clear" w:color="auto" w:fill="C4EFCE"/>
            <w:noWrap/>
            <w:vAlign w:val="center"/>
          </w:tcPr>
          <w:p w14:paraId="311CAF38" w14:textId="6D28ACD0" w:rsidR="00E040FD" w:rsidRDefault="00740D64">
            <w:pPr>
              <w:pStyle w:val="P68B1DB1-Normal12"/>
              <w:spacing w:after="0" w:line="240" w:lineRule="auto"/>
              <w:jc w:val="center"/>
              <w:rPr>
                <w:rFonts w:eastAsia="Times New Roman" w:cstheme="minorHAnsi"/>
                <w:noProof/>
              </w:rPr>
            </w:pPr>
            <w:r>
              <w:rPr>
                <w:noProof/>
              </w:rPr>
              <w:t xml:space="preserve">Bestämmelse i rättsakten som anger rättsaktens ikraftträdande </w:t>
            </w:r>
          </w:p>
        </w:tc>
        <w:tc>
          <w:tcPr>
            <w:tcW w:w="909" w:type="dxa"/>
            <w:shd w:val="clear" w:color="auto" w:fill="C4EFCE"/>
            <w:noWrap/>
            <w:vAlign w:val="center"/>
          </w:tcPr>
          <w:p w14:paraId="347AD5E7" w14:textId="77777777" w:rsidR="00E040FD" w:rsidRDefault="00E040FD">
            <w:pPr>
              <w:spacing w:after="0" w:line="240" w:lineRule="auto"/>
              <w:jc w:val="center"/>
              <w:rPr>
                <w:rFonts w:eastAsia="Times New Roman" w:cstheme="minorHAnsi"/>
                <w:noProof/>
                <w:sz w:val="16"/>
              </w:rPr>
            </w:pPr>
          </w:p>
        </w:tc>
        <w:tc>
          <w:tcPr>
            <w:tcW w:w="908" w:type="dxa"/>
            <w:shd w:val="clear" w:color="auto" w:fill="C4EFCE"/>
            <w:noWrap/>
            <w:vAlign w:val="center"/>
          </w:tcPr>
          <w:p w14:paraId="676CE199" w14:textId="77777777" w:rsidR="00E040FD" w:rsidRDefault="00E040FD">
            <w:pPr>
              <w:spacing w:after="0" w:line="240" w:lineRule="auto"/>
              <w:jc w:val="center"/>
              <w:rPr>
                <w:rFonts w:eastAsia="Times New Roman" w:cstheme="minorHAnsi"/>
                <w:noProof/>
                <w:sz w:val="16"/>
              </w:rPr>
            </w:pPr>
          </w:p>
        </w:tc>
        <w:tc>
          <w:tcPr>
            <w:tcW w:w="657" w:type="dxa"/>
            <w:shd w:val="clear" w:color="auto" w:fill="C4EFCE"/>
            <w:noWrap/>
            <w:vAlign w:val="center"/>
          </w:tcPr>
          <w:p w14:paraId="57178CE3" w14:textId="77777777" w:rsidR="00E040FD" w:rsidRDefault="00E040FD">
            <w:pPr>
              <w:spacing w:after="0" w:line="240" w:lineRule="auto"/>
              <w:jc w:val="center"/>
              <w:rPr>
                <w:rFonts w:eastAsia="Times New Roman" w:cstheme="minorHAnsi"/>
                <w:noProof/>
                <w:sz w:val="16"/>
              </w:rPr>
            </w:pPr>
          </w:p>
        </w:tc>
        <w:tc>
          <w:tcPr>
            <w:tcW w:w="530" w:type="dxa"/>
            <w:shd w:val="clear" w:color="auto" w:fill="C4EFCE"/>
            <w:noWrap/>
            <w:vAlign w:val="center"/>
          </w:tcPr>
          <w:p w14:paraId="3D84C64B" w14:textId="4029FEA2" w:rsidR="00E040FD" w:rsidRDefault="00740D64">
            <w:pPr>
              <w:pStyle w:val="P68B1DB1-Normal12"/>
              <w:spacing w:after="0" w:line="240" w:lineRule="auto"/>
              <w:jc w:val="center"/>
              <w:rPr>
                <w:rFonts w:eastAsia="Times New Roman" w:cstheme="minorHAnsi"/>
                <w:noProof/>
              </w:rPr>
            </w:pPr>
            <w:r>
              <w:rPr>
                <w:noProof/>
              </w:rPr>
              <w:t>KVARTAL 1</w:t>
            </w:r>
          </w:p>
        </w:tc>
        <w:tc>
          <w:tcPr>
            <w:tcW w:w="656" w:type="dxa"/>
            <w:shd w:val="clear" w:color="auto" w:fill="C4EFCE"/>
            <w:noWrap/>
            <w:vAlign w:val="center"/>
          </w:tcPr>
          <w:p w14:paraId="29B7FF51" w14:textId="261A5E14" w:rsidR="00E040FD" w:rsidRDefault="00740D64">
            <w:pPr>
              <w:pStyle w:val="P68B1DB1-Normal12"/>
              <w:spacing w:after="0" w:line="240" w:lineRule="auto"/>
              <w:jc w:val="center"/>
              <w:rPr>
                <w:rFonts w:eastAsia="Times New Roman" w:cstheme="minorHAnsi"/>
                <w:noProof/>
              </w:rPr>
            </w:pPr>
            <w:r>
              <w:rPr>
                <w:noProof/>
              </w:rPr>
              <w:t>2026</w:t>
            </w:r>
          </w:p>
        </w:tc>
        <w:tc>
          <w:tcPr>
            <w:tcW w:w="5456" w:type="dxa"/>
            <w:shd w:val="clear" w:color="auto" w:fill="C4EFCE"/>
            <w:noWrap/>
            <w:vAlign w:val="center"/>
          </w:tcPr>
          <w:p w14:paraId="12CA98A0" w14:textId="0DCA3F2C" w:rsidR="00E040FD" w:rsidRDefault="00740D64">
            <w:pPr>
              <w:pStyle w:val="P68B1DB1-Bodytext1013"/>
              <w:spacing w:after="0"/>
              <w:rPr>
                <w:rFonts w:eastAsiaTheme="minorHAnsi" w:cstheme="minorBidi"/>
                <w:noProof/>
              </w:rPr>
            </w:pPr>
            <w:r>
              <w:rPr>
                <w:noProof/>
              </w:rPr>
              <w:t>Ikraftträdande av en rättsakt som förenklar skatteförmånssystemet genom att minska antalet befintliga skatteförmåner, med beaktande av rekommendationerna i U-TAX bedömningsrapport och annan analys som anges i delmål 17.24.</w:t>
            </w:r>
          </w:p>
        </w:tc>
      </w:tr>
    </w:tbl>
    <w:p w14:paraId="7340E1CC" w14:textId="77777777" w:rsidR="00E040FD" w:rsidRDefault="00E040FD">
      <w:pPr>
        <w:keepNext/>
        <w:spacing w:before="40" w:after="0" w:line="259" w:lineRule="auto"/>
        <w:jc w:val="both"/>
        <w:rPr>
          <w:rFonts w:ascii="Times New Roman" w:eastAsiaTheme="minorEastAsia" w:hAnsi="Times New Roman" w:cs="Times New Roman"/>
          <w:noProof/>
          <w:sz w:val="24"/>
          <w:u w:val="single"/>
        </w:rPr>
      </w:pPr>
    </w:p>
    <w:p w14:paraId="1B2345CC" w14:textId="77777777" w:rsidR="00E040FD" w:rsidRDefault="00E040FD">
      <w:pPr>
        <w:keepNext/>
        <w:spacing w:before="40" w:after="0" w:line="259" w:lineRule="auto"/>
        <w:jc w:val="both"/>
        <w:rPr>
          <w:rFonts w:ascii="Times New Roman" w:eastAsiaTheme="minorEastAsia" w:hAnsi="Times New Roman" w:cs="Times New Roman"/>
          <w:noProof/>
          <w:sz w:val="24"/>
          <w:u w:val="single"/>
        </w:rPr>
      </w:pPr>
    </w:p>
    <w:p w14:paraId="6123A23C"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E040FD" w:rsidSect="00E00EDD">
          <w:headerReference w:type="even" r:id="rId324"/>
          <w:headerReference w:type="default" r:id="rId325"/>
          <w:footerReference w:type="even" r:id="rId326"/>
          <w:footerReference w:type="default" r:id="rId327"/>
          <w:headerReference w:type="first" r:id="rId328"/>
          <w:footerReference w:type="first" r:id="rId329"/>
          <w:pgSz w:w="16839" w:h="11907" w:orient="landscape"/>
          <w:pgMar w:top="1134" w:right="1134" w:bottom="1134" w:left="1134" w:header="567" w:footer="567" w:gutter="0"/>
          <w:cols w:space="720"/>
          <w:docGrid w:linePitch="360"/>
        </w:sectPr>
      </w:pPr>
    </w:p>
    <w:p w14:paraId="2F13BED3"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R. KOMPONENT 18: Ekonomisk rättvisa och företagsklimat</w:t>
      </w:r>
    </w:p>
    <w:p w14:paraId="238C7521"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Komponenten tar itu med problemet med ineffektivitet i det portugisiska rättssystemet och de återstående flaskhalsarna i fråga om licensiering av företag. Handläggningstiden för administrativa förfaranden och skatteförfaranden har förbättrats under de senaste åren, men är fortfarande en av de högsta i EU, och antalet pågående ärenden (eftersläpning av ärenden) är fortfarande jämförelsevis högt. Företagsklimatet hindras också av en låg effektivitet i säkerhets- och konkurslagstiftningen och tunga licensieringsförfaranden inom vissa sektorer. </w:t>
      </w:r>
    </w:p>
    <w:p w14:paraId="5E76299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komponenten är att stärka och effektivisera förbindelserna mellan medborgare och företag med staten samt att minska den börda och komplexitet som hämmar affärsverksamheten och påverkar produktiviteten. Den tar upp två långvariga frågor: hinder för att erhålla företagslicenser och ineffektivitet i rättssystemet samt antagandet av det ”digitala per definition” -paradigmet i rättssystemet och främjandet av detta i tillståndsförfarandena, både när det gäller domstolarnas funktion och samverkan med berörda parter. </w:t>
      </w:r>
    </w:p>
    <w:p w14:paraId="76272F78" w14:textId="77777777" w:rsidR="00E040FD" w:rsidRDefault="00740D64">
      <w:pPr>
        <w:pStyle w:val="P68B1DB1-Normal4"/>
        <w:keepNext/>
        <w:spacing w:before="40" w:after="0" w:line="259" w:lineRule="auto"/>
        <w:jc w:val="both"/>
        <w:rPr>
          <w:rFonts w:eastAsiaTheme="minorEastAsia" w:cs="Times New Roman"/>
          <w:noProof/>
        </w:rPr>
      </w:pPr>
      <w:r>
        <w:rPr>
          <w:noProof/>
        </w:rPr>
        <w:t>Denna del syftar till att ta itu med de olika utmaningar som identifierats i de landsspecifika rekommendationerna (de landsspecifika rekommendationerna 4 2019 och 2020), nämligen den kvarstående ineffektiviteten när det gäller insolvensförfaranden och förvaltnings- och skattedomstolar, och ta itu med frågan om tillståndskrav för företag, samtidigt som den berör ramen för reglerade yrken (som också ingår i samma landsspecifika rekommendationer), även om den är begränsad till yrket som förvaltare (utmaningen med reglerade yrken behandlas i del 6). Komponenten bidrar också till att följa den landsspecifika rekommendationen om att inrikta investeringarna på den digitala omställningen (landsspecifik rekommendation 3 2020).</w:t>
      </w:r>
    </w:p>
    <w:p w14:paraId="5854FAB7" w14:textId="77777777" w:rsidR="00E040FD" w:rsidRDefault="00740D64">
      <w:pPr>
        <w:pStyle w:val="P68B1DB1-Normal4"/>
        <w:keepNext/>
        <w:spacing w:before="40" w:after="0" w:line="259" w:lineRule="auto"/>
        <w:jc w:val="both"/>
        <w:rPr>
          <w:rFonts w:eastAsiaTheme="minorEastAsia" w:cs="Times New Roman"/>
          <w:noProof/>
        </w:rPr>
      </w:pPr>
      <w:r>
        <w:rPr>
          <w:noProof/>
        </w:rPr>
        <w:t>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w:t>
      </w:r>
    </w:p>
    <w:p w14:paraId="1109CC39"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3FEC5922"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 xml:space="preserve">R.1. </w:t>
      </w:r>
      <w:r>
        <w:rPr>
          <w:noProof/>
        </w:rPr>
        <w:tab/>
        <w:t>Beskrivning av reformer och investeringar avseende icke återbetalningspliktigt ekonomiskt stöd</w:t>
      </w:r>
    </w:p>
    <w:p w14:paraId="6924508E" w14:textId="7198A548"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Reform TD-C18-r33: Ekonomisk rättvisa och företagsklimat</w:t>
      </w:r>
    </w:p>
    <w:p w14:paraId="3133444F" w14:textId="77777777" w:rsidR="00E040FD" w:rsidRDefault="00740D64">
      <w:pPr>
        <w:pStyle w:val="P68B1DB1-Normal4"/>
        <w:keepNext/>
        <w:spacing w:before="40" w:after="0" w:line="259" w:lineRule="auto"/>
        <w:jc w:val="both"/>
        <w:rPr>
          <w:rFonts w:eastAsiaTheme="minorEastAsia" w:cs="Times New Roman"/>
          <w:noProof/>
        </w:rPr>
      </w:pPr>
      <w:r>
        <w:rPr>
          <w:noProof/>
        </w:rPr>
        <w:t>Reformen ska omfatta identifiering av hindren för investeringar på licensieringsområdet, i syfte att minska ineffektiviteten i förfarandena och dra nytta av digitaliseringen och interoperabiliteten mellan tjänster, genom att genomföra engångsprincipen, som är den viktigaste inriktningen för reformen när det gäller företagsklimatet. Ändringarna av den rättsliga ramen, som avlägsnar sådana hinder, planeras träda i kraft under tredje kvartalet 2025.</w:t>
      </w:r>
    </w:p>
    <w:p w14:paraId="16D053AF" w14:textId="6A0BEF7A" w:rsidR="00E040FD" w:rsidRDefault="00740D64">
      <w:pPr>
        <w:pStyle w:val="P68B1DB1-Normal4"/>
        <w:keepNext/>
        <w:spacing w:before="40" w:after="0" w:line="259" w:lineRule="auto"/>
        <w:jc w:val="both"/>
        <w:rPr>
          <w:rFonts w:eastAsiaTheme="minorEastAsia" w:cs="Times New Roman"/>
          <w:noProof/>
        </w:rPr>
      </w:pPr>
      <w:r>
        <w:rPr>
          <w:noProof/>
        </w:rPr>
        <w:t xml:space="preserve">På det rättsliga området syftar reformen till att öka förvaltnings- och skattedomstolarnas effektivitet genom att inrätta en rättslig ram som främjar förlikning i och utanför domstol och inrättandet av specialiserade avdelningar i högre domstolar, medan översynen av insolvensramen ska omfatta en förstärkning av konkursförvaltarnas roll, översyn av den rättsliga ramen som stärker långivarens rättigheter och införande av obligatorisk partiell fördelning i särskilda fall. </w:t>
      </w:r>
    </w:p>
    <w:p w14:paraId="512710E7"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Dessutom ska den planerade reformen utgöra den rättsliga grunden för digitaliseringen av processer och förfaranden i hela rättssystemet, inbegripet på området kriminaltekniska utredningar och brottsutredningar. </w:t>
      </w:r>
    </w:p>
    <w:p w14:paraId="62C04DD3" w14:textId="233D5065" w:rsidR="00E040FD" w:rsidRDefault="00740D64">
      <w:pPr>
        <w:pStyle w:val="P68B1DB1-Normal4"/>
        <w:keepNext/>
        <w:spacing w:before="40" w:after="0" w:line="259" w:lineRule="auto"/>
        <w:jc w:val="both"/>
        <w:rPr>
          <w:rFonts w:eastAsiaTheme="minorEastAsia" w:cs="Times New Roman"/>
          <w:noProof/>
        </w:rPr>
      </w:pPr>
      <w:r>
        <w:rPr>
          <w:noProof/>
        </w:rPr>
        <w:t>Genomförandet av reformen ska vara slutfört senast den 30 september 2025.</w:t>
      </w:r>
    </w:p>
    <w:p w14:paraId="0242038B"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067684AD" w14:textId="66EF0FAF"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Investeringar TD-C18-i01: Ekonomisk rättvisa och företagsklimat</w:t>
      </w:r>
    </w:p>
    <w:p w14:paraId="0BCC9F57" w14:textId="77777777" w:rsidR="00E040FD" w:rsidRDefault="00740D64">
      <w:pPr>
        <w:pStyle w:val="P68B1DB1-Normal4"/>
        <w:keepNext/>
        <w:spacing w:before="40" w:after="0" w:line="259" w:lineRule="auto"/>
        <w:jc w:val="both"/>
        <w:rPr>
          <w:rFonts w:eastAsiaTheme="minorEastAsia" w:cs="Times New Roman"/>
          <w:noProof/>
        </w:rPr>
      </w:pPr>
      <w:r>
        <w:rPr>
          <w:noProof/>
        </w:rPr>
        <w:t>Syftet med investeringen är att säkerställa den digitala omställningen och motståndskraften i de portugisiska rättssystemen. Syftet är att integrera paradigmet ”digitalt per definition” i rättsväsendet och registratorerna, bland annat när det gäller interaktionen med medborgare och företag.</w:t>
      </w:r>
    </w:p>
    <w:p w14:paraId="440992D0" w14:textId="77777777" w:rsidR="00E040FD" w:rsidRDefault="00740D64">
      <w:pPr>
        <w:pStyle w:val="P68B1DB1-Normal4"/>
        <w:keepNext/>
        <w:spacing w:before="40" w:after="0" w:line="259" w:lineRule="auto"/>
        <w:jc w:val="both"/>
        <w:rPr>
          <w:rFonts w:eastAsiaTheme="minorEastAsia" w:cs="Times New Roman"/>
          <w:noProof/>
        </w:rPr>
      </w:pPr>
      <w:r>
        <w:rPr>
          <w:noProof/>
        </w:rPr>
        <w:t>Den digitala omställningen är en språngbräda för denna investering, med fokus på rättssystemet, som är uppdelat i fem kluster:</w:t>
      </w:r>
    </w:p>
    <w:p w14:paraId="3E5216F8" w14:textId="77777777" w:rsidR="00E040FD" w:rsidRDefault="00740D64">
      <w:pPr>
        <w:pStyle w:val="P68B1DB1-Normal4"/>
        <w:keepNext/>
        <w:numPr>
          <w:ilvl w:val="0"/>
          <w:numId w:val="35"/>
        </w:numPr>
        <w:spacing w:before="40" w:after="160" w:line="259" w:lineRule="auto"/>
        <w:contextualSpacing/>
        <w:jc w:val="both"/>
        <w:rPr>
          <w:rFonts w:eastAsiaTheme="minorEastAsia" w:cs="Times New Roman"/>
          <w:noProof/>
        </w:rPr>
      </w:pPr>
      <w:r>
        <w:rPr>
          <w:noProof/>
        </w:rPr>
        <w:t>Utveckling och genomförande av digitala plattformar för rättsväsendet (som omfattar alla domstolar), där syftet är att främja digitaliseringen av alla rättsliga processer och förfaranden och dra nytta av den inneboende effektivitetsökningen för att ta itu med befintliga eftersläpningar. Dessutom ska nya gränssnitt för samverkan med berörda parter utvecklas.</w:t>
      </w:r>
    </w:p>
    <w:p w14:paraId="6E480707" w14:textId="77777777" w:rsidR="00E040FD" w:rsidRDefault="00740D64">
      <w:pPr>
        <w:pStyle w:val="P68B1DB1-Normal4"/>
        <w:keepNext/>
        <w:numPr>
          <w:ilvl w:val="0"/>
          <w:numId w:val="35"/>
        </w:numPr>
        <w:spacing w:before="40" w:after="160" w:line="259" w:lineRule="auto"/>
        <w:contextualSpacing/>
        <w:jc w:val="both"/>
        <w:rPr>
          <w:rFonts w:eastAsiaTheme="minorEastAsia" w:cs="Times New Roman"/>
          <w:noProof/>
        </w:rPr>
      </w:pPr>
      <w:r>
        <w:rPr>
          <w:noProof/>
        </w:rPr>
        <w:t>Utveckling av digitala plattformar för medborgare och företag (inbegripet datamigration), tillhandahållande av nya tjänster online och säkerställande av en total dematerialisering av vissa tjänster. Denna investering syftar till att tillhandahålla integrerade tjänsteplattformar för företag och medborgare under hela deras livscykel, inbegripet alla olika registratorer (fastigheter, fordon, nationalitet, handels- och kriminalregister samt registrering och kontroll av patent).</w:t>
      </w:r>
    </w:p>
    <w:p w14:paraId="5C4276B3" w14:textId="77777777" w:rsidR="00E040FD" w:rsidRDefault="00740D64">
      <w:pPr>
        <w:pStyle w:val="P68B1DB1-Normal4"/>
        <w:keepNext/>
        <w:numPr>
          <w:ilvl w:val="0"/>
          <w:numId w:val="35"/>
        </w:numPr>
        <w:spacing w:before="40" w:after="160" w:line="259" w:lineRule="auto"/>
        <w:contextualSpacing/>
        <w:jc w:val="both"/>
        <w:rPr>
          <w:rFonts w:eastAsiaTheme="minorEastAsia" w:cs="Times New Roman"/>
          <w:noProof/>
        </w:rPr>
      </w:pPr>
      <w:r>
        <w:rPr>
          <w:noProof/>
        </w:rPr>
        <w:t xml:space="preserve">Digitala plattformar för brottsutredningar och kriminalteknik, utveckling och modernisering av informationssystem och säkerställande av anslutning till europeiska nätverk. </w:t>
      </w:r>
    </w:p>
    <w:p w14:paraId="7CD0A53D" w14:textId="77777777" w:rsidR="00E040FD" w:rsidRDefault="00740D64">
      <w:pPr>
        <w:pStyle w:val="P68B1DB1-Normal4"/>
        <w:keepNext/>
        <w:numPr>
          <w:ilvl w:val="0"/>
          <w:numId w:val="35"/>
        </w:numPr>
        <w:spacing w:before="40" w:after="160" w:line="259" w:lineRule="auto"/>
        <w:contextualSpacing/>
        <w:jc w:val="both"/>
        <w:rPr>
          <w:rFonts w:eastAsiaTheme="minorEastAsia" w:cs="Times New Roman"/>
          <w:noProof/>
        </w:rPr>
      </w:pPr>
      <w:r>
        <w:rPr>
          <w:noProof/>
        </w:rPr>
        <w:t>Utveckling och genomförande av plattformar för kunskapshantering inom rättsväsendet, inbegripet en gemensam plattform för gemensamma tjänster, dokumenthantering, utveckling av en plattform för sammanställning av statistik och indikatorer samt förenkling av det språk som används i kommunikation och digitala tjänster i kontakterna med medborgare och företag (inbegripet elektroniska meddelanden).</w:t>
      </w:r>
    </w:p>
    <w:p w14:paraId="6B600ACC" w14:textId="77777777" w:rsidR="00E040FD" w:rsidRDefault="00740D64">
      <w:pPr>
        <w:pStyle w:val="P68B1DB1-Normal4"/>
        <w:keepNext/>
        <w:numPr>
          <w:ilvl w:val="0"/>
          <w:numId w:val="35"/>
        </w:numPr>
        <w:spacing w:before="40" w:after="160" w:line="259" w:lineRule="auto"/>
        <w:contextualSpacing/>
        <w:jc w:val="both"/>
        <w:rPr>
          <w:rFonts w:eastAsiaTheme="minorEastAsia" w:cs="Times New Roman"/>
          <w:noProof/>
        </w:rPr>
      </w:pPr>
      <w:r>
        <w:rPr>
          <w:noProof/>
        </w:rPr>
        <w:t>Förbättring av teknisk infrastruktur och utrustning, inbegripet datacentre, katastrof-/återhämtningsanläggningen, digitala arkiv, öppna dataplattformar, hantering av digital identitet och inrättande av ett digitalt kontaktcentrum och en servicedesk på det rättsliga området.</w:t>
      </w:r>
    </w:p>
    <w:p w14:paraId="5E8B14D7"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drar nytta av starka synergier med komponent 19 – digital offentlig förvaltning, genomförande av paradigmet ”digitalt per definition” och säkerställande av anpassningen till den nationella strategin för cybersäkerhet och strategin för molnbaserade tjänster. </w:t>
      </w:r>
    </w:p>
    <w:p w14:paraId="4A4D4017" w14:textId="77777777" w:rsidR="00E040FD" w:rsidRDefault="00740D64">
      <w:pPr>
        <w:pStyle w:val="P68B1DB1-Normal4"/>
        <w:spacing w:before="40" w:after="0" w:line="259" w:lineRule="auto"/>
        <w:jc w:val="both"/>
        <w:rPr>
          <w:rFonts w:eastAsiaTheme="minorEastAsia" w:cs="Times New Roman"/>
          <w:noProof/>
        </w:rPr>
        <w:sectPr w:rsidR="00E040FD" w:rsidSect="00E00EDD">
          <w:headerReference w:type="even" r:id="rId330"/>
          <w:headerReference w:type="default" r:id="rId331"/>
          <w:footerReference w:type="even" r:id="rId332"/>
          <w:footerReference w:type="default" r:id="rId333"/>
          <w:headerReference w:type="first" r:id="rId334"/>
          <w:footerReference w:type="first" r:id="rId335"/>
          <w:pgSz w:w="11907" w:h="16839"/>
          <w:pgMar w:top="1134" w:right="1134" w:bottom="1134" w:left="1134" w:header="567" w:footer="567" w:gutter="0"/>
          <w:cols w:space="720"/>
          <w:docGrid w:linePitch="360"/>
        </w:sectPr>
      </w:pPr>
      <w:r>
        <w:rPr>
          <w:noProof/>
        </w:rPr>
        <w:t>Investeringen ska vara genomförd senast den 31 december 2025.</w:t>
      </w:r>
    </w:p>
    <w:p w14:paraId="10A08022" w14:textId="77777777" w:rsidR="00E040FD" w:rsidRDefault="00740D64">
      <w:pPr>
        <w:pStyle w:val="P68B1DB1-Normal3"/>
        <w:spacing w:before="40" w:after="0" w:line="259" w:lineRule="auto"/>
        <w:ind w:left="130" w:firstLine="720"/>
        <w:jc w:val="both"/>
        <w:outlineLvl w:val="1"/>
        <w:rPr>
          <w:rFonts w:eastAsiaTheme="minorEastAsia" w:cs="Times New Roman"/>
          <w:noProof/>
        </w:rPr>
      </w:pPr>
      <w:r>
        <w:rPr>
          <w:noProof/>
        </w:rPr>
        <w:t xml:space="preserve">R.2. </w:t>
      </w:r>
      <w:r>
        <w:rPr>
          <w:noProof/>
        </w:rPr>
        <w:tab/>
        <w:t>Delmål, mål, indikatorer och tidsplan för övervakning och genomförande avseende icke återbetalningspliktigt ekonomiskt stöd</w:t>
      </w:r>
    </w:p>
    <w:p w14:paraId="786060A7"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993"/>
        <w:gridCol w:w="1521"/>
        <w:gridCol w:w="6"/>
        <w:gridCol w:w="1633"/>
        <w:gridCol w:w="1659"/>
        <w:gridCol w:w="992"/>
        <w:gridCol w:w="777"/>
        <w:gridCol w:w="533"/>
        <w:gridCol w:w="614"/>
        <w:gridCol w:w="4880"/>
      </w:tblGrid>
      <w:tr w:rsidR="00E040FD" w14:paraId="10258B68" w14:textId="77777777">
        <w:trPr>
          <w:trHeight w:val="910"/>
          <w:tblHeader/>
        </w:trPr>
        <w:tc>
          <w:tcPr>
            <w:tcW w:w="1277" w:type="dxa"/>
            <w:vMerge w:val="restart"/>
            <w:shd w:val="clear" w:color="auto" w:fill="BDD6EE"/>
            <w:vAlign w:val="center"/>
          </w:tcPr>
          <w:p w14:paraId="690E97EE"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5" w:type="dxa"/>
            <w:vMerge w:val="restart"/>
            <w:shd w:val="clear" w:color="auto" w:fill="BDD6EE"/>
            <w:vAlign w:val="center"/>
            <w:hideMark/>
          </w:tcPr>
          <w:p w14:paraId="6FE76F1B"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993" w:type="dxa"/>
            <w:vMerge w:val="restart"/>
            <w:shd w:val="clear" w:color="auto" w:fill="BDD6EE"/>
            <w:vAlign w:val="center"/>
            <w:hideMark/>
          </w:tcPr>
          <w:p w14:paraId="1C9E635C" w14:textId="1CAE8360" w:rsidR="00E040FD" w:rsidRDefault="00740D64">
            <w:pPr>
              <w:pStyle w:val="P68B1DB1-Normal6"/>
              <w:spacing w:after="0" w:line="240" w:lineRule="auto"/>
              <w:jc w:val="center"/>
              <w:rPr>
                <w:rFonts w:eastAsia="Times New Roman" w:cs="Times New Roman"/>
                <w:noProof/>
              </w:rPr>
            </w:pPr>
            <w:r>
              <w:rPr>
                <w:noProof/>
              </w:rPr>
              <w:t>Delmål/mål</w:t>
            </w:r>
          </w:p>
        </w:tc>
        <w:tc>
          <w:tcPr>
            <w:tcW w:w="1521" w:type="dxa"/>
            <w:vMerge w:val="restart"/>
            <w:shd w:val="clear" w:color="auto" w:fill="BDD6EE"/>
            <w:vAlign w:val="center"/>
            <w:hideMark/>
          </w:tcPr>
          <w:p w14:paraId="03568057" w14:textId="77777777" w:rsidR="00E040FD" w:rsidRDefault="00740D64">
            <w:pPr>
              <w:pStyle w:val="P68B1DB1-Normal6"/>
              <w:spacing w:after="0" w:line="240" w:lineRule="auto"/>
              <w:jc w:val="center"/>
              <w:rPr>
                <w:rFonts w:eastAsia="Times New Roman" w:cs="Times New Roman"/>
                <w:noProof/>
              </w:rPr>
            </w:pPr>
            <w:r>
              <w:rPr>
                <w:noProof/>
              </w:rPr>
              <w:t>Namn</w:t>
            </w:r>
          </w:p>
        </w:tc>
        <w:tc>
          <w:tcPr>
            <w:tcW w:w="1639" w:type="dxa"/>
            <w:gridSpan w:val="2"/>
            <w:vMerge w:val="restart"/>
            <w:shd w:val="clear" w:color="auto" w:fill="BDD6EE"/>
            <w:vAlign w:val="center"/>
            <w:hideMark/>
          </w:tcPr>
          <w:p w14:paraId="28863AC3"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3428" w:type="dxa"/>
            <w:gridSpan w:val="3"/>
            <w:shd w:val="clear" w:color="auto" w:fill="BDD6EE"/>
            <w:vAlign w:val="center"/>
            <w:hideMark/>
          </w:tcPr>
          <w:p w14:paraId="4089044F"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147" w:type="dxa"/>
            <w:gridSpan w:val="2"/>
            <w:shd w:val="clear" w:color="auto" w:fill="BDD6EE"/>
            <w:vAlign w:val="center"/>
            <w:hideMark/>
          </w:tcPr>
          <w:p w14:paraId="637730C0"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4880" w:type="dxa"/>
            <w:vMerge w:val="restart"/>
            <w:shd w:val="clear" w:color="auto" w:fill="BDD6EE"/>
            <w:noWrap/>
            <w:vAlign w:val="center"/>
            <w:hideMark/>
          </w:tcPr>
          <w:p w14:paraId="6E961EB9"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259DC459" w14:textId="77777777">
        <w:trPr>
          <w:trHeight w:val="470"/>
          <w:tblHeader/>
        </w:trPr>
        <w:tc>
          <w:tcPr>
            <w:tcW w:w="1277" w:type="dxa"/>
            <w:vMerge/>
          </w:tcPr>
          <w:p w14:paraId="0B61D35A" w14:textId="77777777" w:rsidR="00E040FD" w:rsidRDefault="00E040FD">
            <w:pPr>
              <w:spacing w:after="0" w:line="240" w:lineRule="auto"/>
              <w:rPr>
                <w:rFonts w:ascii="Times New Roman" w:eastAsia="Times New Roman" w:hAnsi="Times New Roman" w:cs="Times New Roman"/>
                <w:b/>
                <w:noProof/>
                <w:sz w:val="18"/>
              </w:rPr>
            </w:pPr>
          </w:p>
        </w:tc>
        <w:tc>
          <w:tcPr>
            <w:tcW w:w="1275" w:type="dxa"/>
            <w:vMerge/>
            <w:vAlign w:val="center"/>
            <w:hideMark/>
          </w:tcPr>
          <w:p w14:paraId="42F5CA82" w14:textId="77777777" w:rsidR="00E040FD" w:rsidRDefault="00E040FD">
            <w:pPr>
              <w:spacing w:after="0" w:line="240" w:lineRule="auto"/>
              <w:rPr>
                <w:rFonts w:ascii="Times New Roman" w:eastAsia="Times New Roman" w:hAnsi="Times New Roman" w:cs="Times New Roman"/>
                <w:b/>
                <w:noProof/>
                <w:sz w:val="18"/>
              </w:rPr>
            </w:pPr>
          </w:p>
        </w:tc>
        <w:tc>
          <w:tcPr>
            <w:tcW w:w="993" w:type="dxa"/>
            <w:vMerge/>
            <w:vAlign w:val="center"/>
            <w:hideMark/>
          </w:tcPr>
          <w:p w14:paraId="6A66BA83" w14:textId="5098E0F5" w:rsidR="00E040FD" w:rsidRDefault="00E040FD">
            <w:pPr>
              <w:spacing w:after="0" w:line="240" w:lineRule="auto"/>
              <w:jc w:val="center"/>
              <w:rPr>
                <w:rFonts w:ascii="Times New Roman" w:eastAsia="Times New Roman" w:hAnsi="Times New Roman" w:cs="Times New Roman"/>
                <w:b/>
                <w:noProof/>
                <w:sz w:val="18"/>
              </w:rPr>
            </w:pPr>
          </w:p>
        </w:tc>
        <w:tc>
          <w:tcPr>
            <w:tcW w:w="1521" w:type="dxa"/>
            <w:vMerge/>
            <w:vAlign w:val="center"/>
            <w:hideMark/>
          </w:tcPr>
          <w:p w14:paraId="020E12E7" w14:textId="77777777" w:rsidR="00E040FD" w:rsidRDefault="00E040FD">
            <w:pPr>
              <w:spacing w:after="0" w:line="240" w:lineRule="auto"/>
              <w:rPr>
                <w:rFonts w:ascii="Times New Roman" w:eastAsia="Times New Roman" w:hAnsi="Times New Roman" w:cs="Times New Roman"/>
                <w:b/>
                <w:noProof/>
                <w:sz w:val="18"/>
              </w:rPr>
            </w:pPr>
          </w:p>
        </w:tc>
        <w:tc>
          <w:tcPr>
            <w:tcW w:w="1639" w:type="dxa"/>
            <w:gridSpan w:val="2"/>
            <w:vMerge/>
            <w:vAlign w:val="center"/>
            <w:hideMark/>
          </w:tcPr>
          <w:p w14:paraId="70F7DD30" w14:textId="77777777" w:rsidR="00E040FD" w:rsidRDefault="00E040FD">
            <w:pPr>
              <w:spacing w:after="0" w:line="240" w:lineRule="auto"/>
              <w:rPr>
                <w:rFonts w:ascii="Times New Roman" w:eastAsia="Times New Roman" w:hAnsi="Times New Roman" w:cs="Times New Roman"/>
                <w:b/>
                <w:noProof/>
                <w:sz w:val="18"/>
              </w:rPr>
            </w:pPr>
          </w:p>
        </w:tc>
        <w:tc>
          <w:tcPr>
            <w:tcW w:w="1659" w:type="dxa"/>
            <w:shd w:val="clear" w:color="auto" w:fill="BDD6EE"/>
            <w:vAlign w:val="center"/>
            <w:hideMark/>
          </w:tcPr>
          <w:p w14:paraId="6FED8042"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vAlign w:val="center"/>
            <w:hideMark/>
          </w:tcPr>
          <w:p w14:paraId="055E64A2"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777" w:type="dxa"/>
            <w:shd w:val="clear" w:color="auto" w:fill="BDD6EE"/>
            <w:vAlign w:val="center"/>
            <w:hideMark/>
          </w:tcPr>
          <w:p w14:paraId="114749AF" w14:textId="77777777" w:rsidR="00E040FD" w:rsidRDefault="00740D64">
            <w:pPr>
              <w:pStyle w:val="P68B1DB1-Normal6"/>
              <w:spacing w:after="0" w:line="240" w:lineRule="auto"/>
              <w:jc w:val="center"/>
              <w:rPr>
                <w:rFonts w:eastAsia="Times New Roman" w:cs="Times New Roman"/>
                <w:noProof/>
              </w:rPr>
            </w:pPr>
            <w:r>
              <w:rPr>
                <w:noProof/>
              </w:rPr>
              <w:t>Mål</w:t>
            </w:r>
          </w:p>
        </w:tc>
        <w:tc>
          <w:tcPr>
            <w:tcW w:w="533" w:type="dxa"/>
            <w:shd w:val="clear" w:color="auto" w:fill="BDD6EE"/>
            <w:vAlign w:val="center"/>
            <w:hideMark/>
          </w:tcPr>
          <w:p w14:paraId="76E28634" w14:textId="77777777" w:rsidR="00E040FD" w:rsidRDefault="00740D64">
            <w:pPr>
              <w:pStyle w:val="P68B1DB1-Normal6"/>
              <w:spacing w:after="0" w:line="240" w:lineRule="auto"/>
              <w:jc w:val="center"/>
              <w:rPr>
                <w:rFonts w:eastAsia="Times New Roman" w:cs="Times New Roman"/>
                <w:noProof/>
              </w:rPr>
            </w:pPr>
            <w:r>
              <w:rPr>
                <w:noProof/>
              </w:rPr>
              <w:t>Q</w:t>
            </w:r>
          </w:p>
        </w:tc>
        <w:tc>
          <w:tcPr>
            <w:tcW w:w="614" w:type="dxa"/>
            <w:shd w:val="clear" w:color="auto" w:fill="BDD6EE"/>
            <w:vAlign w:val="center"/>
            <w:hideMark/>
          </w:tcPr>
          <w:p w14:paraId="6B436B9B" w14:textId="77777777" w:rsidR="00E040FD" w:rsidRDefault="00740D64">
            <w:pPr>
              <w:pStyle w:val="P68B1DB1-Normal6"/>
              <w:spacing w:after="0" w:line="240" w:lineRule="auto"/>
              <w:jc w:val="center"/>
              <w:rPr>
                <w:rFonts w:eastAsia="Times New Roman" w:cs="Times New Roman"/>
                <w:noProof/>
              </w:rPr>
            </w:pPr>
            <w:r>
              <w:rPr>
                <w:noProof/>
              </w:rPr>
              <w:t>Året</w:t>
            </w:r>
          </w:p>
        </w:tc>
        <w:tc>
          <w:tcPr>
            <w:tcW w:w="4880" w:type="dxa"/>
            <w:vMerge/>
            <w:vAlign w:val="center"/>
            <w:hideMark/>
          </w:tcPr>
          <w:p w14:paraId="1483F6BF" w14:textId="77777777" w:rsidR="00E040FD" w:rsidRDefault="00E040FD">
            <w:pPr>
              <w:spacing w:after="0" w:line="240" w:lineRule="auto"/>
              <w:rPr>
                <w:rFonts w:ascii="Times New Roman" w:eastAsia="Times New Roman" w:hAnsi="Times New Roman" w:cs="Times New Roman"/>
                <w:b/>
                <w:noProof/>
                <w:sz w:val="18"/>
              </w:rPr>
            </w:pPr>
          </w:p>
        </w:tc>
      </w:tr>
      <w:tr w:rsidR="00E040FD" w14:paraId="0704287E" w14:textId="77777777">
        <w:trPr>
          <w:trHeight w:val="1038"/>
        </w:trPr>
        <w:tc>
          <w:tcPr>
            <w:tcW w:w="1277" w:type="dxa"/>
            <w:shd w:val="clear" w:color="auto" w:fill="C4EFCE"/>
            <w:vAlign w:val="center"/>
          </w:tcPr>
          <w:p w14:paraId="30823E55" w14:textId="77777777" w:rsidR="00E040FD" w:rsidRDefault="00740D64">
            <w:pPr>
              <w:pStyle w:val="P68B1DB1-Normal7"/>
              <w:spacing w:after="0" w:line="240" w:lineRule="auto"/>
              <w:jc w:val="center"/>
              <w:rPr>
                <w:rFonts w:eastAsia="Times New Roman" w:cs="Calibri"/>
                <w:noProof/>
              </w:rPr>
            </w:pPr>
            <w:r>
              <w:rPr>
                <w:noProof/>
              </w:rPr>
              <w:t>18.1</w:t>
            </w:r>
          </w:p>
        </w:tc>
        <w:tc>
          <w:tcPr>
            <w:tcW w:w="1275" w:type="dxa"/>
            <w:shd w:val="clear" w:color="auto" w:fill="C4EFCE"/>
            <w:noWrap/>
            <w:vAlign w:val="center"/>
            <w:hideMark/>
          </w:tcPr>
          <w:p w14:paraId="0F9E1EF8" w14:textId="77777777" w:rsidR="00E040FD" w:rsidRDefault="00740D64">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4016CCA3" w14:textId="77777777" w:rsidR="00E040FD" w:rsidRDefault="00740D6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5B55A10" w14:textId="77777777" w:rsidR="00E040FD" w:rsidRDefault="00740D64">
            <w:pPr>
              <w:pStyle w:val="P68B1DB1-Normal8"/>
              <w:spacing w:after="0" w:line="240" w:lineRule="auto"/>
              <w:jc w:val="center"/>
              <w:rPr>
                <w:rFonts w:eastAsia="Times New Roman" w:cs="Calibri"/>
                <w:noProof/>
              </w:rPr>
            </w:pPr>
            <w:r>
              <w:rPr>
                <w:noProof/>
              </w:rPr>
              <w:t>Inrättande av specialiserade avdelningar i högre förvaltnings- och skattedomstolar</w:t>
            </w:r>
          </w:p>
        </w:tc>
        <w:tc>
          <w:tcPr>
            <w:tcW w:w="1633" w:type="dxa"/>
            <w:shd w:val="clear" w:color="auto" w:fill="C4EFCE"/>
            <w:noWrap/>
            <w:vAlign w:val="center"/>
            <w:hideMark/>
          </w:tcPr>
          <w:p w14:paraId="594CF147" w14:textId="77777777" w:rsidR="00E040FD" w:rsidRDefault="00740D64">
            <w:pPr>
              <w:pStyle w:val="P68B1DB1-Normal8"/>
              <w:spacing w:after="0" w:line="240" w:lineRule="auto"/>
              <w:jc w:val="center"/>
              <w:rPr>
                <w:rFonts w:eastAsia="Times New Roman" w:cs="Calibri"/>
                <w:noProof/>
              </w:rPr>
            </w:pPr>
            <w:r>
              <w:rPr>
                <w:noProof/>
              </w:rPr>
              <w:t>Inrättande av specialiserade avdelningar i högre förvaltnings- och skattedomstolar</w:t>
            </w:r>
          </w:p>
        </w:tc>
        <w:tc>
          <w:tcPr>
            <w:tcW w:w="1659" w:type="dxa"/>
            <w:shd w:val="clear" w:color="auto" w:fill="C4EFCE"/>
            <w:noWrap/>
            <w:vAlign w:val="center"/>
            <w:hideMark/>
          </w:tcPr>
          <w:p w14:paraId="77D105FC"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8DF828B" w14:textId="77777777" w:rsidR="00E040FD" w:rsidRDefault="00740D6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219FDADA" w14:textId="77777777" w:rsidR="00E040FD" w:rsidRDefault="00740D6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0C9B9432" w14:textId="77777777" w:rsidR="00E040FD" w:rsidRDefault="00740D64">
            <w:pPr>
              <w:pStyle w:val="P68B1DB1-Normal8"/>
              <w:spacing w:after="0" w:line="240" w:lineRule="auto"/>
              <w:jc w:val="center"/>
              <w:rPr>
                <w:rFonts w:eastAsia="Times New Roman" w:cs="Calibri"/>
                <w:noProof/>
              </w:rPr>
            </w:pPr>
            <w:r>
              <w:rPr>
                <w:noProof/>
              </w:rPr>
              <w:t>KVARTAL 1</w:t>
            </w:r>
          </w:p>
        </w:tc>
        <w:tc>
          <w:tcPr>
            <w:tcW w:w="614" w:type="dxa"/>
            <w:shd w:val="clear" w:color="auto" w:fill="C4EFCE"/>
            <w:noWrap/>
            <w:vAlign w:val="center"/>
            <w:hideMark/>
          </w:tcPr>
          <w:p w14:paraId="47910214" w14:textId="77777777" w:rsidR="00E040FD" w:rsidRDefault="00740D64">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hideMark/>
          </w:tcPr>
          <w:p w14:paraId="210990C9" w14:textId="77777777" w:rsidR="00E040FD" w:rsidRDefault="00740D64">
            <w:pPr>
              <w:pStyle w:val="P68B1DB1-Normal8"/>
              <w:spacing w:after="0" w:line="240" w:lineRule="auto"/>
              <w:jc w:val="both"/>
              <w:rPr>
                <w:rFonts w:eastAsia="Times New Roman" w:cs="Calibri"/>
                <w:noProof/>
              </w:rPr>
            </w:pPr>
            <w:r>
              <w:rPr>
                <w:noProof/>
              </w:rPr>
              <w:t>Inrättande av specialiserade avdelningar i högre förvaltnings- och skattedomstolar: ordinarie förvaltningsdomar, sociala förvaltningsdomar, domar om offentlig upphandling, vanliga skattedomar, skattebeslut och domar om administrativa överträdelser</w:t>
            </w:r>
          </w:p>
        </w:tc>
      </w:tr>
      <w:tr w:rsidR="00E040FD" w14:paraId="5EA37799" w14:textId="77777777">
        <w:trPr>
          <w:trHeight w:val="2570"/>
        </w:trPr>
        <w:tc>
          <w:tcPr>
            <w:tcW w:w="1277" w:type="dxa"/>
            <w:shd w:val="clear" w:color="auto" w:fill="C4EFCE"/>
            <w:vAlign w:val="center"/>
          </w:tcPr>
          <w:p w14:paraId="45922976" w14:textId="77777777" w:rsidR="00E040FD" w:rsidRDefault="00740D64">
            <w:pPr>
              <w:pStyle w:val="P68B1DB1-Normal7"/>
              <w:spacing w:after="0" w:line="240" w:lineRule="auto"/>
              <w:jc w:val="center"/>
              <w:rPr>
                <w:rFonts w:eastAsia="Times New Roman" w:cs="Calibri"/>
                <w:noProof/>
              </w:rPr>
            </w:pPr>
            <w:r>
              <w:rPr>
                <w:noProof/>
              </w:rPr>
              <w:t>18.2</w:t>
            </w:r>
          </w:p>
        </w:tc>
        <w:tc>
          <w:tcPr>
            <w:tcW w:w="1275" w:type="dxa"/>
            <w:shd w:val="clear" w:color="auto" w:fill="C4EFCE"/>
            <w:noWrap/>
            <w:vAlign w:val="center"/>
          </w:tcPr>
          <w:p w14:paraId="134D7CD8" w14:textId="77777777" w:rsidR="00E040FD" w:rsidRDefault="00740D64">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tcPr>
          <w:p w14:paraId="1EBB304E" w14:textId="77777777" w:rsidR="00E040FD" w:rsidRDefault="00740D6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tcPr>
          <w:p w14:paraId="0E38DEE8" w14:textId="77777777" w:rsidR="00E040FD" w:rsidRDefault="00740D64">
            <w:pPr>
              <w:pStyle w:val="P68B1DB1-Normal8"/>
              <w:spacing w:after="0" w:line="240" w:lineRule="auto"/>
              <w:jc w:val="center"/>
              <w:rPr>
                <w:rFonts w:eastAsia="Times New Roman" w:cs="Calibri"/>
                <w:noProof/>
              </w:rPr>
            </w:pPr>
            <w:r>
              <w:rPr>
                <w:noProof/>
              </w:rPr>
              <w:t>Ikraftträdande av en rättslig ordning för att uppmuntra tvistlösning i och utanför domstol</w:t>
            </w:r>
          </w:p>
          <w:p w14:paraId="36CC1118" w14:textId="77777777" w:rsidR="00E040FD" w:rsidRDefault="00E040FD">
            <w:pPr>
              <w:spacing w:after="0" w:line="240" w:lineRule="auto"/>
              <w:jc w:val="center"/>
              <w:rPr>
                <w:rFonts w:ascii="Calibri" w:eastAsia="Times New Roman" w:hAnsi="Calibri" w:cs="Calibri"/>
                <w:noProof/>
                <w:sz w:val="16"/>
              </w:rPr>
            </w:pPr>
          </w:p>
        </w:tc>
        <w:tc>
          <w:tcPr>
            <w:tcW w:w="1633" w:type="dxa"/>
            <w:shd w:val="clear" w:color="auto" w:fill="C4EFCE"/>
            <w:noWrap/>
            <w:vAlign w:val="center"/>
          </w:tcPr>
          <w:p w14:paraId="4DB8A301" w14:textId="77777777" w:rsidR="00E040FD" w:rsidRDefault="00740D64">
            <w:pPr>
              <w:pStyle w:val="P68B1DB1-Normal8"/>
              <w:spacing w:after="0" w:line="240" w:lineRule="auto"/>
              <w:jc w:val="center"/>
              <w:rPr>
                <w:rFonts w:eastAsia="Times New Roman" w:cs="Calibri"/>
                <w:noProof/>
              </w:rPr>
            </w:pPr>
            <w:r>
              <w:rPr>
                <w:noProof/>
              </w:rPr>
              <w:t>Ikraftträdande av en rättslig ordning för att uppmuntra tvistlösning i och utanför domstol</w:t>
            </w:r>
          </w:p>
        </w:tc>
        <w:tc>
          <w:tcPr>
            <w:tcW w:w="1659" w:type="dxa"/>
            <w:shd w:val="clear" w:color="auto" w:fill="C4EFCE"/>
            <w:noWrap/>
            <w:vAlign w:val="center"/>
          </w:tcPr>
          <w:p w14:paraId="3F523CAC" w14:textId="77777777" w:rsidR="00E040FD" w:rsidRDefault="00E040FD">
            <w:pPr>
              <w:spacing w:after="0" w:line="240" w:lineRule="auto"/>
              <w:rPr>
                <w:rFonts w:ascii="Calibri" w:eastAsia="Times New Roman" w:hAnsi="Calibri" w:cs="Calibri"/>
                <w:noProof/>
                <w:sz w:val="16"/>
              </w:rPr>
            </w:pPr>
          </w:p>
        </w:tc>
        <w:tc>
          <w:tcPr>
            <w:tcW w:w="992" w:type="dxa"/>
            <w:shd w:val="clear" w:color="auto" w:fill="C4EFCE"/>
            <w:noWrap/>
            <w:vAlign w:val="center"/>
          </w:tcPr>
          <w:p w14:paraId="50EE6E1F" w14:textId="77777777" w:rsidR="00E040FD" w:rsidRDefault="00E040FD">
            <w:pPr>
              <w:spacing w:after="0" w:line="240" w:lineRule="auto"/>
              <w:jc w:val="center"/>
              <w:rPr>
                <w:rFonts w:ascii="Calibri" w:eastAsia="Times New Roman" w:hAnsi="Calibri" w:cs="Calibri"/>
                <w:noProof/>
                <w:sz w:val="16"/>
              </w:rPr>
            </w:pPr>
          </w:p>
        </w:tc>
        <w:tc>
          <w:tcPr>
            <w:tcW w:w="777" w:type="dxa"/>
            <w:shd w:val="clear" w:color="auto" w:fill="C4EFCE"/>
            <w:noWrap/>
            <w:vAlign w:val="center"/>
          </w:tcPr>
          <w:p w14:paraId="66037AB8" w14:textId="77777777" w:rsidR="00E040FD" w:rsidRDefault="00E040FD">
            <w:pPr>
              <w:spacing w:after="0" w:line="240" w:lineRule="auto"/>
              <w:jc w:val="center"/>
              <w:rPr>
                <w:rFonts w:ascii="Calibri" w:eastAsia="Times New Roman" w:hAnsi="Calibri" w:cs="Calibri"/>
                <w:noProof/>
                <w:sz w:val="16"/>
              </w:rPr>
            </w:pPr>
          </w:p>
        </w:tc>
        <w:tc>
          <w:tcPr>
            <w:tcW w:w="533" w:type="dxa"/>
            <w:shd w:val="clear" w:color="auto" w:fill="C4EFCE"/>
            <w:noWrap/>
            <w:vAlign w:val="center"/>
          </w:tcPr>
          <w:p w14:paraId="2E87CE6B" w14:textId="77777777" w:rsidR="00E040FD" w:rsidRDefault="00740D64">
            <w:pPr>
              <w:pStyle w:val="P68B1DB1-Normal8"/>
              <w:spacing w:after="0" w:line="240" w:lineRule="auto"/>
              <w:jc w:val="center"/>
              <w:rPr>
                <w:rFonts w:eastAsia="Times New Roman" w:cs="Calibri"/>
                <w:noProof/>
              </w:rPr>
            </w:pPr>
            <w:r>
              <w:rPr>
                <w:noProof/>
              </w:rPr>
              <w:t>KVARTAL 1</w:t>
            </w:r>
          </w:p>
        </w:tc>
        <w:tc>
          <w:tcPr>
            <w:tcW w:w="614" w:type="dxa"/>
            <w:shd w:val="clear" w:color="auto" w:fill="C4EFCE"/>
            <w:noWrap/>
            <w:vAlign w:val="center"/>
          </w:tcPr>
          <w:p w14:paraId="2B06B617" w14:textId="77777777" w:rsidR="00E040FD" w:rsidRDefault="00740D64">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tcPr>
          <w:p w14:paraId="3B845451" w14:textId="77777777" w:rsidR="00E040FD" w:rsidRDefault="00740D64">
            <w:pPr>
              <w:pStyle w:val="P68B1DB1-Normal8"/>
              <w:spacing w:after="0" w:line="240" w:lineRule="auto"/>
              <w:jc w:val="both"/>
              <w:rPr>
                <w:rFonts w:eastAsia="Times New Roman" w:cs="Calibri"/>
                <w:noProof/>
              </w:rPr>
            </w:pPr>
            <w:r>
              <w:rPr>
                <w:noProof/>
              </w:rPr>
              <w:t>Ikraftträdande av den rättsliga ordning som skapar ett lagstadgat incitamentsystem för avslutande av förfaranden genom förlikning i och utanför domstol</w:t>
            </w:r>
          </w:p>
        </w:tc>
      </w:tr>
      <w:tr w:rsidR="00E040FD" w14:paraId="63E4A25B" w14:textId="77777777">
        <w:trPr>
          <w:cantSplit/>
          <w:trHeight w:val="5929"/>
        </w:trPr>
        <w:tc>
          <w:tcPr>
            <w:tcW w:w="1277" w:type="dxa"/>
            <w:shd w:val="clear" w:color="auto" w:fill="C4EFCE"/>
            <w:vAlign w:val="center"/>
          </w:tcPr>
          <w:p w14:paraId="4030100F" w14:textId="77777777" w:rsidR="00E040FD" w:rsidRDefault="00740D64">
            <w:pPr>
              <w:pStyle w:val="P68B1DB1-Normal7"/>
              <w:spacing w:after="0" w:line="240" w:lineRule="auto"/>
              <w:jc w:val="center"/>
              <w:rPr>
                <w:rFonts w:eastAsia="Times New Roman" w:cs="Calibri"/>
                <w:noProof/>
              </w:rPr>
            </w:pPr>
            <w:r>
              <w:rPr>
                <w:noProof/>
              </w:rPr>
              <w:t>18.3</w:t>
            </w:r>
          </w:p>
        </w:tc>
        <w:tc>
          <w:tcPr>
            <w:tcW w:w="1275" w:type="dxa"/>
            <w:shd w:val="clear" w:color="auto" w:fill="C4EFCE"/>
            <w:noWrap/>
            <w:vAlign w:val="center"/>
            <w:hideMark/>
          </w:tcPr>
          <w:p w14:paraId="0EE4E35F" w14:textId="77777777" w:rsidR="00E040FD" w:rsidRDefault="00740D64">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7DF377C5" w14:textId="77777777" w:rsidR="00E040FD" w:rsidRDefault="00740D6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046AC9E" w14:textId="77777777" w:rsidR="00E040FD" w:rsidRDefault="00740D64">
            <w:pPr>
              <w:pStyle w:val="P68B1DB1-Normal8"/>
              <w:spacing w:after="0" w:line="240" w:lineRule="auto"/>
              <w:jc w:val="center"/>
              <w:rPr>
                <w:rFonts w:eastAsia="Times New Roman" w:cs="Calibri"/>
                <w:noProof/>
              </w:rPr>
            </w:pPr>
            <w:r>
              <w:rPr>
                <w:noProof/>
              </w:rPr>
              <w:t>Ikraftträdande av den reviderade rättsliga ramen för insolvens och återvinning</w:t>
            </w:r>
          </w:p>
        </w:tc>
        <w:tc>
          <w:tcPr>
            <w:tcW w:w="1633" w:type="dxa"/>
            <w:shd w:val="clear" w:color="auto" w:fill="C4EFCE"/>
            <w:vAlign w:val="center"/>
          </w:tcPr>
          <w:p w14:paraId="3258DA2E" w14:textId="77777777" w:rsidR="00E040FD" w:rsidRDefault="00740D64">
            <w:pPr>
              <w:pStyle w:val="P68B1DB1-Normal8"/>
              <w:spacing w:after="0" w:line="240" w:lineRule="auto"/>
              <w:jc w:val="center"/>
              <w:rPr>
                <w:rFonts w:eastAsia="Times New Roman" w:cs="Calibri"/>
                <w:noProof/>
              </w:rPr>
            </w:pPr>
            <w:r>
              <w:rPr>
                <w:noProof/>
              </w:rPr>
              <w:t>Ikraftträdande av den reviderade rättsliga ramen för insolvens och återvinning</w:t>
            </w:r>
          </w:p>
        </w:tc>
        <w:tc>
          <w:tcPr>
            <w:tcW w:w="1659" w:type="dxa"/>
            <w:shd w:val="clear" w:color="auto" w:fill="C4EFCE"/>
            <w:noWrap/>
            <w:vAlign w:val="center"/>
            <w:hideMark/>
          </w:tcPr>
          <w:p w14:paraId="15B6D3B5"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1E48313" w14:textId="77777777" w:rsidR="00E040FD" w:rsidRDefault="00740D6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56852BD8" w14:textId="77777777" w:rsidR="00E040FD" w:rsidRDefault="00740D6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4DEFE34C" w14:textId="77777777" w:rsidR="00E040FD" w:rsidRDefault="00740D64">
            <w:pPr>
              <w:pStyle w:val="P68B1DB1-Normal8"/>
              <w:spacing w:after="0" w:line="240" w:lineRule="auto"/>
              <w:jc w:val="center"/>
              <w:rPr>
                <w:rFonts w:eastAsia="Times New Roman" w:cs="Calibri"/>
                <w:noProof/>
              </w:rPr>
            </w:pPr>
            <w:r>
              <w:rPr>
                <w:noProof/>
              </w:rPr>
              <w:t>KVARTAL 2</w:t>
            </w:r>
          </w:p>
        </w:tc>
        <w:tc>
          <w:tcPr>
            <w:tcW w:w="614" w:type="dxa"/>
            <w:shd w:val="clear" w:color="auto" w:fill="C4EFCE"/>
            <w:noWrap/>
            <w:vAlign w:val="center"/>
            <w:hideMark/>
          </w:tcPr>
          <w:p w14:paraId="06EFAEAF" w14:textId="77777777" w:rsidR="00E040FD" w:rsidRDefault="00740D64">
            <w:pPr>
              <w:pStyle w:val="P68B1DB1-Normal8"/>
              <w:rPr>
                <w:rFonts w:eastAsia="Times New Roman" w:cs="Calibri"/>
                <w:noProof/>
              </w:rPr>
            </w:pPr>
            <w:r>
              <w:rPr>
                <w:noProof/>
              </w:rPr>
              <w:t>2024</w:t>
            </w:r>
          </w:p>
        </w:tc>
        <w:tc>
          <w:tcPr>
            <w:tcW w:w="4880" w:type="dxa"/>
            <w:shd w:val="clear" w:color="auto" w:fill="C4EFCE"/>
            <w:vAlign w:val="center"/>
            <w:hideMark/>
          </w:tcPr>
          <w:p w14:paraId="340D1B69" w14:textId="77777777" w:rsidR="00E040FD" w:rsidRDefault="00740D64">
            <w:pPr>
              <w:spacing w:after="0" w:line="240" w:lineRule="auto"/>
              <w:jc w:val="both"/>
              <w:rPr>
                <w:rFonts w:ascii="Calibri" w:eastAsia="Times New Roman" w:hAnsi="Calibri" w:cs="Calibri"/>
                <w:noProof/>
                <w:sz w:val="16"/>
              </w:rPr>
            </w:pPr>
            <w:r>
              <w:rPr>
                <w:rFonts w:ascii="Calibri" w:hAnsi="Calibri"/>
                <w:noProof/>
                <w:sz w:val="16"/>
              </w:rPr>
              <w:t>Ikraftträdande av den reviderade rättsliga ramen för insolvens och undsättning av företag i syfte att påskynda dessa förfaranden och anpassa dem till ”digitalt som standard”, inbegripet</w:t>
            </w:r>
            <w:r>
              <w:rPr>
                <w:noProof/>
              </w:rPr>
              <w:br/>
            </w:r>
          </w:p>
          <w:p w14:paraId="75E14895" w14:textId="77777777" w:rsidR="00E040FD" w:rsidRDefault="00740D64">
            <w:pPr>
              <w:pStyle w:val="P68B1DB1-Normal8"/>
              <w:spacing w:after="0" w:line="240" w:lineRule="auto"/>
              <w:jc w:val="both"/>
              <w:rPr>
                <w:rFonts w:eastAsia="Times New Roman" w:cs="Calibri"/>
                <w:noProof/>
              </w:rPr>
            </w:pPr>
            <w:r>
              <w:rPr>
                <w:noProof/>
              </w:rPr>
              <w:t>a) En översyn av insolvenslagen för att optimera insolvensförfarandena, även med beaktande av införlivandet av direktiv 2019/1023 och införandet av rent elektroniska förfaranden.</w:t>
            </w:r>
          </w:p>
          <w:p w14:paraId="5EAA7A3B" w14:textId="77777777" w:rsidR="00E040FD" w:rsidRDefault="00740D64">
            <w:pPr>
              <w:pStyle w:val="P68B1DB1-Normal8"/>
              <w:spacing w:after="0" w:line="240" w:lineRule="auto"/>
              <w:jc w:val="both"/>
              <w:rPr>
                <w:rFonts w:eastAsia="Times New Roman" w:cs="Calibri"/>
                <w:noProof/>
              </w:rPr>
            </w:pPr>
            <w:r>
              <w:rPr>
                <w:noProof/>
              </w:rPr>
              <w:t>(b) ge konkursförvaltaren i uppdrag att utarbeta en avvecklingsplan, med tidsbestämda mål, för att avveckla de tillgångar som ingår i konkursboet.</w:t>
            </w:r>
          </w:p>
          <w:p w14:paraId="4D201E3F" w14:textId="77777777" w:rsidR="00E040FD" w:rsidRDefault="00740D64">
            <w:pPr>
              <w:pStyle w:val="P68B1DB1-Normal8"/>
              <w:spacing w:after="0" w:line="240" w:lineRule="auto"/>
              <w:jc w:val="both"/>
              <w:rPr>
                <w:rFonts w:eastAsia="Times New Roman" w:cs="Calibri"/>
                <w:noProof/>
              </w:rPr>
            </w:pPr>
            <w:r>
              <w:rPr>
                <w:noProof/>
              </w:rPr>
              <w:t>c) Förenkling av förfarandet för granskning av skulder och rangordning av fordringar i insolvensförfarandet, genom att ge konkursförvaltaren ansvaret att tillsammans med förteckningen över erkända fordringar lämna in ett förslag till rangordning, vilket gör det möjligt för domaren att godkänna båda dokumenten om överenskommelse nås och om inget bestridande föreligger, vilket möjliggör ett flexiblare förfarande.</w:t>
            </w:r>
          </w:p>
          <w:p w14:paraId="6435378B" w14:textId="77777777" w:rsidR="00E040FD" w:rsidRDefault="00740D64">
            <w:pPr>
              <w:pStyle w:val="P68B1DB1-Normal8"/>
              <w:spacing w:after="0" w:line="240" w:lineRule="auto"/>
              <w:jc w:val="both"/>
              <w:rPr>
                <w:rFonts w:eastAsia="Times New Roman" w:cs="Calibri"/>
                <w:noProof/>
              </w:rPr>
            </w:pPr>
            <w:r>
              <w:rPr>
                <w:noProof/>
              </w:rPr>
              <w:t>d) Inrättande av en obligatorisk partiell fördelning om konkursboet utgör en del av intäkterna från likvideringen av tillgångar till ett värde av minst 10 000 EUR, vars ägande inte bestrids och förfarandet inte är i stånd att göra en slutlig fördelning.</w:t>
            </w:r>
          </w:p>
          <w:p w14:paraId="68A0B579" w14:textId="77777777" w:rsidR="00E040FD" w:rsidRDefault="00740D64">
            <w:pPr>
              <w:pStyle w:val="P68B1DB1-Normal8"/>
              <w:spacing w:after="0" w:line="240" w:lineRule="auto"/>
              <w:jc w:val="both"/>
              <w:rPr>
                <w:rFonts w:eastAsia="Times New Roman" w:cs="Calibri"/>
                <w:noProof/>
              </w:rPr>
            </w:pPr>
            <w:r>
              <w:rPr>
                <w:noProof/>
              </w:rPr>
              <w:t xml:space="preserve">(e) Översyn av företrädesordningen för kvarhållanderätten när det gäller inteckningen (Código Civil). </w:t>
            </w:r>
          </w:p>
          <w:p w14:paraId="785EC4F6" w14:textId="77777777" w:rsidR="00E040FD" w:rsidRDefault="00740D64">
            <w:pPr>
              <w:pStyle w:val="P68B1DB1-Normal8"/>
              <w:spacing w:after="0" w:line="240" w:lineRule="auto"/>
              <w:jc w:val="both"/>
              <w:rPr>
                <w:rFonts w:eastAsia="Times New Roman" w:cs="Calibri"/>
                <w:noProof/>
              </w:rPr>
            </w:pPr>
            <w:r>
              <w:rPr>
                <w:noProof/>
              </w:rPr>
              <w:t>(f) Minskade begränsningar av utövandet av konkursförvaltare.</w:t>
            </w:r>
          </w:p>
          <w:p w14:paraId="66B701AF" w14:textId="77777777" w:rsidR="00E040FD" w:rsidRDefault="00740D64">
            <w:pPr>
              <w:pStyle w:val="P68B1DB1-Normal8"/>
              <w:spacing w:after="0" w:line="240" w:lineRule="auto"/>
              <w:jc w:val="both"/>
              <w:rPr>
                <w:rFonts w:eastAsia="Times New Roman" w:cs="Calibri"/>
                <w:noProof/>
              </w:rPr>
            </w:pPr>
            <w:r>
              <w:rPr>
                <w:noProof/>
              </w:rPr>
              <w:t>(g) Avskaffande av begränsningar i samband med kallelser, fastställa som regel elektronisk delgivning av juridiska personer, särskilt i insolvensförfaranden.</w:t>
            </w:r>
          </w:p>
          <w:p w14:paraId="15C87B35" w14:textId="77777777" w:rsidR="00E040FD" w:rsidRDefault="00740D64">
            <w:pPr>
              <w:pStyle w:val="P68B1DB1-Normal8"/>
              <w:spacing w:after="0" w:line="240" w:lineRule="auto"/>
              <w:jc w:val="both"/>
              <w:rPr>
                <w:rFonts w:eastAsia="Times New Roman" w:cs="Calibri"/>
                <w:noProof/>
              </w:rPr>
            </w:pPr>
            <w:r>
              <w:rPr>
                <w:noProof/>
              </w:rPr>
              <w:t>(h) inrättande och drift av specialiserade avdelningar vid högre domstolar för handelsrättsliga frågor.</w:t>
            </w:r>
          </w:p>
          <w:p w14:paraId="472B518E" w14:textId="77777777" w:rsidR="00E040FD" w:rsidRDefault="00740D64">
            <w:pPr>
              <w:pStyle w:val="P68B1DB1-Normal8"/>
              <w:spacing w:after="0" w:line="240" w:lineRule="auto"/>
              <w:jc w:val="both"/>
              <w:rPr>
                <w:rFonts w:eastAsia="Times New Roman" w:cs="Calibri"/>
                <w:noProof/>
              </w:rPr>
            </w:pPr>
            <w:r>
              <w:rPr>
                <w:noProof/>
              </w:rPr>
              <w:t xml:space="preserve">förfarandena vid Eurekas sekretariat och anpassning av dem till ”digitalt som standard”, inbegripet </w:t>
            </w:r>
          </w:p>
        </w:tc>
      </w:tr>
      <w:tr w:rsidR="00E040FD" w14:paraId="6AB9F600" w14:textId="77777777">
        <w:trPr>
          <w:trHeight w:val="430"/>
        </w:trPr>
        <w:tc>
          <w:tcPr>
            <w:tcW w:w="1277" w:type="dxa"/>
            <w:shd w:val="clear" w:color="auto" w:fill="C4EFCE"/>
            <w:vAlign w:val="center"/>
          </w:tcPr>
          <w:p w14:paraId="55355ADE" w14:textId="3ECAA7F9" w:rsidR="00E040FD" w:rsidRDefault="00740D64">
            <w:pPr>
              <w:pStyle w:val="P68B1DB1-Normal7"/>
              <w:spacing w:after="0" w:line="240" w:lineRule="auto"/>
              <w:jc w:val="center"/>
              <w:rPr>
                <w:rFonts w:eastAsia="Times New Roman" w:cs="Calibri"/>
                <w:noProof/>
              </w:rPr>
            </w:pPr>
            <w:r>
              <w:rPr>
                <w:noProof/>
              </w:rPr>
              <w:t>18.4</w:t>
            </w:r>
          </w:p>
        </w:tc>
        <w:tc>
          <w:tcPr>
            <w:tcW w:w="1275" w:type="dxa"/>
            <w:shd w:val="clear" w:color="auto" w:fill="C4EFCE"/>
            <w:noWrap/>
            <w:vAlign w:val="center"/>
            <w:hideMark/>
          </w:tcPr>
          <w:p w14:paraId="7AEBE05E" w14:textId="77777777" w:rsidR="00E040FD" w:rsidRDefault="00740D64">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460B81AA" w14:textId="77777777" w:rsidR="00E040FD" w:rsidRDefault="00740D6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27A38FD" w14:textId="433D97C7" w:rsidR="00E040FD" w:rsidRDefault="00740D64">
            <w:pPr>
              <w:pStyle w:val="P68B1DB1-Normal8"/>
              <w:spacing w:after="0" w:line="240" w:lineRule="auto"/>
              <w:jc w:val="center"/>
              <w:rPr>
                <w:rFonts w:eastAsia="Times New Roman" w:cs="Calibri"/>
                <w:noProof/>
              </w:rPr>
            </w:pPr>
            <w:r>
              <w:rPr>
                <w:noProof/>
              </w:rPr>
              <w:t>Ikraftträdande av lagstiftningspaketet om undanröjande av hinder för licensiering</w:t>
            </w:r>
          </w:p>
        </w:tc>
        <w:tc>
          <w:tcPr>
            <w:tcW w:w="1633" w:type="dxa"/>
            <w:shd w:val="clear" w:color="auto" w:fill="C4EFCE"/>
            <w:noWrap/>
            <w:vAlign w:val="center"/>
            <w:hideMark/>
          </w:tcPr>
          <w:p w14:paraId="65E920C4" w14:textId="39F70BC9" w:rsidR="00E040FD" w:rsidRDefault="00740D64">
            <w:pPr>
              <w:pStyle w:val="P68B1DB1-Normal8"/>
              <w:spacing w:after="0" w:line="240" w:lineRule="auto"/>
              <w:jc w:val="center"/>
              <w:rPr>
                <w:rFonts w:eastAsia="Times New Roman" w:cs="Calibri"/>
                <w:noProof/>
              </w:rPr>
            </w:pPr>
            <w:r>
              <w:rPr>
                <w:noProof/>
              </w:rPr>
              <w:t xml:space="preserve"> Ikraftträdande av lagstiftningspaketet om undanröjande av hinder för licensiering</w:t>
            </w:r>
          </w:p>
        </w:tc>
        <w:tc>
          <w:tcPr>
            <w:tcW w:w="1659" w:type="dxa"/>
            <w:shd w:val="clear" w:color="auto" w:fill="C4EFCE"/>
            <w:noWrap/>
            <w:vAlign w:val="center"/>
            <w:hideMark/>
          </w:tcPr>
          <w:p w14:paraId="3B9AFDC2"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4405CD4C" w14:textId="77777777" w:rsidR="00E040FD" w:rsidRDefault="00740D6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2DA1C3F0" w14:textId="77777777" w:rsidR="00E040FD" w:rsidRDefault="00740D6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31E6942C" w14:textId="77777777" w:rsidR="00E040FD" w:rsidRDefault="00740D64">
            <w:pPr>
              <w:pStyle w:val="P68B1DB1-Normal8"/>
              <w:spacing w:after="0" w:line="240" w:lineRule="auto"/>
              <w:jc w:val="center"/>
              <w:rPr>
                <w:rFonts w:eastAsia="Times New Roman" w:cs="Calibri"/>
                <w:noProof/>
              </w:rPr>
            </w:pPr>
            <w:r>
              <w:rPr>
                <w:noProof/>
              </w:rPr>
              <w:t>KVARTAL 3</w:t>
            </w:r>
          </w:p>
        </w:tc>
        <w:tc>
          <w:tcPr>
            <w:tcW w:w="614" w:type="dxa"/>
            <w:shd w:val="clear" w:color="auto" w:fill="C4EFCE"/>
            <w:noWrap/>
            <w:vAlign w:val="center"/>
            <w:hideMark/>
          </w:tcPr>
          <w:p w14:paraId="75CF287C" w14:textId="77777777" w:rsidR="00E040FD" w:rsidRDefault="00740D64">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27510859" w14:textId="37E2259C" w:rsidR="00E040FD" w:rsidRDefault="00740D64">
            <w:pPr>
              <w:pStyle w:val="P68B1DB1-Normal8"/>
              <w:spacing w:after="0" w:line="240" w:lineRule="auto"/>
              <w:jc w:val="both"/>
              <w:rPr>
                <w:rFonts w:eastAsia="Times New Roman" w:cs="Calibri"/>
                <w:noProof/>
              </w:rPr>
            </w:pPr>
            <w:r>
              <w:rPr>
                <w:noProof/>
              </w:rPr>
              <w:t>Ikraftträdande av lagstiftningen om undanröjande av hinder för licensiering, som identifierats i rapporten från den arbetsgrupp som inrättats genom gemensam ordning av ansvariga regeringsmedlemmar.</w:t>
            </w:r>
          </w:p>
        </w:tc>
      </w:tr>
      <w:tr w:rsidR="00E040FD" w14:paraId="50FA20CE" w14:textId="77777777">
        <w:trPr>
          <w:trHeight w:val="640"/>
        </w:trPr>
        <w:tc>
          <w:tcPr>
            <w:tcW w:w="1277" w:type="dxa"/>
            <w:shd w:val="clear" w:color="auto" w:fill="C4EFCE"/>
            <w:vAlign w:val="center"/>
          </w:tcPr>
          <w:p w14:paraId="7B1F5CA0" w14:textId="77777777" w:rsidR="00E040FD" w:rsidRDefault="00740D64">
            <w:pPr>
              <w:pStyle w:val="P68B1DB1-Normal7"/>
              <w:spacing w:after="0" w:line="240" w:lineRule="auto"/>
              <w:jc w:val="center"/>
              <w:rPr>
                <w:rFonts w:eastAsia="Times New Roman" w:cs="Calibri"/>
                <w:noProof/>
              </w:rPr>
            </w:pPr>
            <w:r>
              <w:rPr>
                <w:noProof/>
              </w:rPr>
              <w:t>18.5</w:t>
            </w:r>
          </w:p>
        </w:tc>
        <w:tc>
          <w:tcPr>
            <w:tcW w:w="1275" w:type="dxa"/>
            <w:shd w:val="clear" w:color="auto" w:fill="C4EFCE"/>
            <w:noWrap/>
            <w:vAlign w:val="center"/>
            <w:hideMark/>
          </w:tcPr>
          <w:p w14:paraId="7D316546" w14:textId="77777777" w:rsidR="00E040FD" w:rsidRDefault="00740D64">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6B073812" w14:textId="77777777" w:rsidR="00E040FD" w:rsidRDefault="00740D6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EFEFE4E" w14:textId="77777777" w:rsidR="00E040FD" w:rsidRDefault="00740D64">
            <w:pPr>
              <w:pStyle w:val="P68B1DB1-Normal8"/>
              <w:spacing w:after="0" w:line="240" w:lineRule="auto"/>
              <w:jc w:val="center"/>
              <w:rPr>
                <w:rFonts w:eastAsia="Times New Roman" w:cs="Calibri"/>
                <w:noProof/>
              </w:rPr>
            </w:pPr>
            <w:r>
              <w:rPr>
                <w:noProof/>
              </w:rPr>
              <w:t>Moderniserat it-system för brottsutredningar</w:t>
            </w:r>
          </w:p>
        </w:tc>
        <w:tc>
          <w:tcPr>
            <w:tcW w:w="1633" w:type="dxa"/>
            <w:shd w:val="clear" w:color="auto" w:fill="C4EFCE"/>
            <w:noWrap/>
            <w:vAlign w:val="center"/>
            <w:hideMark/>
          </w:tcPr>
          <w:p w14:paraId="676EC23C" w14:textId="77777777" w:rsidR="00E040FD" w:rsidRDefault="00740D64">
            <w:pPr>
              <w:pStyle w:val="P68B1DB1-Normal8"/>
              <w:spacing w:after="0" w:line="240" w:lineRule="auto"/>
              <w:jc w:val="center"/>
              <w:rPr>
                <w:rFonts w:eastAsia="Times New Roman" w:cs="Calibri"/>
                <w:noProof/>
              </w:rPr>
            </w:pPr>
            <w:r>
              <w:rPr>
                <w:noProof/>
              </w:rPr>
              <w:t>Moderniserat it-system för pågående brottsutredningar</w:t>
            </w:r>
          </w:p>
        </w:tc>
        <w:tc>
          <w:tcPr>
            <w:tcW w:w="1659" w:type="dxa"/>
            <w:shd w:val="clear" w:color="auto" w:fill="C4EFCE"/>
            <w:noWrap/>
            <w:vAlign w:val="center"/>
            <w:hideMark/>
          </w:tcPr>
          <w:p w14:paraId="1F1E7814"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EF1498A" w14:textId="77777777" w:rsidR="00E040FD" w:rsidRDefault="00740D6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399F2EC4" w14:textId="77777777" w:rsidR="00E040FD" w:rsidRDefault="00740D6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AD1E3F4" w14:textId="77777777" w:rsidR="00E040FD" w:rsidRDefault="00740D64">
            <w:pPr>
              <w:pStyle w:val="P68B1DB1-Normal8"/>
              <w:spacing w:after="0" w:line="240" w:lineRule="auto"/>
              <w:jc w:val="center"/>
              <w:rPr>
                <w:rFonts w:eastAsia="Times New Roman" w:cs="Calibri"/>
                <w:noProof/>
              </w:rPr>
            </w:pPr>
            <w:r>
              <w:rPr>
                <w:noProof/>
              </w:rPr>
              <w:t>KVARTAL 4</w:t>
            </w:r>
          </w:p>
        </w:tc>
        <w:tc>
          <w:tcPr>
            <w:tcW w:w="614" w:type="dxa"/>
            <w:shd w:val="clear" w:color="auto" w:fill="C4EFCE"/>
            <w:noWrap/>
            <w:vAlign w:val="center"/>
            <w:hideMark/>
          </w:tcPr>
          <w:p w14:paraId="5122DDCF" w14:textId="77777777" w:rsidR="00E040FD" w:rsidRDefault="00740D64">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hideMark/>
          </w:tcPr>
          <w:p w14:paraId="41A423B1" w14:textId="78BE8103" w:rsidR="00E040FD" w:rsidRDefault="00740D64">
            <w:pPr>
              <w:pStyle w:val="P68B1DB1-Normal8"/>
              <w:spacing w:after="0" w:line="240" w:lineRule="auto"/>
              <w:jc w:val="both"/>
              <w:rPr>
                <w:rFonts w:eastAsia="Times New Roman" w:cs="Calibri"/>
                <w:noProof/>
              </w:rPr>
            </w:pPr>
            <w:r>
              <w:rPr>
                <w:noProof/>
              </w:rPr>
              <w:t>Idrifttagande av ett moderniserat it-system för brottsutredningar. Moderniseringen omfattar införande av gränssnitt och uppgradering av avlyssningssystem och säkerställande av driftskompatibilitet med europeiska och internationella motparter.</w:t>
            </w:r>
          </w:p>
        </w:tc>
      </w:tr>
      <w:tr w:rsidR="00E040FD" w14:paraId="225C6D24" w14:textId="77777777">
        <w:trPr>
          <w:trHeight w:val="430"/>
        </w:trPr>
        <w:tc>
          <w:tcPr>
            <w:tcW w:w="1277" w:type="dxa"/>
            <w:shd w:val="clear" w:color="auto" w:fill="C4EFCE"/>
            <w:vAlign w:val="center"/>
          </w:tcPr>
          <w:p w14:paraId="26C96112" w14:textId="77777777" w:rsidR="00E040FD" w:rsidRDefault="00740D64">
            <w:pPr>
              <w:pStyle w:val="P68B1DB1-Normal7"/>
              <w:spacing w:after="0" w:line="240" w:lineRule="auto"/>
              <w:jc w:val="center"/>
              <w:rPr>
                <w:rFonts w:eastAsia="Times New Roman" w:cs="Calibri"/>
                <w:noProof/>
              </w:rPr>
            </w:pPr>
            <w:r>
              <w:rPr>
                <w:noProof/>
              </w:rPr>
              <w:t>18.6</w:t>
            </w:r>
          </w:p>
        </w:tc>
        <w:tc>
          <w:tcPr>
            <w:tcW w:w="1275" w:type="dxa"/>
            <w:shd w:val="clear" w:color="auto" w:fill="C4EFCE"/>
            <w:noWrap/>
            <w:vAlign w:val="center"/>
            <w:hideMark/>
          </w:tcPr>
          <w:p w14:paraId="169DA80A" w14:textId="77777777" w:rsidR="00E040FD" w:rsidRDefault="00740D64">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39443976" w14:textId="77777777" w:rsidR="00E040FD" w:rsidRDefault="00740D6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95D35B1" w14:textId="77777777" w:rsidR="00E040FD" w:rsidRDefault="00740D64">
            <w:pPr>
              <w:pStyle w:val="P68B1DB1-Normal8"/>
              <w:spacing w:after="0" w:line="240" w:lineRule="auto"/>
              <w:jc w:val="center"/>
              <w:rPr>
                <w:rFonts w:eastAsia="Times New Roman" w:cs="Calibri"/>
                <w:noProof/>
              </w:rPr>
            </w:pPr>
            <w:r>
              <w:rPr>
                <w:noProof/>
              </w:rPr>
              <w:t>Informationssystem för företag 2.0</w:t>
            </w:r>
          </w:p>
        </w:tc>
        <w:tc>
          <w:tcPr>
            <w:tcW w:w="1633" w:type="dxa"/>
            <w:shd w:val="clear" w:color="auto" w:fill="C4EFCE"/>
            <w:noWrap/>
            <w:vAlign w:val="center"/>
            <w:hideMark/>
          </w:tcPr>
          <w:p w14:paraId="57E18843" w14:textId="77777777" w:rsidR="00E040FD" w:rsidRDefault="00740D64">
            <w:pPr>
              <w:pStyle w:val="P68B1DB1-Normal8"/>
              <w:spacing w:after="0" w:line="240" w:lineRule="auto"/>
              <w:jc w:val="center"/>
              <w:rPr>
                <w:rFonts w:eastAsia="Times New Roman" w:cs="Calibri"/>
                <w:noProof/>
              </w:rPr>
            </w:pPr>
            <w:r>
              <w:rPr>
                <w:noProof/>
              </w:rPr>
              <w:t>Informationssystemet ”Företag 2.0” i drift</w:t>
            </w:r>
          </w:p>
        </w:tc>
        <w:tc>
          <w:tcPr>
            <w:tcW w:w="1659" w:type="dxa"/>
            <w:shd w:val="clear" w:color="auto" w:fill="C4EFCE"/>
            <w:noWrap/>
            <w:vAlign w:val="center"/>
            <w:hideMark/>
          </w:tcPr>
          <w:p w14:paraId="02355EB1"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47E5270" w14:textId="77777777" w:rsidR="00E040FD" w:rsidRDefault="00740D6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0D2D7DFE" w14:textId="77777777" w:rsidR="00E040FD" w:rsidRDefault="00740D6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5472196" w14:textId="77777777" w:rsidR="00E040FD" w:rsidRDefault="00740D64">
            <w:pPr>
              <w:pStyle w:val="P68B1DB1-Normal8"/>
              <w:spacing w:after="0" w:line="240" w:lineRule="auto"/>
              <w:jc w:val="center"/>
              <w:rPr>
                <w:rFonts w:eastAsia="Times New Roman" w:cs="Calibri"/>
                <w:noProof/>
              </w:rPr>
            </w:pPr>
            <w:r>
              <w:rPr>
                <w:noProof/>
              </w:rPr>
              <w:t>KVARTAL 1</w:t>
            </w:r>
          </w:p>
        </w:tc>
        <w:tc>
          <w:tcPr>
            <w:tcW w:w="614" w:type="dxa"/>
            <w:shd w:val="clear" w:color="auto" w:fill="C4EFCE"/>
            <w:noWrap/>
            <w:vAlign w:val="center"/>
            <w:hideMark/>
          </w:tcPr>
          <w:p w14:paraId="34E046B1" w14:textId="77777777" w:rsidR="00E040FD" w:rsidRDefault="00740D64">
            <w:pPr>
              <w:pStyle w:val="P68B1DB1-Normal8"/>
              <w:spacing w:after="0" w:line="240" w:lineRule="auto"/>
              <w:jc w:val="center"/>
              <w:rPr>
                <w:rFonts w:eastAsia="Times New Roman" w:cs="Calibri"/>
                <w:noProof/>
              </w:rPr>
            </w:pPr>
            <w:r>
              <w:rPr>
                <w:noProof/>
              </w:rPr>
              <w:t>2024</w:t>
            </w:r>
          </w:p>
        </w:tc>
        <w:tc>
          <w:tcPr>
            <w:tcW w:w="4880" w:type="dxa"/>
            <w:shd w:val="clear" w:color="auto" w:fill="C4EFCE"/>
            <w:vAlign w:val="center"/>
            <w:hideMark/>
          </w:tcPr>
          <w:p w14:paraId="1B04CDEB" w14:textId="77777777" w:rsidR="00E040FD" w:rsidRDefault="00740D64">
            <w:pPr>
              <w:pStyle w:val="P68B1DB1-Normal8"/>
              <w:spacing w:after="0" w:line="240" w:lineRule="auto"/>
              <w:jc w:val="both"/>
              <w:rPr>
                <w:rFonts w:eastAsia="Times New Roman" w:cs="Calibri"/>
                <w:noProof/>
              </w:rPr>
            </w:pPr>
            <w:r>
              <w:rPr>
                <w:noProof/>
              </w:rPr>
              <w:t>Idrifttagande av informationssystemet ”Enterprise 2.0”, som är en ny plattform som innehåller företagsinformation om företagens livscykel (skapande, förvaltning och avslutande).</w:t>
            </w:r>
          </w:p>
        </w:tc>
      </w:tr>
      <w:tr w:rsidR="00E040FD" w14:paraId="0A059693" w14:textId="77777777">
        <w:trPr>
          <w:trHeight w:val="1549"/>
        </w:trPr>
        <w:tc>
          <w:tcPr>
            <w:tcW w:w="1277" w:type="dxa"/>
            <w:shd w:val="clear" w:color="auto" w:fill="C4EFCE"/>
            <w:vAlign w:val="center"/>
          </w:tcPr>
          <w:p w14:paraId="4ED3BD78" w14:textId="77777777" w:rsidR="00E040FD" w:rsidRDefault="00740D64">
            <w:pPr>
              <w:pStyle w:val="P68B1DB1-Normal7"/>
              <w:spacing w:after="0" w:line="240" w:lineRule="auto"/>
              <w:jc w:val="center"/>
              <w:rPr>
                <w:rFonts w:eastAsia="Times New Roman" w:cs="Calibri"/>
                <w:noProof/>
              </w:rPr>
            </w:pPr>
            <w:r>
              <w:rPr>
                <w:noProof/>
              </w:rPr>
              <w:t>18.7</w:t>
            </w:r>
          </w:p>
        </w:tc>
        <w:tc>
          <w:tcPr>
            <w:tcW w:w="1275" w:type="dxa"/>
            <w:shd w:val="clear" w:color="auto" w:fill="C4EFCE"/>
            <w:noWrap/>
            <w:vAlign w:val="center"/>
            <w:hideMark/>
          </w:tcPr>
          <w:p w14:paraId="2C1871B2" w14:textId="77777777" w:rsidR="00E040FD" w:rsidRDefault="00740D64">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40CE8FFB" w14:textId="77777777" w:rsidR="00E040FD" w:rsidRDefault="00740D6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F76739D" w14:textId="77777777" w:rsidR="00E040FD" w:rsidRDefault="00740D64">
            <w:pPr>
              <w:pStyle w:val="P68B1DB1-Normal8"/>
              <w:spacing w:after="0" w:line="240" w:lineRule="auto"/>
              <w:jc w:val="center"/>
              <w:rPr>
                <w:rFonts w:eastAsia="Times New Roman" w:cs="Calibri"/>
                <w:noProof/>
              </w:rPr>
            </w:pPr>
            <w:r>
              <w:rPr>
                <w:noProof/>
              </w:rPr>
              <w:t>Nytt informationssystem för den digitala omvandlingen av domstolar och allmänna åklagarmyndigheten</w:t>
            </w:r>
          </w:p>
        </w:tc>
        <w:tc>
          <w:tcPr>
            <w:tcW w:w="1633" w:type="dxa"/>
            <w:shd w:val="clear" w:color="auto" w:fill="C4EFCE"/>
            <w:noWrap/>
            <w:vAlign w:val="center"/>
            <w:hideMark/>
          </w:tcPr>
          <w:p w14:paraId="0E3E294D" w14:textId="77777777" w:rsidR="00E040FD" w:rsidRDefault="00740D64">
            <w:pPr>
              <w:pStyle w:val="P68B1DB1-Normal8"/>
              <w:spacing w:after="0" w:line="240" w:lineRule="auto"/>
              <w:jc w:val="center"/>
              <w:rPr>
                <w:rFonts w:eastAsia="Times New Roman" w:cs="Calibri"/>
                <w:noProof/>
              </w:rPr>
            </w:pPr>
            <w:r>
              <w:rPr>
                <w:noProof/>
              </w:rPr>
              <w:t>Nytt informationssystem för den digitala omvandlingen av domstolar och åklagarmyndigheter i drift</w:t>
            </w:r>
          </w:p>
        </w:tc>
        <w:tc>
          <w:tcPr>
            <w:tcW w:w="1659" w:type="dxa"/>
            <w:shd w:val="clear" w:color="auto" w:fill="C4EFCE"/>
            <w:noWrap/>
            <w:vAlign w:val="center"/>
            <w:hideMark/>
          </w:tcPr>
          <w:p w14:paraId="01C32B98"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76C17AC" w14:textId="77777777" w:rsidR="00E040FD" w:rsidRDefault="00740D6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48D4F6D4" w14:textId="77777777" w:rsidR="00E040FD" w:rsidRDefault="00740D6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D0E0F97" w14:textId="77777777" w:rsidR="00E040FD" w:rsidRDefault="00740D64">
            <w:pPr>
              <w:pStyle w:val="P68B1DB1-Normal8"/>
              <w:spacing w:after="0" w:line="240" w:lineRule="auto"/>
              <w:jc w:val="center"/>
              <w:rPr>
                <w:rFonts w:eastAsia="Times New Roman" w:cs="Calibri"/>
                <w:noProof/>
              </w:rPr>
            </w:pPr>
            <w:r>
              <w:rPr>
                <w:noProof/>
              </w:rPr>
              <w:t>KVARTAL 4</w:t>
            </w:r>
          </w:p>
        </w:tc>
        <w:tc>
          <w:tcPr>
            <w:tcW w:w="614" w:type="dxa"/>
            <w:shd w:val="clear" w:color="auto" w:fill="C4EFCE"/>
            <w:noWrap/>
            <w:vAlign w:val="center"/>
            <w:hideMark/>
          </w:tcPr>
          <w:p w14:paraId="0F78CEE7" w14:textId="77777777" w:rsidR="00E040FD" w:rsidRDefault="00740D64">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28A62C7E" w14:textId="2D8A6040" w:rsidR="00E040FD" w:rsidRDefault="00740D64">
            <w:pPr>
              <w:pStyle w:val="P68B1DB1-Normal8"/>
              <w:spacing w:after="0" w:line="240" w:lineRule="auto"/>
              <w:jc w:val="both"/>
              <w:rPr>
                <w:rFonts w:eastAsia="Times New Roman" w:cs="Calibri"/>
                <w:noProof/>
              </w:rPr>
            </w:pPr>
            <w:r>
              <w:rPr>
                <w:noProof/>
              </w:rPr>
              <w:t>Idrifttagande av ett nytt informationssystem för hantering av elektroniska rättsliga förfaranden. Det nya informationssystemet ska finnas tillgängligt vid cirka 400 domstolar och åklagarenheter för hantering av elektroniska rättsliga förfaranden som omfattar alla jurisdiktioner, förfarandesteg (inklusive utredningar) och rättsliga organ och ska användas av domare, åklagare, domstolstjänstemän och företrädare. All kommunikation mellan domstolar och intressenter ska digitaliseras.</w:t>
            </w:r>
          </w:p>
        </w:tc>
      </w:tr>
      <w:tr w:rsidR="00E040FD" w14:paraId="7596235C" w14:textId="77777777">
        <w:trPr>
          <w:trHeight w:val="420"/>
        </w:trPr>
        <w:tc>
          <w:tcPr>
            <w:tcW w:w="1277" w:type="dxa"/>
            <w:shd w:val="clear" w:color="auto" w:fill="C4EFCE"/>
            <w:vAlign w:val="center"/>
          </w:tcPr>
          <w:p w14:paraId="136E2CBE" w14:textId="77777777" w:rsidR="00E040FD" w:rsidRDefault="00740D64">
            <w:pPr>
              <w:pStyle w:val="P68B1DB1-Normal7"/>
              <w:spacing w:after="0" w:line="240" w:lineRule="auto"/>
              <w:jc w:val="center"/>
              <w:rPr>
                <w:rFonts w:eastAsia="Times New Roman" w:cs="Calibri"/>
                <w:noProof/>
              </w:rPr>
            </w:pPr>
            <w:r>
              <w:rPr>
                <w:noProof/>
              </w:rPr>
              <w:t>18.8</w:t>
            </w:r>
          </w:p>
        </w:tc>
        <w:tc>
          <w:tcPr>
            <w:tcW w:w="1275" w:type="dxa"/>
            <w:shd w:val="clear" w:color="auto" w:fill="C4EFCE"/>
            <w:noWrap/>
            <w:vAlign w:val="center"/>
            <w:hideMark/>
          </w:tcPr>
          <w:p w14:paraId="04B7365D" w14:textId="77777777" w:rsidR="00E040FD" w:rsidRDefault="00740D64">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03AD5040" w14:textId="77777777" w:rsidR="00E040FD" w:rsidRDefault="00740D6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2AEC5F26" w14:textId="77777777" w:rsidR="00E040FD" w:rsidRDefault="00740D64">
            <w:pPr>
              <w:pStyle w:val="P68B1DB1-Normal8"/>
              <w:spacing w:after="0" w:line="240" w:lineRule="auto"/>
              <w:jc w:val="center"/>
              <w:rPr>
                <w:rFonts w:eastAsia="Times New Roman" w:cs="Calibri"/>
                <w:noProof/>
              </w:rPr>
            </w:pPr>
            <w:r>
              <w:rPr>
                <w:noProof/>
              </w:rPr>
              <w:t xml:space="preserve">Genomförande av den nya teknikplanen  </w:t>
            </w:r>
          </w:p>
        </w:tc>
        <w:tc>
          <w:tcPr>
            <w:tcW w:w="1633" w:type="dxa"/>
            <w:shd w:val="clear" w:color="auto" w:fill="C4EFCE"/>
            <w:noWrap/>
            <w:vAlign w:val="center"/>
            <w:hideMark/>
          </w:tcPr>
          <w:p w14:paraId="490AFB9D" w14:textId="77777777" w:rsidR="00E040FD" w:rsidRDefault="00740D64">
            <w:pPr>
              <w:pStyle w:val="P68B1DB1-Normal8"/>
              <w:spacing w:after="0" w:line="240" w:lineRule="auto"/>
              <w:jc w:val="center"/>
              <w:rPr>
                <w:rFonts w:eastAsia="Times New Roman" w:cs="Calibri"/>
                <w:noProof/>
              </w:rPr>
            </w:pPr>
            <w:r>
              <w:rPr>
                <w:noProof/>
              </w:rPr>
              <w:t>Genomförande av den nya teknikplanen</w:t>
            </w:r>
          </w:p>
        </w:tc>
        <w:tc>
          <w:tcPr>
            <w:tcW w:w="1659" w:type="dxa"/>
            <w:shd w:val="clear" w:color="auto" w:fill="C4EFCE"/>
            <w:noWrap/>
            <w:vAlign w:val="center"/>
            <w:hideMark/>
          </w:tcPr>
          <w:p w14:paraId="45638276"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590CD33" w14:textId="77777777" w:rsidR="00E040FD" w:rsidRDefault="00740D6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6F1CD951" w14:textId="77777777" w:rsidR="00E040FD" w:rsidRDefault="00740D6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40C9F6AE" w14:textId="77777777" w:rsidR="00E040FD" w:rsidRDefault="00740D64">
            <w:pPr>
              <w:pStyle w:val="P68B1DB1-Normal8"/>
              <w:spacing w:after="0" w:line="240" w:lineRule="auto"/>
              <w:jc w:val="center"/>
              <w:rPr>
                <w:rFonts w:eastAsia="Times New Roman" w:cs="Calibri"/>
                <w:noProof/>
              </w:rPr>
            </w:pPr>
            <w:r>
              <w:rPr>
                <w:noProof/>
              </w:rPr>
              <w:t>KVARTAL 4</w:t>
            </w:r>
          </w:p>
        </w:tc>
        <w:tc>
          <w:tcPr>
            <w:tcW w:w="614" w:type="dxa"/>
            <w:shd w:val="clear" w:color="auto" w:fill="C4EFCE"/>
            <w:noWrap/>
            <w:vAlign w:val="center"/>
            <w:hideMark/>
          </w:tcPr>
          <w:p w14:paraId="1F094D9A" w14:textId="77777777" w:rsidR="00E040FD" w:rsidRDefault="00740D64">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16BB7A9B" w14:textId="77777777" w:rsidR="00E040FD" w:rsidRDefault="00740D64">
            <w:pPr>
              <w:pStyle w:val="P68B1DB1-Normal8"/>
              <w:spacing w:after="0" w:line="240" w:lineRule="auto"/>
              <w:jc w:val="both"/>
              <w:rPr>
                <w:rFonts w:eastAsia="Times New Roman" w:cs="Calibri"/>
                <w:noProof/>
              </w:rPr>
            </w:pPr>
            <w:r>
              <w:rPr>
                <w:noProof/>
              </w:rPr>
              <w:t xml:space="preserve">Genomförande av den nya planen för teknik för utrustning och infrastruktur för rättsväsendet med idrifttagande av följande komponenter: </w:t>
            </w:r>
          </w:p>
          <w:p w14:paraId="2DCE4A09" w14:textId="77777777" w:rsidR="00E040FD" w:rsidRDefault="00740D64">
            <w:pPr>
              <w:pStyle w:val="P68B1DB1-Normal8"/>
              <w:spacing w:after="0" w:line="240" w:lineRule="auto"/>
              <w:jc w:val="both"/>
              <w:rPr>
                <w:rFonts w:eastAsia="Times New Roman" w:cs="Calibri"/>
                <w:noProof/>
              </w:rPr>
            </w:pPr>
            <w:r>
              <w:rPr>
                <w:noProof/>
              </w:rPr>
              <w:t xml:space="preserve">a) Ett nytt datacentrum. </w:t>
            </w:r>
          </w:p>
          <w:p w14:paraId="5AABD6C8" w14:textId="77777777" w:rsidR="00E040FD" w:rsidRDefault="00740D64">
            <w:pPr>
              <w:pStyle w:val="P68B1DB1-Normal8"/>
              <w:spacing w:after="0" w:line="240" w:lineRule="auto"/>
              <w:jc w:val="both"/>
              <w:rPr>
                <w:rFonts w:eastAsia="Times New Roman" w:cs="Calibri"/>
                <w:noProof/>
              </w:rPr>
            </w:pPr>
            <w:r>
              <w:rPr>
                <w:noProof/>
              </w:rPr>
              <w:t xml:space="preserve">b) Öppen dataplattform för rättsväsendet. </w:t>
            </w:r>
          </w:p>
          <w:p w14:paraId="598F4A88" w14:textId="77777777" w:rsidR="00E040FD" w:rsidRDefault="00740D64">
            <w:pPr>
              <w:pStyle w:val="P68B1DB1-Normal8"/>
              <w:spacing w:after="0" w:line="240" w:lineRule="auto"/>
              <w:jc w:val="both"/>
              <w:rPr>
                <w:rFonts w:eastAsia="Times New Roman" w:cs="Calibri"/>
                <w:noProof/>
              </w:rPr>
            </w:pPr>
            <w:r>
              <w:rPr>
                <w:noProof/>
              </w:rPr>
              <w:t xml:space="preserve">c) Ett informationshanteringssystem för alla enheter inom rättsväsendet. </w:t>
            </w:r>
          </w:p>
          <w:p w14:paraId="458BE826" w14:textId="1D3A1DA0" w:rsidR="00E040FD" w:rsidRDefault="00740D64">
            <w:pPr>
              <w:pStyle w:val="P68B1DB1-Normal8"/>
              <w:spacing w:after="0" w:line="240" w:lineRule="auto"/>
              <w:jc w:val="both"/>
              <w:rPr>
                <w:rFonts w:eastAsia="Times New Roman" w:cs="Calibri"/>
                <w:noProof/>
              </w:rPr>
            </w:pPr>
            <w:r>
              <w:rPr>
                <w:noProof/>
              </w:rPr>
              <w:t>d) Hantering av digital identitet och</w:t>
            </w:r>
          </w:p>
          <w:p w14:paraId="42F2BEFF" w14:textId="12D6CA51" w:rsidR="00E040FD" w:rsidRDefault="00740D64">
            <w:pPr>
              <w:pStyle w:val="P68B1DB1-Normal8"/>
              <w:spacing w:after="0" w:line="240" w:lineRule="auto"/>
              <w:jc w:val="both"/>
              <w:rPr>
                <w:rFonts w:eastAsia="Times New Roman" w:cs="Calibri"/>
                <w:noProof/>
              </w:rPr>
            </w:pPr>
            <w:r>
              <w:rPr>
                <w:noProof/>
              </w:rPr>
              <w:t>e) Ett system för återvinning och förvaltning av beslagtagna tillgångar i rättsliga förfaranden</w:t>
            </w:r>
          </w:p>
        </w:tc>
      </w:tr>
      <w:tr w:rsidR="00E040FD" w14:paraId="652E8888" w14:textId="77777777">
        <w:trPr>
          <w:trHeight w:val="290"/>
        </w:trPr>
        <w:tc>
          <w:tcPr>
            <w:tcW w:w="1277" w:type="dxa"/>
            <w:shd w:val="clear" w:color="auto" w:fill="C4EFCE"/>
            <w:vAlign w:val="center"/>
          </w:tcPr>
          <w:p w14:paraId="7B60AA28" w14:textId="77777777" w:rsidR="00E040FD" w:rsidRDefault="00740D64">
            <w:pPr>
              <w:pStyle w:val="P68B1DB1-Normal7"/>
              <w:spacing w:after="0" w:line="240" w:lineRule="auto"/>
              <w:jc w:val="center"/>
              <w:rPr>
                <w:rFonts w:eastAsia="Times New Roman" w:cs="Calibri"/>
                <w:noProof/>
              </w:rPr>
            </w:pPr>
            <w:r>
              <w:rPr>
                <w:noProof/>
              </w:rPr>
              <w:t>18.9</w:t>
            </w:r>
          </w:p>
        </w:tc>
        <w:tc>
          <w:tcPr>
            <w:tcW w:w="1275" w:type="dxa"/>
            <w:shd w:val="clear" w:color="auto" w:fill="C4EFCE"/>
            <w:noWrap/>
            <w:vAlign w:val="center"/>
            <w:hideMark/>
          </w:tcPr>
          <w:p w14:paraId="466CB9EA" w14:textId="77777777" w:rsidR="00E040FD" w:rsidRDefault="00740D64">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542529BD" w14:textId="77777777" w:rsidR="00E040FD" w:rsidRDefault="00740D6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30BF086F" w14:textId="77777777" w:rsidR="00E040FD" w:rsidRDefault="00740D64">
            <w:pPr>
              <w:pStyle w:val="P68B1DB1-Normal8"/>
              <w:spacing w:after="0" w:line="240" w:lineRule="auto"/>
              <w:jc w:val="center"/>
              <w:rPr>
                <w:rFonts w:eastAsia="Times New Roman" w:cs="Calibri"/>
                <w:noProof/>
              </w:rPr>
            </w:pPr>
            <w:r>
              <w:rPr>
                <w:noProof/>
              </w:rPr>
              <w:t xml:space="preserve">Kunskapshanteringsplattformar inom rättsväsendet </w:t>
            </w:r>
          </w:p>
        </w:tc>
        <w:tc>
          <w:tcPr>
            <w:tcW w:w="1633" w:type="dxa"/>
            <w:shd w:val="clear" w:color="auto" w:fill="C4EFCE"/>
            <w:noWrap/>
            <w:vAlign w:val="center"/>
            <w:hideMark/>
          </w:tcPr>
          <w:p w14:paraId="2BB35CD2" w14:textId="77777777" w:rsidR="00E040FD" w:rsidRDefault="00740D64">
            <w:pPr>
              <w:pStyle w:val="P68B1DB1-Normal8"/>
              <w:spacing w:after="0" w:line="240" w:lineRule="auto"/>
              <w:jc w:val="center"/>
              <w:rPr>
                <w:rFonts w:eastAsia="Times New Roman" w:cs="Calibri"/>
                <w:noProof/>
              </w:rPr>
            </w:pPr>
            <w:r>
              <w:rPr>
                <w:noProof/>
              </w:rPr>
              <w:t>Kunskapshanteringsplattformar inom rättsväsendet i drift</w:t>
            </w:r>
          </w:p>
        </w:tc>
        <w:tc>
          <w:tcPr>
            <w:tcW w:w="1659" w:type="dxa"/>
            <w:shd w:val="clear" w:color="auto" w:fill="C4EFCE"/>
            <w:noWrap/>
            <w:vAlign w:val="center"/>
            <w:hideMark/>
          </w:tcPr>
          <w:p w14:paraId="1AFCBD9B"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D02AA90" w14:textId="77777777" w:rsidR="00E040FD" w:rsidRDefault="00740D6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1A564C8D" w14:textId="77777777" w:rsidR="00E040FD" w:rsidRDefault="00740D6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7BC388F9" w14:textId="77777777" w:rsidR="00E040FD" w:rsidRDefault="00740D64">
            <w:pPr>
              <w:pStyle w:val="P68B1DB1-Normal8"/>
              <w:spacing w:after="0" w:line="240" w:lineRule="auto"/>
              <w:jc w:val="center"/>
              <w:rPr>
                <w:rFonts w:eastAsia="Times New Roman" w:cs="Calibri"/>
                <w:noProof/>
              </w:rPr>
            </w:pPr>
            <w:r>
              <w:rPr>
                <w:noProof/>
              </w:rPr>
              <w:t>KVARTAL 4</w:t>
            </w:r>
          </w:p>
        </w:tc>
        <w:tc>
          <w:tcPr>
            <w:tcW w:w="614" w:type="dxa"/>
            <w:shd w:val="clear" w:color="auto" w:fill="C4EFCE"/>
            <w:noWrap/>
            <w:vAlign w:val="center"/>
            <w:hideMark/>
          </w:tcPr>
          <w:p w14:paraId="176AAACD" w14:textId="77777777" w:rsidR="00E040FD" w:rsidRDefault="00740D64">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0610679A" w14:textId="77777777" w:rsidR="00E040FD" w:rsidRDefault="00740D64">
            <w:pPr>
              <w:pStyle w:val="P68B1DB1-Normal8"/>
              <w:spacing w:after="0" w:line="240" w:lineRule="auto"/>
              <w:jc w:val="both"/>
              <w:rPr>
                <w:rFonts w:eastAsia="Times New Roman" w:cs="Calibri"/>
                <w:noProof/>
              </w:rPr>
            </w:pPr>
            <w:r>
              <w:rPr>
                <w:noProof/>
              </w:rPr>
              <w:t xml:space="preserve">Idrifttagande av följande plattformar för kunskapshantering: </w:t>
            </w:r>
          </w:p>
          <w:p w14:paraId="496127DF" w14:textId="77777777" w:rsidR="00E040FD" w:rsidRDefault="00740D64">
            <w:pPr>
              <w:pStyle w:val="P68B1DB1-Normal8"/>
              <w:spacing w:after="0" w:line="240" w:lineRule="auto"/>
              <w:jc w:val="both"/>
              <w:rPr>
                <w:rFonts w:eastAsia="Times New Roman" w:cs="Calibri"/>
                <w:noProof/>
              </w:rPr>
            </w:pPr>
            <w:r>
              <w:rPr>
                <w:noProof/>
              </w:rPr>
              <w:t>a) Delade stödtjänster</w:t>
            </w:r>
          </w:p>
          <w:p w14:paraId="7691DD03" w14:textId="77777777" w:rsidR="00E040FD" w:rsidRDefault="00740D64">
            <w:pPr>
              <w:pStyle w:val="P68B1DB1-Normal8"/>
              <w:spacing w:after="0" w:line="240" w:lineRule="auto"/>
              <w:jc w:val="both"/>
              <w:rPr>
                <w:rFonts w:eastAsia="Times New Roman" w:cs="Calibri"/>
                <w:noProof/>
              </w:rPr>
            </w:pPr>
            <w:r>
              <w:rPr>
                <w:noProof/>
              </w:rPr>
              <w:t>b) Statistik och indikatorer</w:t>
            </w:r>
          </w:p>
          <w:p w14:paraId="72273524" w14:textId="66EFA231" w:rsidR="00E040FD" w:rsidRDefault="00740D64">
            <w:pPr>
              <w:pStyle w:val="P68B1DB1-Normal8"/>
              <w:spacing w:after="0" w:line="240" w:lineRule="auto"/>
              <w:jc w:val="both"/>
              <w:rPr>
                <w:rFonts w:eastAsia="Times New Roman" w:cs="Calibri"/>
                <w:noProof/>
              </w:rPr>
            </w:pPr>
            <w:r>
              <w:rPr>
                <w:noProof/>
              </w:rPr>
              <w:t>c) Plattform för informationshantering (dokumenthanteringssystem)</w:t>
            </w:r>
          </w:p>
        </w:tc>
      </w:tr>
    </w:tbl>
    <w:p w14:paraId="1FA4212A"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04578922"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E040FD" w:rsidSect="00E00EDD">
          <w:headerReference w:type="even" r:id="rId336"/>
          <w:headerReference w:type="default" r:id="rId337"/>
          <w:footerReference w:type="even" r:id="rId338"/>
          <w:footerReference w:type="default" r:id="rId339"/>
          <w:headerReference w:type="first" r:id="rId340"/>
          <w:footerReference w:type="first" r:id="rId341"/>
          <w:pgSz w:w="16839" w:h="11907" w:orient="landscape"/>
          <w:pgMar w:top="1134" w:right="1134" w:bottom="1134" w:left="1134" w:header="567" w:footer="567" w:gutter="0"/>
          <w:cols w:space="720"/>
          <w:docGrid w:linePitch="360"/>
        </w:sectPr>
      </w:pPr>
    </w:p>
    <w:p w14:paraId="2D348F08"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S. KOMPONENT 19: Digital offentlig förvaltning</w:t>
      </w:r>
    </w:p>
    <w:p w14:paraId="545FE9CA" w14:textId="77777777" w:rsidR="00E040FD" w:rsidRDefault="00740D64">
      <w:pPr>
        <w:pStyle w:val="P68B1DB1-Normal4"/>
        <w:keepNext/>
        <w:spacing w:before="40" w:after="0" w:line="259" w:lineRule="auto"/>
        <w:jc w:val="both"/>
        <w:rPr>
          <w:rFonts w:eastAsiaTheme="minorEastAsia" w:cs="Times New Roman"/>
          <w:noProof/>
        </w:rPr>
      </w:pPr>
      <w:r>
        <w:rPr>
          <w:noProof/>
        </w:rPr>
        <w:t>Denna del av Portugals återhämtnings- och resiliensplan tar itu med utmaningen att tillhandahålla bättre, enklare och mer digitala offentliga tjänster. Portugal har goda förutsättningar att tillhandahålla digitala tjänster, men fragmentering och dubblering av krav är fortfarande viktiga hinder för en effektiv och kundorienterad offentlig förvaltning. Denna del syftar till att ta itu med dessa utmaningar.</w:t>
      </w:r>
    </w:p>
    <w:p w14:paraId="7E98D9F3"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Komponenten syftar till bättre offentliga tjänster genom att främja användningen av tekniska lösningar och stärka närheten för enklare, säker, ändamålsenlig och effektiv tillgång för medborgare och företag, vilket minskar kostnaderna i sammanhanget. Dessutom syftar det till att främja effektivitet, modernisering, innovation och egenmakt för den offentliga förvaltningen, stärka dess motståndskraft, förbättra de offentliganställdas kompetens och öka statens och den offentliga förvaltningens bidrag till ekonomisk och social tillväxt och utveckling. </w:t>
      </w:r>
    </w:p>
    <w:p w14:paraId="48EE2AE0"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 Denna komponent är inriktad på genomförandet av paradigmet ”digitalt per definition” och principen ”endast en gång” i den portugisiska offentliga förvaltningen, samtidigt som man investerar i kompetenshöjning av arbetskraften. </w:t>
      </w:r>
    </w:p>
    <w:p w14:paraId="73EFA6EB"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del bidrar till att följa de landsspecifika rekommendationerna om </w:t>
      </w:r>
    </w:p>
    <w:p w14:paraId="4BE37384" w14:textId="77777777" w:rsidR="00E040FD" w:rsidRDefault="00740D64">
      <w:pPr>
        <w:pStyle w:val="P68B1DB1-Normal4"/>
        <w:keepNext/>
        <w:numPr>
          <w:ilvl w:val="0"/>
          <w:numId w:val="35"/>
        </w:numPr>
        <w:spacing w:before="40" w:after="0" w:line="259" w:lineRule="auto"/>
        <w:jc w:val="both"/>
        <w:rPr>
          <w:rFonts w:eastAsiaTheme="minorEastAsia" w:cs="Times New Roman"/>
          <w:noProof/>
        </w:rPr>
      </w:pPr>
      <w:r>
        <w:rPr>
          <w:noProof/>
        </w:rPr>
        <w:t xml:space="preserve">prioritera tillväxtfrämjande utgifter (de landsspecifika rekommendationerna 1 2019 och 2020) genom att dra nytta av de effektivitetsvinster som digitaliseringen medför. </w:t>
      </w:r>
    </w:p>
    <w:p w14:paraId="6FD36964" w14:textId="77777777" w:rsidR="00E040FD" w:rsidRDefault="00740D64">
      <w:pPr>
        <w:pStyle w:val="P68B1DB1-Normal4"/>
        <w:keepNext/>
        <w:numPr>
          <w:ilvl w:val="0"/>
          <w:numId w:val="35"/>
        </w:numPr>
        <w:spacing w:before="40" w:after="0" w:line="259" w:lineRule="auto"/>
        <w:jc w:val="both"/>
        <w:rPr>
          <w:rFonts w:eastAsiaTheme="minorEastAsia" w:cs="Times New Roman"/>
          <w:noProof/>
        </w:rPr>
      </w:pPr>
      <w:r>
        <w:rPr>
          <w:noProof/>
        </w:rPr>
        <w:t>förbättring av befolkningens kompetensnivå (landsspecifik rekommendation 2 2019) när det gäller offentlig förvaltning.</w:t>
      </w:r>
    </w:p>
    <w:p w14:paraId="1C7F0463" w14:textId="77777777" w:rsidR="00E040FD" w:rsidRDefault="00740D64">
      <w:pPr>
        <w:pStyle w:val="P68B1DB1-Normal4"/>
        <w:keepNext/>
        <w:numPr>
          <w:ilvl w:val="0"/>
          <w:numId w:val="35"/>
        </w:numPr>
        <w:spacing w:before="40" w:after="0" w:line="259" w:lineRule="auto"/>
        <w:jc w:val="both"/>
        <w:rPr>
          <w:rFonts w:eastAsiaTheme="minorEastAsia" w:cs="Times New Roman"/>
          <w:noProof/>
        </w:rPr>
      </w:pPr>
      <w:r>
        <w:rPr>
          <w:noProof/>
        </w:rPr>
        <w:t xml:space="preserve">inrikta investeringarna på digital omställning (landsspecifik rekommendation 3 2020) genom att investera i övergripande och sektoriella system för offentlig förvaltning. och </w:t>
      </w:r>
    </w:p>
    <w:p w14:paraId="4FD80289" w14:textId="77777777" w:rsidR="00E040FD" w:rsidRDefault="00740D64">
      <w:pPr>
        <w:pStyle w:val="P68B1DB1-Normal4"/>
        <w:keepNext/>
        <w:numPr>
          <w:ilvl w:val="0"/>
          <w:numId w:val="35"/>
        </w:numPr>
        <w:spacing w:before="40" w:after="0" w:line="259" w:lineRule="auto"/>
        <w:jc w:val="both"/>
        <w:rPr>
          <w:rFonts w:eastAsiaTheme="minorEastAsia" w:cs="Times New Roman"/>
          <w:noProof/>
        </w:rPr>
      </w:pPr>
      <w:r>
        <w:rPr>
          <w:noProof/>
        </w:rPr>
        <w:t xml:space="preserve">minska regelbördan och den administrativa bördan för företagen (landsspecifik rekommendation 4 2019) genom att förenkla och effektivisera förbindelserna mellan företag och offentliga myndigheter, särskilt genom att tillämpa engångsprincipen. </w:t>
      </w:r>
    </w:p>
    <w:p w14:paraId="2CE620EE" w14:textId="77777777" w:rsidR="00E040FD" w:rsidRDefault="00740D64">
      <w:pPr>
        <w:pStyle w:val="P68B1DB1-Normal4"/>
        <w:keepNext/>
        <w:spacing w:before="40" w:after="120" w:line="259" w:lineRule="auto"/>
        <w:ind w:left="720"/>
        <w:jc w:val="both"/>
        <w:rPr>
          <w:rFonts w:eastAsiaTheme="minorEastAsia" w:cs="Times New Roman"/>
          <w:noProof/>
        </w:rPr>
      </w:pPr>
      <w:r>
        <w:rPr>
          <w:noProof/>
        </w:rPr>
        <w:t xml:space="preserve">Ingen åtgärd i denna komponent förväntas orsaka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 </w:t>
      </w:r>
    </w:p>
    <w:p w14:paraId="138A182A" w14:textId="77777777" w:rsidR="00E040FD" w:rsidRDefault="00740D64">
      <w:pPr>
        <w:pStyle w:val="P68B1DB1-Normal3"/>
        <w:keepNext/>
        <w:spacing w:before="40" w:after="120" w:line="259" w:lineRule="auto"/>
        <w:ind w:left="130" w:firstLine="720"/>
        <w:jc w:val="both"/>
        <w:outlineLvl w:val="1"/>
        <w:rPr>
          <w:rFonts w:eastAsiaTheme="minorEastAsia" w:cs="Times New Roman"/>
          <w:noProof/>
        </w:rPr>
      </w:pPr>
      <w:r>
        <w:rPr>
          <w:noProof/>
        </w:rPr>
        <w:t xml:space="preserve">S.1. </w:t>
      </w:r>
      <w:r>
        <w:rPr>
          <w:noProof/>
        </w:rPr>
        <w:tab/>
        <w:t>Beskrivning av reformer och investeringar avseende icke återbetalningspliktigt ekonomiskt stöd</w:t>
      </w:r>
    </w:p>
    <w:p w14:paraId="33CDC499"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 xml:space="preserve">Reform TD-r34: Digitala, enkla, inkluderande och säkra offentliga tjänster för medborgare och företag </w:t>
      </w:r>
    </w:p>
    <w:p w14:paraId="77FBE40A"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reformen är att genomföra paradigmet ”digitalt per definition” i offentliga tjänster, för att göra det mer användarinriktat, öka tillgängligheten och minska den administrativa bördan för medborgare och företag, bland annat genom att förlita sig på användningen av molntjänster. </w:t>
      </w:r>
    </w:p>
    <w:p w14:paraId="15685842"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Reformen ska bestå av genomförandet av åtgärder för att säkerställa att den nödvändiga rättsliga ramen finns på plats för den digitala omställningen, särskilt för genomförandet av den gemensamma digitala ingången och engångsprincipen, genom en samordnad process mellan offentliga enheter som är förankrade i en strategi och handlingsplan för digital omvandling inom offentlig förvaltning för 2021–2023 och 2024–2026, samtidigt som de nödvändiga garantierna för informationssäkerhet genomförs, inbegripet sådana som är specifika för cybersäkerhet. </w:t>
      </w:r>
    </w:p>
    <w:p w14:paraId="5F0EA2EF" w14:textId="12627A67" w:rsidR="00E040FD" w:rsidRDefault="00740D64">
      <w:pPr>
        <w:pStyle w:val="P68B1DB1-Normal4"/>
        <w:keepNext/>
        <w:spacing w:before="40" w:after="0" w:line="259" w:lineRule="auto"/>
        <w:jc w:val="both"/>
        <w:rPr>
          <w:rFonts w:eastAsiaTheme="minorEastAsia" w:cs="Times New Roman"/>
          <w:noProof/>
        </w:rPr>
      </w:pPr>
      <w:r>
        <w:rPr>
          <w:noProof/>
        </w:rPr>
        <w:t>Genomförandet av reformen ska vara slutfört senast den 30 september 2021.</w:t>
      </w:r>
    </w:p>
    <w:p w14:paraId="66FE78DD"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4F8D8530"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Reform TD-r35: Funktionell och organisatorisk reform av den offentliga förvaltningen</w:t>
      </w:r>
    </w:p>
    <w:p w14:paraId="033B5E87"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reform är att omstrukturera och rationalisera de offentliga tjänsterna för att främja en modern och effektivare offentlig förvaltning, samtidigt som man drar nytta av de synergieffekter som följer av genomförandet av reformen TD-r34. Det finns för närvarande en splittring och redundans inom centrala ministerier, vilket leder till en upprepning av tjänster inom ministerierna och en hög grad av stelhet i arbetsleveransmodellerna inom den offentliga sektorn, som bygger på strikta befälsordningar och leder till onödiga byråkratiska strategier. </w:t>
      </w:r>
    </w:p>
    <w:p w14:paraId="17A61D96"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Genom denna reform ska modellen för hur staten och den offentliga förvaltningen i allmänhet fungerar ses över, i syfte att öka synergieffekterna och utnyttja de möjligheter som tekniken skapar. Detta ska inbegripa centralisering av gemensamma och delade tjänster, hantering av spridning och redundans inom centrala statliga departement, lämplig specialisering av enheter inom direkt och indirekt offentlig förvaltning inom olika kompetensområden, specialisering av kritiska funktioner för stöd till offentlig verksamhet och koncentration av statliga kontor till ett enda fysiskt område samt främjande av intern revision och riktmärkning, inriktning på processeffektivitet, kontinuerlig förbättring och spridning av praxis för högsta ledning bland enheter inom offentlig förvaltning. Denna reform ska genomföras genom inrättandet av en uppdragsstruktur (arbetsgrupp) för att diagnostisera och utarbeta en plan för omorganisationen av de centrala statliga tjänsterna, som ska finansieras genom TD-C19-i07. </w:t>
      </w:r>
    </w:p>
    <w:p w14:paraId="5AC9D457"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Genomförandet av reformen ska vara slutfört senast den 31 december 2023. </w:t>
      </w:r>
    </w:p>
    <w:p w14:paraId="0BE3FE14"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Reform TD-r36: Offentlig förvaltning med befogenhet att skapa offentligt värde</w:t>
      </w:r>
    </w:p>
    <w:p w14:paraId="4496EB08" w14:textId="77777777" w:rsidR="00E040FD" w:rsidRDefault="00740D64">
      <w:pPr>
        <w:pStyle w:val="P68B1DB1-Normal4"/>
        <w:keepNext/>
        <w:spacing w:before="40" w:after="0" w:line="259" w:lineRule="auto"/>
        <w:jc w:val="both"/>
        <w:rPr>
          <w:rFonts w:eastAsiaTheme="minorEastAsia" w:cs="Times New Roman"/>
          <w:noProof/>
        </w:rPr>
      </w:pPr>
      <w:r>
        <w:rPr>
          <w:noProof/>
        </w:rPr>
        <w:t>Denna reform syftar till att höja tjänstemännens kompetens, även i deras digitala färdigheter, och genomför nya arbetsmodeller (dvs. distansarbete). Denna reform är i linje med de åtgärder som planeras i del 6.</w:t>
      </w:r>
    </w:p>
    <w:p w14:paraId="6CC35A5C"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reform, som återspeglas i strategin för innovation och modernisering av staten och den offentliga förvaltningen från juli 2020, ska stärka lednings- och utbildningsstrukturen för tjänstemän och chefer genom att inrätta en struktur för samordning av utbildningsverksamheten ( </w:t>
      </w:r>
      <w:r>
        <w:rPr>
          <w:i/>
          <w:noProof/>
        </w:rPr>
        <w:t>Instituto Nacional de Administração</w:t>
      </w:r>
      <w:r>
        <w:rPr>
          <w:noProof/>
        </w:rPr>
        <w:t xml:space="preserve">), som ska leda främjandet av såväl avancerad utbildning som ledarskapskompetens, datavetenskap och specialiseringskurser, och genom att fördjupa programmet </w:t>
      </w:r>
      <w:r>
        <w:rPr>
          <w:i/>
          <w:noProof/>
        </w:rPr>
        <w:t>Qualifica AP</w:t>
      </w:r>
      <w:r>
        <w:rPr>
          <w:noProof/>
        </w:rPr>
        <w:t xml:space="preserve"> för att höja kvalifikationsnivån för offentliganställda på kort och medellång sikt. Parallellt med detta syftar reformen till att utnyttja potentialen hos distansarbete inom den offentliga förvaltningen.</w:t>
      </w:r>
    </w:p>
    <w:p w14:paraId="1D6E6E11" w14:textId="77777777" w:rsidR="00E040FD" w:rsidRDefault="00740D64">
      <w:pPr>
        <w:pStyle w:val="P68B1DB1-Normal4"/>
        <w:keepNext/>
        <w:spacing w:before="40" w:after="0" w:line="259" w:lineRule="auto"/>
        <w:jc w:val="both"/>
        <w:rPr>
          <w:rFonts w:eastAsiaTheme="minorEastAsia" w:cs="Times New Roman"/>
          <w:noProof/>
        </w:rPr>
      </w:pPr>
      <w:r>
        <w:rPr>
          <w:noProof/>
        </w:rPr>
        <w:t>Det är nära kopplat till investeringar TD-C19-i07 – Förstärkning av den offentliga förvaltningen, som omfattar program för digital kapacitet, yrkespraktik, högre och avancerad ledarskapsutbildning och ökad kompetens för offentliganställda i allmänhet.</w:t>
      </w:r>
    </w:p>
    <w:p w14:paraId="3081325B"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Genomförandet av reformen ska vara slutfört senast den 30 juni 2021. </w:t>
      </w:r>
    </w:p>
    <w:p w14:paraId="67759F07"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 xml:space="preserve">Investeringar TD-C19-i01: Omformning av offentliga och konsulära tjänster </w:t>
      </w:r>
    </w:p>
    <w:p w14:paraId="2662C4CF"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investering är att genomföra det digitala paradigmet per definition i samspelet mellan berörda parter och den portugisiska offentliga förvaltningen, i syfte att öka effektiviteten och minska byråkratin. Det syftar också till att öka de konsulära tjänsternas effektivitet och säkerställa den digitala omställningen för de enheter som kontrolleras av utrikesministeriet.</w:t>
      </w:r>
    </w:p>
    <w:p w14:paraId="522C313A"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Denna åtgärd ska se över de offentliga och konsulära myndigheternas front office genom att inrätta en samlad insatskapacitet (gemensam digital ingång, teletjänst och personliga tjänster), i kombination med ett system för övergripande styrning som utnyttjar molnbaserade datortjänster och användning av 5G-nät, för att förnya, förbättra kvaliteten och minska asymmetrierna i tillhandahållandet av offentliga tjänster. </w:t>
      </w:r>
    </w:p>
    <w:p w14:paraId="3624F6F1" w14:textId="47138042" w:rsidR="00E040FD" w:rsidRDefault="00740D64">
      <w:pPr>
        <w:pStyle w:val="P68B1DB1-Normal4"/>
        <w:keepNext/>
        <w:spacing w:before="40" w:after="0" w:line="259" w:lineRule="auto"/>
        <w:jc w:val="both"/>
        <w:rPr>
          <w:rFonts w:eastAsiaTheme="minorEastAsia" w:cs="Times New Roman"/>
          <w:noProof/>
        </w:rPr>
      </w:pPr>
      <w:r>
        <w:rPr>
          <w:noProof/>
        </w:rPr>
        <w:t xml:space="preserve">Denna investering ska också omfatta inrättandet av nya </w:t>
      </w:r>
      <w:r>
        <w:rPr>
          <w:i/>
          <w:noProof/>
        </w:rPr>
        <w:t>Espaços cidadão</w:t>
      </w:r>
      <w:r>
        <w:rPr>
          <w:noProof/>
        </w:rPr>
        <w:t xml:space="preserve"> och </w:t>
      </w:r>
      <w:r>
        <w:rPr>
          <w:i/>
          <w:noProof/>
        </w:rPr>
        <w:t>Lojas do Cidadão</w:t>
      </w:r>
      <w:r>
        <w:rPr>
          <w:noProof/>
        </w:rPr>
        <w:t xml:space="preserve"> i nya energieffektiva utrymmen. </w:t>
      </w:r>
    </w:p>
    <w:p w14:paraId="432248CD" w14:textId="4667BC5C"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30 juni 2026.</w:t>
      </w:r>
    </w:p>
    <w:p w14:paraId="154FC4BB"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Investeringar TD-C19-i02: Hållbara elektroniska tjänster</w:t>
      </w:r>
      <w:r>
        <w:rPr>
          <w:i/>
          <w:noProof/>
        </w:rPr>
        <w:t xml:space="preserve"> </w:t>
      </w:r>
    </w:p>
    <w:p w14:paraId="303AEEC2"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denna investering är att tillhandahålla nödvändigt backoffice-stöd till de tidigare investeringarna och inriktas på att stärka offentliga tjänsters utnyttjande och utnyttjande av data, stärka interoperabiliteten och datadelningen samt interoperabiliteten med externa enheter och över gränserna (anslutning till den gemensamma europeiska dataportalen). </w:t>
      </w:r>
    </w:p>
    <w:p w14:paraId="5FE6647D" w14:textId="4C63475B" w:rsidR="00E040FD" w:rsidRDefault="00740D64">
      <w:pPr>
        <w:pStyle w:val="P68B1DB1-Normal4"/>
        <w:keepNext/>
        <w:spacing w:before="40" w:after="0" w:line="259" w:lineRule="auto"/>
        <w:jc w:val="both"/>
        <w:rPr>
          <w:rFonts w:eastAsiaTheme="minorEastAsia" w:cs="Times New Roman"/>
          <w:noProof/>
        </w:rPr>
      </w:pPr>
      <w:r>
        <w:rPr>
          <w:noProof/>
        </w:rPr>
        <w:t>Denna investering bygger på reformen TD-r34 för att inrätta en samordnad förvaltning av den offentliga förvaltningens dataekosystem, inbegripet säkra identifieringslösningar, mekanismer för kontroll av dataåtkomst och statistisk information. Den ska främja vidareutnyttjande av uppgifter som samlats in av offentliga myndigheter, genomföra engångsprincipen genom att förlita sig på interoperabilitet och integrering av it-system och bredda användningen av lösningar för elektronisk identifiering. Dessutom ska den främja öppna data och tillgången till data för forskningsändamål och samtidigt främja datakunskaper.</w:t>
      </w:r>
    </w:p>
    <w:p w14:paraId="24A9EB59"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mars 2026.</w:t>
      </w:r>
    </w:p>
    <w:p w14:paraId="25B68A4D"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 xml:space="preserve">TD-C19-i03: Stärka den övergripande ramen för cybersäkerhet </w:t>
      </w:r>
    </w:p>
    <w:p w14:paraId="66E4850F"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investering är att förbättra standarderna och förfarandena för informationssäkerhet för onlinedata. Investeringen är kopplad till investeringarna TD-C19-i01 och TD-C19-i02.</w:t>
      </w:r>
    </w:p>
    <w:p w14:paraId="67D18F87" w14:textId="77777777" w:rsidR="00E040FD" w:rsidRDefault="00740D64">
      <w:pPr>
        <w:pStyle w:val="P68B1DB1-Normal4"/>
        <w:keepNext/>
        <w:spacing w:before="40" w:after="0" w:line="259" w:lineRule="auto"/>
        <w:jc w:val="both"/>
        <w:rPr>
          <w:rFonts w:eastAsiaTheme="minorEastAsia" w:cs="Times New Roman"/>
          <w:noProof/>
        </w:rPr>
      </w:pPr>
      <w:r>
        <w:rPr>
          <w:noProof/>
        </w:rPr>
        <w:t>Denna åtgärd syftar till att stärka nationell egenmakt i fråga om cybersäkerhet och informationssäkerhet och skapa de fysiska och tekniska förutsättningarna för genomförande och operationalisering av en ny modell för samordning av cybersäkerhet och informationssäkerhet. Den ska omfatta fyra åtgärder:</w:t>
      </w:r>
    </w:p>
    <w:p w14:paraId="6D7C0A47" w14:textId="77777777" w:rsidR="00E040FD" w:rsidRDefault="00740D64">
      <w:pPr>
        <w:pStyle w:val="P68B1DB1-Normal4"/>
        <w:keepNext/>
        <w:numPr>
          <w:ilvl w:val="0"/>
          <w:numId w:val="35"/>
        </w:numPr>
        <w:spacing w:before="40" w:after="160" w:line="259" w:lineRule="auto"/>
        <w:contextualSpacing/>
        <w:jc w:val="both"/>
        <w:rPr>
          <w:rFonts w:eastAsiaTheme="minorEastAsia" w:cs="Times New Roman"/>
          <w:noProof/>
        </w:rPr>
      </w:pPr>
      <w:r>
        <w:rPr>
          <w:noProof/>
        </w:rPr>
        <w:t xml:space="preserve">Öka kapacitetsuppbyggnaden inom cybersäkerhet och informationssäkerhet genom inrättande av kompetenscentrum för utveckling av cybersäkerhetslösningar för små och medelstora företag och offentlig förvaltning. </w:t>
      </w:r>
    </w:p>
    <w:p w14:paraId="4AA336A2" w14:textId="77777777" w:rsidR="00E040FD" w:rsidRDefault="00740D64">
      <w:pPr>
        <w:pStyle w:val="P68B1DB1-Normal4"/>
        <w:keepNext/>
        <w:numPr>
          <w:ilvl w:val="0"/>
          <w:numId w:val="35"/>
        </w:numPr>
        <w:spacing w:before="40" w:after="160" w:line="259" w:lineRule="auto"/>
        <w:contextualSpacing/>
        <w:jc w:val="both"/>
        <w:rPr>
          <w:rFonts w:eastAsiaTheme="minorEastAsia" w:cs="Times New Roman"/>
          <w:noProof/>
        </w:rPr>
      </w:pPr>
      <w:r>
        <w:rPr>
          <w:noProof/>
        </w:rPr>
        <w:t>Förbättra säkerheten i hanteringen av informationens livscykel genom att utveckla den nationella krypteringskapaciteten och kontrollen över säkerhetsskyddsklassificerade uppgifter,</w:t>
      </w:r>
    </w:p>
    <w:p w14:paraId="7273D3F8" w14:textId="0A1AA4AB" w:rsidR="00E040FD" w:rsidRDefault="00740D64">
      <w:pPr>
        <w:pStyle w:val="P68B1DB1-Normal4"/>
        <w:keepNext/>
        <w:numPr>
          <w:ilvl w:val="0"/>
          <w:numId w:val="35"/>
        </w:numPr>
        <w:spacing w:before="40" w:after="160" w:line="259" w:lineRule="auto"/>
        <w:contextualSpacing/>
        <w:jc w:val="both"/>
        <w:rPr>
          <w:rFonts w:eastAsiaTheme="minorEastAsia" w:cs="Times New Roman"/>
          <w:noProof/>
        </w:rPr>
      </w:pPr>
      <w:r>
        <w:rPr>
          <w:noProof/>
        </w:rPr>
        <w:t>Genomföra den nationella referensramen för cybersäkerhet (enligt reform TD-r34), inbegripet ackreditering av organ (i överensstämmelse med och utnyttjande av de åtgärder som ingår i komponent 16). och</w:t>
      </w:r>
    </w:p>
    <w:p w14:paraId="6097B93E" w14:textId="77777777" w:rsidR="00E040FD" w:rsidRDefault="00740D64">
      <w:pPr>
        <w:pStyle w:val="P68B1DB1-Normal4"/>
        <w:keepNext/>
        <w:numPr>
          <w:ilvl w:val="0"/>
          <w:numId w:val="35"/>
        </w:numPr>
        <w:spacing w:before="40" w:after="160" w:line="259" w:lineRule="auto"/>
        <w:contextualSpacing/>
        <w:jc w:val="both"/>
        <w:rPr>
          <w:rFonts w:eastAsiaTheme="minorEastAsia" w:cs="Times New Roman"/>
          <w:noProof/>
        </w:rPr>
      </w:pPr>
      <w:r>
        <w:rPr>
          <w:noProof/>
        </w:rPr>
        <w:t>Skapa de fysiska och tekniska förutsättningarna för operationaliseringen av den nya samordningsmodellen för cybersäkerhet och informationssäkerhet (med full befogenhet för de berörda nya myndigheterna).</w:t>
      </w:r>
    </w:p>
    <w:p w14:paraId="37AA6BF2"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mars 2026.</w:t>
      </w:r>
    </w:p>
    <w:p w14:paraId="1FFBF663"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 xml:space="preserve">TD-C19-i04: Effektiv, säker och gemensam kritisk digital infrastruktur </w:t>
      </w:r>
    </w:p>
    <w:p w14:paraId="2027F4C8"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investering är att öka motståndskraften hos kritisk digital infrastruktur, nämligen nöd- och säkerhetskommunikationsnät, samt hos det statliga datanätverket (RING).</w:t>
      </w:r>
    </w:p>
    <w:p w14:paraId="37E654B4" w14:textId="77777777" w:rsidR="00E040FD" w:rsidRDefault="00740D64">
      <w:pPr>
        <w:pStyle w:val="P68B1DB1-Normal4"/>
        <w:keepNext/>
        <w:spacing w:before="40" w:after="0" w:line="259" w:lineRule="auto"/>
        <w:jc w:val="both"/>
        <w:rPr>
          <w:rFonts w:eastAsiaTheme="minorEastAsia" w:cs="Times New Roman"/>
          <w:noProof/>
        </w:rPr>
      </w:pPr>
      <w:r>
        <w:rPr>
          <w:noProof/>
        </w:rPr>
        <w:t>Denna investering ska inriktas på regeringens it-nät, förbättra täckningen av och kapaciteten hos det statliga nödkommunikationsnätet och det nationella interna säkerhetsnätet samt se över strukturen för säkerhetsstyrkornas informationssystem och processer. Denna ska innefatta följande:</w:t>
      </w:r>
    </w:p>
    <w:p w14:paraId="1A4C5223" w14:textId="77777777" w:rsidR="00E040FD" w:rsidRDefault="00740D64">
      <w:pPr>
        <w:pStyle w:val="P68B1DB1-Normal4"/>
        <w:keepNext/>
        <w:numPr>
          <w:ilvl w:val="0"/>
          <w:numId w:val="53"/>
        </w:numPr>
        <w:spacing w:before="40" w:after="160" w:line="259" w:lineRule="auto"/>
        <w:contextualSpacing/>
        <w:jc w:val="both"/>
        <w:rPr>
          <w:rFonts w:eastAsiaTheme="minorEastAsia" w:cs="Times New Roman"/>
          <w:noProof/>
        </w:rPr>
      </w:pPr>
      <w:r>
        <w:rPr>
          <w:noProof/>
        </w:rPr>
        <w:t xml:space="preserve">Förnyelse av tekniska system för gränsförvaltning och gränskontroll, polissamarbete och rättsligt samarbete. </w:t>
      </w:r>
    </w:p>
    <w:p w14:paraId="7CF7CCE5" w14:textId="77777777" w:rsidR="00E040FD" w:rsidRDefault="00740D64">
      <w:pPr>
        <w:pStyle w:val="P68B1DB1-Normal4"/>
        <w:keepNext/>
        <w:numPr>
          <w:ilvl w:val="0"/>
          <w:numId w:val="53"/>
        </w:numPr>
        <w:spacing w:before="40" w:after="160" w:line="259" w:lineRule="auto"/>
        <w:contextualSpacing/>
        <w:jc w:val="both"/>
        <w:rPr>
          <w:rFonts w:eastAsiaTheme="minorEastAsia" w:cs="Times New Roman"/>
          <w:noProof/>
        </w:rPr>
      </w:pPr>
      <w:r>
        <w:rPr>
          <w:noProof/>
        </w:rPr>
        <w:t>Projekt för operativa centrum 112 – uppdatering för att ta hänsyn till nya standarder (ny generation 112).</w:t>
      </w:r>
    </w:p>
    <w:p w14:paraId="497C78A2" w14:textId="77777777" w:rsidR="00E040FD" w:rsidRDefault="00740D64">
      <w:pPr>
        <w:pStyle w:val="P68B1DB1-Normal4"/>
        <w:keepNext/>
        <w:numPr>
          <w:ilvl w:val="0"/>
          <w:numId w:val="53"/>
        </w:numPr>
        <w:spacing w:before="40" w:after="160" w:line="259" w:lineRule="auto"/>
        <w:contextualSpacing/>
        <w:jc w:val="both"/>
        <w:rPr>
          <w:rFonts w:eastAsiaTheme="minorEastAsia" w:cs="Times New Roman"/>
          <w:noProof/>
        </w:rPr>
      </w:pPr>
      <w:r>
        <w:rPr>
          <w:noProof/>
        </w:rPr>
        <w:t>Projektet för det nationella nätverket för inre säkerhet – it-arkitektursystem och tekniska verktyg samt uppbyggnad och drift av ett nytt datacentrum.</w:t>
      </w:r>
    </w:p>
    <w:p w14:paraId="472CBA0A" w14:textId="77777777" w:rsidR="00E040FD" w:rsidRDefault="00740D64">
      <w:pPr>
        <w:pStyle w:val="P68B1DB1-Normal4"/>
        <w:keepNext/>
        <w:numPr>
          <w:ilvl w:val="0"/>
          <w:numId w:val="53"/>
        </w:numPr>
        <w:spacing w:before="40" w:after="160" w:line="259" w:lineRule="auto"/>
        <w:contextualSpacing/>
        <w:jc w:val="both"/>
        <w:rPr>
          <w:rFonts w:eastAsiaTheme="minorEastAsia" w:cs="Times New Roman"/>
          <w:noProof/>
        </w:rPr>
      </w:pPr>
      <w:r>
        <w:rPr>
          <w:noProof/>
        </w:rPr>
        <w:t>Projektet för det statliga nätverket för nödkommunikation (SIRESP) – investeringen ska omfatta främjande av teknikförändringar i SIRESP:s markinfrastruktur (stamnät), från E1 till IP (Internetprotokoll), inrättande av ett centrum för katastrofhantering för informationssystem med anknytning till SIRESP samt införande av hertzisk balkar på vissa nätplatser, genom att kopparanslutningar och optiska fiberanslutningar ersätts för att säkerställa ett redunderingssystem.</w:t>
      </w:r>
    </w:p>
    <w:p w14:paraId="19E9EDA6" w14:textId="77777777" w:rsidR="00E040FD" w:rsidRDefault="00740D64">
      <w:pPr>
        <w:pStyle w:val="P68B1DB1-Normal4"/>
        <w:keepNext/>
        <w:numPr>
          <w:ilvl w:val="0"/>
          <w:numId w:val="53"/>
        </w:numPr>
        <w:spacing w:before="40" w:after="160" w:line="259" w:lineRule="auto"/>
        <w:contextualSpacing/>
        <w:jc w:val="both"/>
        <w:rPr>
          <w:rFonts w:eastAsiaTheme="minorEastAsia" w:cs="Times New Roman"/>
          <w:noProof/>
        </w:rPr>
      </w:pPr>
      <w:r>
        <w:rPr>
          <w:noProof/>
        </w:rPr>
        <w:t>Genomförande av delade tjänster inom säkerhetsstyrkor och säkerhetstjänster, undanröjande av uppsägningar i tekniska processer, skapande av gemensamma system och minskade driftskostnader. och</w:t>
      </w:r>
    </w:p>
    <w:p w14:paraId="3E4EAEE1" w14:textId="77777777" w:rsidR="00E040FD" w:rsidRDefault="00740D64">
      <w:pPr>
        <w:pStyle w:val="P68B1DB1-Normal4"/>
        <w:keepNext/>
        <w:numPr>
          <w:ilvl w:val="0"/>
          <w:numId w:val="53"/>
        </w:numPr>
        <w:spacing w:before="40" w:after="160" w:line="259" w:lineRule="auto"/>
        <w:contextualSpacing/>
        <w:jc w:val="both"/>
        <w:rPr>
          <w:rFonts w:eastAsiaTheme="minorEastAsia" w:cs="Times New Roman"/>
          <w:noProof/>
        </w:rPr>
      </w:pPr>
      <w:r>
        <w:rPr>
          <w:noProof/>
        </w:rPr>
        <w:t>Ring – Förnyelse och utveckling av den tekniska infrastrukturen och informationssystemen vid regeringens it-nätverksförvaltningscentrum, utbildning av anställda, tillhandahållande av ett integrerat multimediasystem samt säkra kommunikationssystem och styrning.</w:t>
      </w:r>
    </w:p>
    <w:p w14:paraId="6B97C2B4"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mars 2026.</w:t>
      </w:r>
    </w:p>
    <w:p w14:paraId="381572D8" w14:textId="1EFC180A"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 xml:space="preserve">TD-C19-i05-RAM: Digital omställning av Madeiras offentliga förvaltning </w:t>
      </w:r>
    </w:p>
    <w:p w14:paraId="29E3A143" w14:textId="77777777" w:rsidR="00E040FD" w:rsidRDefault="00740D64">
      <w:pPr>
        <w:pStyle w:val="P68B1DB1-Normal4"/>
        <w:keepNext/>
        <w:spacing w:before="40" w:after="0" w:line="22" w:lineRule="atLeast"/>
        <w:jc w:val="both"/>
        <w:rPr>
          <w:rFonts w:eastAsiaTheme="minorEastAsia" w:cs="Times New Roman"/>
          <w:noProof/>
        </w:rPr>
      </w:pPr>
      <w:r>
        <w:rPr>
          <w:noProof/>
        </w:rPr>
        <w:t xml:space="preserve">Syftet med denna investering är att ha en mer motståndskraftig offentlig förvaltning som gör digital teknik tillgänglig för tillhandahållande av offentliga tjänster. </w:t>
      </w:r>
    </w:p>
    <w:p w14:paraId="62BFA60F" w14:textId="00FFE6EC" w:rsidR="00E040FD" w:rsidRDefault="00740D64">
      <w:pPr>
        <w:pStyle w:val="P68B1DB1-Normal4"/>
        <w:keepNext/>
        <w:spacing w:after="160" w:line="22" w:lineRule="atLeast"/>
        <w:jc w:val="both"/>
        <w:rPr>
          <w:rFonts w:eastAsia="Times New Roman" w:cs="Times New Roman"/>
          <w:noProof/>
        </w:rPr>
      </w:pPr>
      <w:r>
        <w:rPr>
          <w:noProof/>
        </w:rPr>
        <w:t>Denna investering följer den strategi som antagits för investeringar TD-C19-i01 till i03, som syftar till att modernisera kritisk infrastruktur och it-arkitektur, göra digitala verktyg tillgängliga i enlighet med den offentliga förvaltningens och medborgarnas behov, kompetenshöjning av mänskliga resurser (särskilt på området digitala färdigheter), tillgång till allomfattande offentliga tjänster samt interoperabilitet och konnektivitet. Denna åtgärd ska förse regionens offentliga förvaltning med infrastruktur, verktyg, interoperabilitet mellan tjänster och know-how för att säkerställa tillhandahållandet av digitala offentliga tjänster. Åtgärden ska också utveckla en centraliserad datahanteringslösning.</w:t>
      </w:r>
    </w:p>
    <w:p w14:paraId="647A856E"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30 juni 2025.</w:t>
      </w:r>
    </w:p>
    <w:p w14:paraId="4B5DBC4E" w14:textId="722653DB"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 xml:space="preserve">TD-C19-i06-RAA: Den digitala omställningen av den offentliga förvaltningen på Azorerna </w:t>
      </w:r>
    </w:p>
    <w:p w14:paraId="660DD307"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investering är att stödja den digitala omställningen inom den offentliga sektorn och minska den administrativa bördan för att tillhandahålla bättre offentliga tjänster till medborgare och företag.</w:t>
      </w:r>
    </w:p>
    <w:p w14:paraId="3B659374" w14:textId="744A928B" w:rsidR="00E040FD" w:rsidRDefault="00740D64">
      <w:pPr>
        <w:pStyle w:val="P68B1DB1-Normal4"/>
        <w:keepNext/>
        <w:spacing w:before="40" w:after="0" w:line="259" w:lineRule="auto"/>
        <w:jc w:val="both"/>
        <w:rPr>
          <w:rFonts w:eastAsiaTheme="minorEastAsia" w:cs="Times New Roman"/>
          <w:noProof/>
        </w:rPr>
      </w:pPr>
      <w:r>
        <w:rPr>
          <w:noProof/>
        </w:rPr>
        <w:t>Denna åtgärd ska stödja den digitala omställningen av den offentliga tjänsten, även inom ramen för den övergripande strategin, som bygger på interoperabla digitala tjänster där transaktionstjänster finns tillgängliga online. Den ska omforma den offentliga tjänsten för att möjliggöra enklare och smidigare tjänster och öka de tekniska villkoren för dematerialisering av arbetstillfällen inom den offentliga förvaltningen genom att tillhandahålla en virtuell arbetsmiljö och utbildning av personalen (såsom digitala färdigheter, förvaltning och samarbete). För att säkerställa datasäkerheten ska ett centrum för cybersäkerhetsoperationer inrättas.</w:t>
      </w:r>
    </w:p>
    <w:p w14:paraId="42D68FCC"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3C5769F7"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TD-C19-i07: Offentlig förvaltning med befogenhet att skapa offentligt värde</w:t>
      </w:r>
    </w:p>
    <w:p w14:paraId="0088EEF1" w14:textId="77777777" w:rsidR="00E040FD" w:rsidRDefault="00740D64">
      <w:pPr>
        <w:pStyle w:val="P68B1DB1-Normal4"/>
        <w:keepNext/>
        <w:spacing w:before="40" w:after="0" w:line="259" w:lineRule="auto"/>
        <w:jc w:val="both"/>
        <w:rPr>
          <w:rFonts w:eastAsiaTheme="minorEastAsia" w:cs="Times New Roman"/>
          <w:noProof/>
        </w:rPr>
      </w:pPr>
      <w:r>
        <w:rPr>
          <w:noProof/>
        </w:rPr>
        <w:t>Syftet med denna investering är att se till att den offentliga förvaltningen har den sakkunskap som krävs, särskilt när det gäller ledarskapskompetens och teknik, för att tillhandahålla tjänster av hög kvalitet till allmänheten.</w:t>
      </w:r>
    </w:p>
    <w:p w14:paraId="20434E99" w14:textId="6144F8EC" w:rsidR="00E040FD" w:rsidRDefault="00740D64">
      <w:pPr>
        <w:pStyle w:val="P68B1DB1-Normal4"/>
        <w:keepNext/>
        <w:spacing w:before="40" w:after="0" w:line="259" w:lineRule="auto"/>
        <w:jc w:val="both"/>
        <w:rPr>
          <w:rFonts w:eastAsiaTheme="minorEastAsia" w:cs="Times New Roman"/>
          <w:noProof/>
        </w:rPr>
      </w:pPr>
      <w:r>
        <w:rPr>
          <w:noProof/>
        </w:rPr>
        <w:t>Denna investering syftar till att utveckla utbildningsutbudet för arbetstagare och chefer inom den offentliga förvaltningen, främja attrahering av begåvningar genom praktikprogram och främja distansarbete. Den ska särskilt omfatta digitala möjliggörande program, högre och avancerad ledarskapsutbildning samt allmän utbildning och kompetenshöjning för offentliganställda.</w:t>
      </w:r>
    </w:p>
    <w:p w14:paraId="512AFC27" w14:textId="77777777" w:rsidR="00E040FD" w:rsidRDefault="00740D64">
      <w:pPr>
        <w:pStyle w:val="P68B1DB1-Normal4"/>
        <w:keepNext/>
        <w:spacing w:before="40" w:after="0" w:line="259" w:lineRule="auto"/>
        <w:jc w:val="both"/>
        <w:rPr>
          <w:rFonts w:eastAsiaTheme="minorEastAsia" w:cs="Times New Roman"/>
          <w:noProof/>
        </w:rPr>
      </w:pPr>
      <w:r>
        <w:rPr>
          <w:noProof/>
        </w:rPr>
        <w:t>Denna åtgärd omfattar också inrättandet av kompetenscentrumet för planering, politik och framsyn inom offentlig förvaltning, som är relevant för att stärka kapaciteten att stödja utformningen och genomförandet av offentlig politik, utvärdering av politiken och framsyn.</w:t>
      </w:r>
    </w:p>
    <w:p w14:paraId="79184ED3" w14:textId="77777777" w:rsidR="00E040FD" w:rsidRDefault="00740D64">
      <w:pPr>
        <w:pStyle w:val="P68B1DB1-Normal4"/>
        <w:keepNext/>
        <w:spacing w:before="40" w:after="0" w:line="259" w:lineRule="auto"/>
        <w:jc w:val="both"/>
        <w:rPr>
          <w:rFonts w:eastAsiaTheme="minorEastAsia" w:cs="Times New Roman"/>
          <w:noProof/>
        </w:rPr>
      </w:pPr>
      <w:r>
        <w:rPr>
          <w:noProof/>
        </w:rPr>
        <w:t>I enlighet med reformen TD-r35 ska dessutom en uppdragsstruktur för att stödja omorganisationen av offentliga tjänster inrättas inom ramen för denna investering.</w:t>
      </w:r>
    </w:p>
    <w:p w14:paraId="3494F754"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mars 2026.</w:t>
      </w:r>
    </w:p>
    <w:p w14:paraId="33A26B41" w14:textId="0518C380"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 xml:space="preserve">Reform TD-C19-r41: Tillgång till offentliga tjänster: harmonisera och konsolidera tillgången på plats och online </w:t>
      </w:r>
    </w:p>
    <w:p w14:paraId="78F96C8F" w14:textId="085A25C0" w:rsidR="00E040FD" w:rsidRDefault="00740D64">
      <w:pPr>
        <w:pStyle w:val="P68B1DB1-Normal4"/>
        <w:spacing w:before="40" w:after="0" w:line="259" w:lineRule="auto"/>
        <w:jc w:val="both"/>
        <w:rPr>
          <w:rFonts w:cs="Times New Roman"/>
          <w:noProof/>
        </w:rPr>
      </w:pPr>
      <w:r>
        <w:rPr>
          <w:noProof/>
        </w:rPr>
        <w:t xml:space="preserve">Syftet med denna reform är att fördjupa den digitala omställningen av den offentliga förvaltningen och att dra nytta av ny teknik för att omvandla den nuvarande modellen för allmännyttiga tjänster. </w:t>
      </w:r>
    </w:p>
    <w:p w14:paraId="13C6A2E3" w14:textId="0566F40C" w:rsidR="00E040FD" w:rsidRDefault="00740D64">
      <w:pPr>
        <w:pStyle w:val="P68B1DB1-Normal4"/>
        <w:spacing w:before="40" w:after="0" w:line="259" w:lineRule="auto"/>
        <w:jc w:val="both"/>
        <w:rPr>
          <w:rFonts w:eastAsia="@MS Mincho" w:cs="Times New Roman"/>
          <w:noProof/>
        </w:rPr>
      </w:pPr>
      <w:r>
        <w:rPr>
          <w:noProof/>
        </w:rPr>
        <w:t>Reformen består i att en rättsakt träder i kraft som harmoniserar och konsoliderar reglerna om tillgång till offentliga tjänster personligen och på distans (online, via en app, per telefon). Denna lagstiftningsakt ska också utöka antalet offentliga tjänster som är tillgängliga på den gemensamma portalen för offentliga tjänster.</w:t>
      </w:r>
    </w:p>
    <w:p w14:paraId="46639889" w14:textId="77777777" w:rsidR="00E040FD" w:rsidRDefault="00740D64">
      <w:pPr>
        <w:pStyle w:val="P68B1DB1-Normal4"/>
        <w:spacing w:before="40" w:after="0" w:line="259" w:lineRule="auto"/>
        <w:jc w:val="both"/>
        <w:rPr>
          <w:rFonts w:cs="Times New Roman"/>
          <w:noProof/>
        </w:rPr>
      </w:pPr>
      <w:r>
        <w:rPr>
          <w:noProof/>
        </w:rPr>
        <w:t>Genomförandet av reformen ska vara slutfört senast den 30 september 2025.</w:t>
      </w:r>
    </w:p>
    <w:p w14:paraId="7DE1A9CA" w14:textId="2210B9E1" w:rsidR="00E040FD" w:rsidRDefault="00740D64">
      <w:pPr>
        <w:pStyle w:val="P68B1DB1-Heading214"/>
        <w:spacing w:before="240"/>
        <w:rPr>
          <w:noProof/>
        </w:rPr>
      </w:pPr>
      <w:r>
        <w:rPr>
          <w:noProof/>
        </w:rPr>
        <w:t>Reform TD-C19-r42: Nytt utvärderingssystem för att stärka och föryngra den offentliga förvaltningens personal</w:t>
      </w:r>
    </w:p>
    <w:p w14:paraId="553B9ED2" w14:textId="1CFBDB39" w:rsidR="00E040FD" w:rsidRDefault="00740D64">
      <w:pPr>
        <w:pStyle w:val="P68B1DB1-Normal4"/>
        <w:spacing w:beforeLines="40" w:before="96" w:after="0" w:line="22" w:lineRule="atLeast"/>
        <w:jc w:val="both"/>
        <w:rPr>
          <w:rFonts w:cs="Times New Roman"/>
          <w:noProof/>
        </w:rPr>
      </w:pPr>
      <w:r>
        <w:rPr>
          <w:noProof/>
        </w:rPr>
        <w:t xml:space="preserve">Huvudsyftet med denna reform är att ta itu med en av de största utmaningarna för den portugisiska offentliga förvaltningen: dess förmåga att föryngra sin arbetskraft och locka till sig och behålla begåvningar. </w:t>
      </w:r>
    </w:p>
    <w:p w14:paraId="6B48C29E" w14:textId="77777777" w:rsidR="00E040FD" w:rsidRDefault="00740D64">
      <w:pPr>
        <w:pStyle w:val="P68B1DB1-Normal4"/>
        <w:spacing w:beforeLines="40" w:before="96" w:after="0" w:line="22" w:lineRule="atLeast"/>
        <w:jc w:val="both"/>
        <w:rPr>
          <w:rFonts w:cs="Times New Roman"/>
          <w:noProof/>
        </w:rPr>
      </w:pPr>
      <w:r>
        <w:rPr>
          <w:noProof/>
        </w:rPr>
        <w:t>Denna reform ska bestå av en översyn av systemet för resultatutvärdering inom den offentliga förvaltningen (det integrerade systemet för att hantera och utvärdera resultaten inom den offentliga förvaltningen – SIADAP) genom att ändra den rättsliga ramen. Den reviderade SIADAP ska</w:t>
      </w:r>
    </w:p>
    <w:p w14:paraId="615F098E" w14:textId="77777777" w:rsidR="00E040FD" w:rsidRDefault="00740D64">
      <w:pPr>
        <w:pStyle w:val="ListParagraph"/>
        <w:keepNext w:val="0"/>
        <w:numPr>
          <w:ilvl w:val="0"/>
          <w:numId w:val="82"/>
        </w:numPr>
        <w:spacing w:beforeLines="40" w:before="96" w:after="0" w:line="22" w:lineRule="atLeast"/>
        <w:rPr>
          <w:noProof/>
        </w:rPr>
      </w:pPr>
      <w:r>
        <w:rPr>
          <w:noProof/>
        </w:rPr>
        <w:t xml:space="preserve">Ändra utvärderingsfrekvensen (från vartannat år till varje år), </w:t>
      </w:r>
    </w:p>
    <w:p w14:paraId="15FE64A1" w14:textId="77777777" w:rsidR="00E040FD" w:rsidRDefault="00740D64">
      <w:pPr>
        <w:pStyle w:val="ListParagraph"/>
        <w:keepNext w:val="0"/>
        <w:numPr>
          <w:ilvl w:val="0"/>
          <w:numId w:val="82"/>
        </w:numPr>
        <w:spacing w:beforeLines="40" w:before="96" w:after="0" w:line="22" w:lineRule="atLeast"/>
        <w:rPr>
          <w:noProof/>
        </w:rPr>
      </w:pPr>
      <w:r>
        <w:rPr>
          <w:noProof/>
        </w:rPr>
        <w:t xml:space="preserve">Öka andelen arbetstagare som kan få de två högsta poängen och deras respektive poäng per utvärderingscykel, </w:t>
      </w:r>
    </w:p>
    <w:p w14:paraId="5B67385F" w14:textId="77777777" w:rsidR="00E040FD" w:rsidRDefault="00740D64">
      <w:pPr>
        <w:pStyle w:val="ListParagraph"/>
        <w:keepNext w:val="0"/>
        <w:numPr>
          <w:ilvl w:val="0"/>
          <w:numId w:val="82"/>
        </w:numPr>
        <w:spacing w:beforeLines="40" w:before="96" w:after="0" w:line="22" w:lineRule="atLeast"/>
        <w:rPr>
          <w:noProof/>
        </w:rPr>
      </w:pPr>
      <w:r>
        <w:rPr>
          <w:noProof/>
        </w:rPr>
        <w:t xml:space="preserve">Införa en ytterligare prestationsnivå, </w:t>
      </w:r>
    </w:p>
    <w:p w14:paraId="3CD9DEDD" w14:textId="2385DC1D" w:rsidR="00E040FD" w:rsidRDefault="00740D64">
      <w:pPr>
        <w:pStyle w:val="ListParagraph"/>
        <w:keepNext w:val="0"/>
        <w:numPr>
          <w:ilvl w:val="0"/>
          <w:numId w:val="82"/>
        </w:numPr>
        <w:spacing w:beforeLines="40" w:before="96" w:after="0" w:line="22" w:lineRule="atLeast"/>
        <w:rPr>
          <w:noProof/>
        </w:rPr>
      </w:pPr>
      <w:r>
        <w:rPr>
          <w:noProof/>
        </w:rPr>
        <w:t xml:space="preserve">Upprätta en förteckning över kompetenser som ska bedömas inom ramen för den offentliga förvaltningens kompetensprofil,  </w:t>
      </w:r>
    </w:p>
    <w:p w14:paraId="0D4797D5" w14:textId="615A1814" w:rsidR="00E040FD" w:rsidRDefault="00740D64">
      <w:pPr>
        <w:pStyle w:val="ListParagraph"/>
        <w:keepNext w:val="0"/>
        <w:numPr>
          <w:ilvl w:val="0"/>
          <w:numId w:val="82"/>
        </w:numPr>
        <w:spacing w:beforeLines="40" w:before="96" w:after="0" w:line="22" w:lineRule="atLeast"/>
        <w:rPr>
          <w:noProof/>
        </w:rPr>
      </w:pPr>
      <w:r>
        <w:rPr>
          <w:noProof/>
        </w:rPr>
        <w:t>Identifiera behoven av att vidareutveckla kompetensen och respektive utbildning.</w:t>
      </w:r>
    </w:p>
    <w:p w14:paraId="0E988E2A" w14:textId="585AA569" w:rsidR="00E040FD" w:rsidRDefault="00740D64">
      <w:pPr>
        <w:pStyle w:val="P68B1DB1-Normal4"/>
        <w:spacing w:beforeLines="40" w:before="96" w:after="0" w:line="22" w:lineRule="atLeast"/>
        <w:jc w:val="both"/>
        <w:rPr>
          <w:rFonts w:cs="Times New Roman"/>
          <w:noProof/>
        </w:rPr>
      </w:pPr>
      <w:r>
        <w:rPr>
          <w:noProof/>
        </w:rPr>
        <w:t xml:space="preserve">Dessutom ska reformen, tillsammans med översynen av Siadap-modellen, även omfatta en översyn av kompetensprofilen för offentlig förvaltning som omfattar de kompetenser som ska bedömas i rekryterings- och urvalsprocessen, i systemet för resultatutvärdering och som ska ingå i yrkesutbildningen. </w:t>
      </w:r>
    </w:p>
    <w:p w14:paraId="0D929530" w14:textId="5F2DFF63" w:rsidR="00E040FD" w:rsidRDefault="00740D64">
      <w:pPr>
        <w:pStyle w:val="P68B1DB1-Normal4"/>
        <w:spacing w:beforeLines="40" w:before="96" w:after="0" w:line="22" w:lineRule="atLeast"/>
        <w:jc w:val="both"/>
        <w:rPr>
          <w:rFonts w:cs="Times New Roman"/>
          <w:noProof/>
        </w:rPr>
      </w:pPr>
      <w:r>
        <w:rPr>
          <w:noProof/>
        </w:rPr>
        <w:t xml:space="preserve">Reformen ska också omfatta utvecklingen av en it-plattform på vilken SIADAP ska fungera. Särskild utbildning för att lära sig att använda plattformen ska tillhandahållas. </w:t>
      </w:r>
    </w:p>
    <w:p w14:paraId="6FA49BD3" w14:textId="291EABB7" w:rsidR="00E040FD" w:rsidRDefault="00740D64">
      <w:pPr>
        <w:pStyle w:val="P68B1DB1-Normal4"/>
        <w:spacing w:beforeLines="40" w:before="96" w:after="0" w:line="22" w:lineRule="atLeast"/>
        <w:jc w:val="both"/>
        <w:rPr>
          <w:rFonts w:cs="Times New Roman"/>
          <w:noProof/>
        </w:rPr>
      </w:pPr>
      <w:r>
        <w:rPr>
          <w:noProof/>
        </w:rPr>
        <w:t>Genomförandet av reformen ska vara slutfört senast den 31 mars 2025.</w:t>
      </w:r>
    </w:p>
    <w:p w14:paraId="61D9A60B" w14:textId="76B79EF0" w:rsidR="00E040FD" w:rsidRDefault="00740D64">
      <w:pPr>
        <w:pStyle w:val="P68B1DB1-Heading214"/>
        <w:spacing w:before="240"/>
        <w:rPr>
          <w:noProof/>
        </w:rPr>
      </w:pPr>
      <w:r>
        <w:rPr>
          <w:noProof/>
        </w:rPr>
        <w:t>Investeringar TD-C19-i08 Intelligent Territorier</w:t>
      </w:r>
    </w:p>
    <w:p w14:paraId="75C3ED74" w14:textId="77777777" w:rsidR="00E040FD" w:rsidRDefault="00740D64">
      <w:pPr>
        <w:pStyle w:val="P68B1DB1-Normal4"/>
        <w:spacing w:beforeLines="40" w:before="96" w:after="0" w:line="22" w:lineRule="atLeast"/>
        <w:jc w:val="both"/>
        <w:rPr>
          <w:rFonts w:cs="Times New Roman"/>
          <w:noProof/>
        </w:rPr>
      </w:pPr>
      <w:r>
        <w:rPr>
          <w:noProof/>
        </w:rPr>
        <w:t xml:space="preserve">Denna investering syftar till att skapa ett nytt paradigm för planering och förvaltning av städer och territorier på grundval av datadriven offentlig politik. </w:t>
      </w:r>
    </w:p>
    <w:p w14:paraId="787965D6" w14:textId="77777777" w:rsidR="00E040FD" w:rsidRDefault="00740D64">
      <w:pPr>
        <w:pStyle w:val="P68B1DB1-Normal4"/>
        <w:spacing w:beforeLines="40" w:before="96" w:after="0" w:line="22" w:lineRule="atLeast"/>
        <w:jc w:val="both"/>
        <w:rPr>
          <w:rFonts w:cs="Times New Roman"/>
          <w:noProof/>
        </w:rPr>
      </w:pPr>
      <w:r>
        <w:rPr>
          <w:noProof/>
        </w:rPr>
        <w:t>Investeringen ska omfatta följande:</w:t>
      </w:r>
    </w:p>
    <w:p w14:paraId="22DF1388" w14:textId="148F8DD1" w:rsidR="00E040FD" w:rsidRDefault="00740D64">
      <w:pPr>
        <w:pStyle w:val="ListParagraph"/>
        <w:keepNext w:val="0"/>
        <w:numPr>
          <w:ilvl w:val="0"/>
          <w:numId w:val="84"/>
        </w:numPr>
        <w:spacing w:beforeLines="40" w:before="96" w:after="0" w:line="22" w:lineRule="atLeast"/>
        <w:rPr>
          <w:noProof/>
        </w:rPr>
      </w:pPr>
      <w:r>
        <w:rPr>
          <w:noProof/>
        </w:rPr>
        <w:t>Utveckling och lansering av portalen för smarta territorier. Denna portal ska ha en onlinedatabas med relevant information på lokal, regional och nationell nivå, såsom god praxis, vägledning, information om standarder, lagar och andra författningar samt information om källor till projektfinansiering.</w:t>
      </w:r>
    </w:p>
    <w:p w14:paraId="12D7477F" w14:textId="6BE4E225" w:rsidR="00E040FD" w:rsidRDefault="00740D64">
      <w:pPr>
        <w:pStyle w:val="ListParagraph"/>
        <w:keepNext w:val="0"/>
        <w:numPr>
          <w:ilvl w:val="0"/>
          <w:numId w:val="84"/>
        </w:numPr>
        <w:spacing w:beforeLines="40" w:before="96" w:after="0" w:line="22" w:lineRule="atLeast"/>
        <w:rPr>
          <w:noProof/>
        </w:rPr>
      </w:pPr>
      <w:r>
        <w:rPr>
          <w:noProof/>
        </w:rPr>
        <w:t xml:space="preserve">Utveckling, lansering eller uppgradering av plattformar för stadsförvaltning (UMP) i 75 kommuner och Comunidades Intermunicipais/Areas Metropolitanas, inbegripet digitalisering av förfaranden för bostäder och fysisk planering. </w:t>
      </w:r>
    </w:p>
    <w:p w14:paraId="61C1C578" w14:textId="29C677AC" w:rsidR="00E040FD" w:rsidRDefault="00740D64">
      <w:pPr>
        <w:pStyle w:val="ListParagraph"/>
        <w:keepNext w:val="0"/>
        <w:numPr>
          <w:ilvl w:val="0"/>
          <w:numId w:val="84"/>
        </w:numPr>
        <w:spacing w:beforeLines="40" w:before="96" w:after="0" w:line="22" w:lineRule="atLeast"/>
        <w:rPr>
          <w:noProof/>
        </w:rPr>
      </w:pPr>
      <w:r>
        <w:rPr>
          <w:noProof/>
        </w:rPr>
        <w:t xml:space="preserve">Utveckling av digitala tvillingar (digital representation av en avsedd eller faktisk fysisk produkt, ett system eller en process för praktiska ändamål) inom nationella prioriterade områden såsom vatten och jordbruk, klimatresiliens, mobilitet och utfasning av fossila bränslen, hälsa, energi, turism och civilskydd. </w:t>
      </w:r>
    </w:p>
    <w:p w14:paraId="61C1750B" w14:textId="479FE5E9" w:rsidR="00E040FD" w:rsidRDefault="00740D64">
      <w:pPr>
        <w:pStyle w:val="ListParagraph"/>
        <w:keepNext w:val="0"/>
        <w:numPr>
          <w:ilvl w:val="0"/>
          <w:numId w:val="84"/>
        </w:numPr>
        <w:spacing w:beforeLines="40" w:before="96" w:after="0" w:line="22" w:lineRule="atLeast"/>
        <w:rPr>
          <w:noProof/>
        </w:rPr>
      </w:pPr>
      <w:r>
        <w:rPr>
          <w:noProof/>
        </w:rPr>
        <w:t xml:space="preserve">Utveckling och lansering av en resultattavla för offentlig politik för att bistå offentliga aktörers politiska beslutsfattande på olika hierarkiska nivåer, med systematisk och aktuell information. </w:t>
      </w:r>
    </w:p>
    <w:p w14:paraId="55B408C7" w14:textId="24E1FBE6" w:rsidR="00E040FD" w:rsidRDefault="00740D64">
      <w:pPr>
        <w:pStyle w:val="ListParagraph"/>
        <w:keepNext w:val="0"/>
        <w:numPr>
          <w:ilvl w:val="0"/>
          <w:numId w:val="84"/>
        </w:numPr>
        <w:spacing w:beforeLines="40" w:before="96" w:after="0" w:line="22" w:lineRule="atLeast"/>
        <w:rPr>
          <w:noProof/>
        </w:rPr>
      </w:pPr>
      <w:r>
        <w:rPr>
          <w:noProof/>
        </w:rPr>
        <w:t>Utveckling av innehåll och tillhandahållande av utbildning om datainsamling och datahantering, standarder, öppna standarder, gränssnitt för tillämpningsprogram och annat innehåll kopplat till smarta städer och byggnader samt hållbarhet.</w:t>
      </w:r>
    </w:p>
    <w:p w14:paraId="7B990B4E" w14:textId="66208460" w:rsidR="00E040FD" w:rsidRDefault="00740D64">
      <w:pPr>
        <w:pStyle w:val="P68B1DB1-Normal4"/>
        <w:spacing w:beforeLines="40" w:before="96" w:after="0" w:line="22" w:lineRule="atLeast"/>
        <w:jc w:val="both"/>
        <w:rPr>
          <w:rFonts w:cs="Times New Roman"/>
          <w:noProof/>
        </w:rPr>
      </w:pPr>
      <w:r>
        <w:rPr>
          <w:noProof/>
        </w:rPr>
        <w:t>Investeringen ska vara genomförd senast den 30 juni 2026.</w:t>
      </w:r>
    </w:p>
    <w:p w14:paraId="681015AA"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77CC8938" w14:textId="77777777" w:rsidR="00E040FD" w:rsidRDefault="00E040FD">
      <w:pPr>
        <w:keepNext/>
        <w:spacing w:before="40" w:after="0" w:line="259" w:lineRule="auto"/>
        <w:rPr>
          <w:rFonts w:ascii="Times New Roman" w:eastAsiaTheme="minorEastAsia" w:hAnsi="Times New Roman" w:cs="Times New Roman"/>
          <w:noProof/>
          <w:sz w:val="24"/>
        </w:rPr>
        <w:sectPr w:rsidR="00E040FD" w:rsidSect="00E00EDD">
          <w:headerReference w:type="even" r:id="rId342"/>
          <w:headerReference w:type="default" r:id="rId343"/>
          <w:footerReference w:type="even" r:id="rId344"/>
          <w:footerReference w:type="default" r:id="rId345"/>
          <w:headerReference w:type="first" r:id="rId346"/>
          <w:footerReference w:type="first" r:id="rId347"/>
          <w:pgSz w:w="11907" w:h="16839"/>
          <w:pgMar w:top="1134" w:right="1134" w:bottom="1134" w:left="1134" w:header="567" w:footer="567" w:gutter="0"/>
          <w:cols w:space="720"/>
          <w:docGrid w:linePitch="360"/>
        </w:sectPr>
      </w:pPr>
    </w:p>
    <w:p w14:paraId="7CB91F94"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 xml:space="preserve">S.2. </w:t>
      </w:r>
      <w:r>
        <w:rPr>
          <w:noProof/>
        </w:rPr>
        <w:tab/>
        <w:t>Delmål, mål, indikatorer och tidsplan för övervakning och genomförande avseende icke återbetalningspliktigt ekonomiskt stöd</w:t>
      </w:r>
    </w:p>
    <w:p w14:paraId="64FD62E1"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186"/>
        <w:gridCol w:w="1058"/>
        <w:gridCol w:w="1573"/>
        <w:gridCol w:w="1314"/>
        <w:gridCol w:w="1110"/>
        <w:gridCol w:w="928"/>
        <w:gridCol w:w="670"/>
        <w:gridCol w:w="542"/>
        <w:gridCol w:w="670"/>
        <w:gridCol w:w="4347"/>
      </w:tblGrid>
      <w:tr w:rsidR="00E040FD" w14:paraId="088C7A32" w14:textId="77777777">
        <w:trPr>
          <w:trHeight w:val="910"/>
          <w:tblHeader/>
        </w:trPr>
        <w:tc>
          <w:tcPr>
            <w:tcW w:w="1082" w:type="dxa"/>
            <w:vMerge w:val="restart"/>
            <w:shd w:val="clear" w:color="auto" w:fill="BDD6EE"/>
            <w:vAlign w:val="center"/>
            <w:hideMark/>
          </w:tcPr>
          <w:p w14:paraId="67C74427"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11" w:type="dxa"/>
            <w:vMerge w:val="restart"/>
            <w:shd w:val="clear" w:color="auto" w:fill="BDD6EE"/>
            <w:vAlign w:val="center"/>
            <w:hideMark/>
          </w:tcPr>
          <w:p w14:paraId="628E7404"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080" w:type="dxa"/>
            <w:vMerge w:val="restart"/>
            <w:shd w:val="clear" w:color="auto" w:fill="BDD6EE"/>
            <w:vAlign w:val="center"/>
            <w:hideMark/>
          </w:tcPr>
          <w:p w14:paraId="0E05B438" w14:textId="53E6D5D2" w:rsidR="00E040FD" w:rsidRDefault="00740D64">
            <w:pPr>
              <w:pStyle w:val="P68B1DB1-Normal6"/>
              <w:spacing w:after="0" w:line="240" w:lineRule="auto"/>
              <w:jc w:val="center"/>
              <w:rPr>
                <w:rFonts w:eastAsia="Times New Roman" w:cs="Times New Roman"/>
                <w:noProof/>
              </w:rPr>
            </w:pPr>
            <w:r>
              <w:rPr>
                <w:noProof/>
              </w:rPr>
              <w:t>Delmål/mål</w:t>
            </w:r>
          </w:p>
        </w:tc>
        <w:tc>
          <w:tcPr>
            <w:tcW w:w="1609" w:type="dxa"/>
            <w:vMerge w:val="restart"/>
            <w:shd w:val="clear" w:color="auto" w:fill="BDD6EE"/>
            <w:vAlign w:val="center"/>
            <w:hideMark/>
          </w:tcPr>
          <w:p w14:paraId="0BDF7800" w14:textId="77777777" w:rsidR="00E040FD" w:rsidRDefault="00740D64">
            <w:pPr>
              <w:pStyle w:val="P68B1DB1-Normal6"/>
              <w:spacing w:after="0" w:line="240" w:lineRule="auto"/>
              <w:jc w:val="center"/>
              <w:rPr>
                <w:rFonts w:eastAsia="Times New Roman" w:cs="Times New Roman"/>
                <w:noProof/>
              </w:rPr>
            </w:pPr>
            <w:r>
              <w:rPr>
                <w:noProof/>
              </w:rPr>
              <w:t>Namn</w:t>
            </w:r>
          </w:p>
        </w:tc>
        <w:tc>
          <w:tcPr>
            <w:tcW w:w="1343" w:type="dxa"/>
            <w:vMerge w:val="restart"/>
            <w:shd w:val="clear" w:color="auto" w:fill="BDD6EE"/>
            <w:vAlign w:val="center"/>
            <w:hideMark/>
          </w:tcPr>
          <w:p w14:paraId="170B5F8F"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444" w:type="dxa"/>
            <w:gridSpan w:val="3"/>
            <w:shd w:val="clear" w:color="auto" w:fill="BDD6EE"/>
            <w:vAlign w:val="center"/>
            <w:hideMark/>
          </w:tcPr>
          <w:p w14:paraId="2A5DB656"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32" w:type="dxa"/>
            <w:gridSpan w:val="2"/>
            <w:shd w:val="clear" w:color="auto" w:fill="BDD6EE"/>
            <w:vAlign w:val="center"/>
            <w:hideMark/>
          </w:tcPr>
          <w:p w14:paraId="6828BC5C"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4458" w:type="dxa"/>
            <w:vMerge w:val="restart"/>
            <w:shd w:val="clear" w:color="auto" w:fill="BDD6EE"/>
            <w:vAlign w:val="center"/>
            <w:hideMark/>
          </w:tcPr>
          <w:p w14:paraId="7DCEFB52"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4548F8B7" w14:textId="77777777">
        <w:trPr>
          <w:trHeight w:val="470"/>
          <w:tblHeader/>
        </w:trPr>
        <w:tc>
          <w:tcPr>
            <w:tcW w:w="1082" w:type="dxa"/>
            <w:vMerge/>
            <w:vAlign w:val="center"/>
            <w:hideMark/>
          </w:tcPr>
          <w:p w14:paraId="103877F4" w14:textId="77777777" w:rsidR="00E040FD" w:rsidRDefault="00E040FD">
            <w:pPr>
              <w:spacing w:after="0" w:line="240" w:lineRule="auto"/>
              <w:rPr>
                <w:rFonts w:ascii="Times New Roman" w:eastAsia="Times New Roman" w:hAnsi="Times New Roman" w:cs="Times New Roman"/>
                <w:b/>
                <w:noProof/>
                <w:sz w:val="18"/>
              </w:rPr>
            </w:pPr>
          </w:p>
        </w:tc>
        <w:tc>
          <w:tcPr>
            <w:tcW w:w="1211" w:type="dxa"/>
            <w:vMerge/>
            <w:vAlign w:val="center"/>
            <w:hideMark/>
          </w:tcPr>
          <w:p w14:paraId="615E906C" w14:textId="77777777" w:rsidR="00E040FD" w:rsidRDefault="00E040FD">
            <w:pPr>
              <w:spacing w:after="0" w:line="240" w:lineRule="auto"/>
              <w:rPr>
                <w:rFonts w:ascii="Times New Roman" w:eastAsia="Times New Roman" w:hAnsi="Times New Roman" w:cs="Times New Roman"/>
                <w:b/>
                <w:noProof/>
                <w:sz w:val="18"/>
              </w:rPr>
            </w:pPr>
          </w:p>
        </w:tc>
        <w:tc>
          <w:tcPr>
            <w:tcW w:w="1080" w:type="dxa"/>
            <w:vMerge/>
            <w:vAlign w:val="center"/>
            <w:hideMark/>
          </w:tcPr>
          <w:p w14:paraId="03D775B3" w14:textId="2BE8587E" w:rsidR="00E040FD" w:rsidRDefault="00E040FD">
            <w:pPr>
              <w:spacing w:after="0" w:line="240" w:lineRule="auto"/>
              <w:jc w:val="center"/>
              <w:rPr>
                <w:rFonts w:ascii="Times New Roman" w:eastAsia="Times New Roman" w:hAnsi="Times New Roman" w:cs="Times New Roman"/>
                <w:b/>
                <w:noProof/>
                <w:sz w:val="18"/>
              </w:rPr>
            </w:pPr>
          </w:p>
        </w:tc>
        <w:tc>
          <w:tcPr>
            <w:tcW w:w="1609" w:type="dxa"/>
            <w:vMerge/>
            <w:vAlign w:val="center"/>
            <w:hideMark/>
          </w:tcPr>
          <w:p w14:paraId="7BCB0E2B" w14:textId="77777777" w:rsidR="00E040FD" w:rsidRDefault="00E040FD">
            <w:pPr>
              <w:spacing w:after="0" w:line="240" w:lineRule="auto"/>
              <w:rPr>
                <w:rFonts w:ascii="Times New Roman" w:eastAsia="Times New Roman" w:hAnsi="Times New Roman" w:cs="Times New Roman"/>
                <w:b/>
                <w:noProof/>
                <w:sz w:val="18"/>
              </w:rPr>
            </w:pPr>
          </w:p>
        </w:tc>
        <w:tc>
          <w:tcPr>
            <w:tcW w:w="1343" w:type="dxa"/>
            <w:vMerge/>
            <w:vAlign w:val="center"/>
            <w:hideMark/>
          </w:tcPr>
          <w:p w14:paraId="37EB8607" w14:textId="77777777" w:rsidR="00E040FD" w:rsidRDefault="00E040FD">
            <w:pPr>
              <w:spacing w:after="0" w:line="240" w:lineRule="auto"/>
              <w:rPr>
                <w:rFonts w:ascii="Times New Roman" w:eastAsia="Times New Roman" w:hAnsi="Times New Roman" w:cs="Times New Roman"/>
                <w:b/>
                <w:noProof/>
                <w:sz w:val="18"/>
              </w:rPr>
            </w:pPr>
          </w:p>
        </w:tc>
        <w:tc>
          <w:tcPr>
            <w:tcW w:w="1134" w:type="dxa"/>
            <w:shd w:val="clear" w:color="auto" w:fill="BDD6EE"/>
            <w:vAlign w:val="center"/>
            <w:hideMark/>
          </w:tcPr>
          <w:p w14:paraId="61817E80"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47" w:type="dxa"/>
            <w:shd w:val="clear" w:color="auto" w:fill="BDD6EE"/>
            <w:vAlign w:val="center"/>
            <w:hideMark/>
          </w:tcPr>
          <w:p w14:paraId="3FDEEB09"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682" w:type="dxa"/>
            <w:shd w:val="clear" w:color="auto" w:fill="BDD6EE"/>
            <w:vAlign w:val="center"/>
            <w:hideMark/>
          </w:tcPr>
          <w:p w14:paraId="65EB9FBE" w14:textId="77777777" w:rsidR="00E040FD" w:rsidRDefault="00740D64">
            <w:pPr>
              <w:pStyle w:val="P68B1DB1-Normal6"/>
              <w:spacing w:after="0" w:line="240" w:lineRule="auto"/>
              <w:jc w:val="center"/>
              <w:rPr>
                <w:rFonts w:eastAsia="Times New Roman" w:cs="Times New Roman"/>
                <w:noProof/>
              </w:rPr>
            </w:pPr>
            <w:r>
              <w:rPr>
                <w:noProof/>
              </w:rPr>
              <w:t>Mål</w:t>
            </w:r>
          </w:p>
        </w:tc>
        <w:tc>
          <w:tcPr>
            <w:tcW w:w="550" w:type="dxa"/>
            <w:shd w:val="clear" w:color="auto" w:fill="BDD6EE"/>
            <w:vAlign w:val="center"/>
            <w:hideMark/>
          </w:tcPr>
          <w:p w14:paraId="1B5C364F" w14:textId="77777777" w:rsidR="00E040FD" w:rsidRDefault="00740D64">
            <w:pPr>
              <w:pStyle w:val="P68B1DB1-Normal6"/>
              <w:spacing w:after="0" w:line="240" w:lineRule="auto"/>
              <w:jc w:val="center"/>
              <w:rPr>
                <w:rFonts w:eastAsia="Times New Roman" w:cs="Times New Roman"/>
                <w:noProof/>
              </w:rPr>
            </w:pPr>
            <w:r>
              <w:rPr>
                <w:noProof/>
              </w:rPr>
              <w:t>Q</w:t>
            </w:r>
          </w:p>
        </w:tc>
        <w:tc>
          <w:tcPr>
            <w:tcW w:w="682" w:type="dxa"/>
            <w:shd w:val="clear" w:color="auto" w:fill="BDD6EE"/>
            <w:vAlign w:val="center"/>
            <w:hideMark/>
          </w:tcPr>
          <w:p w14:paraId="3B9C38F6" w14:textId="77777777" w:rsidR="00E040FD" w:rsidRDefault="00740D64">
            <w:pPr>
              <w:pStyle w:val="P68B1DB1-Normal6"/>
              <w:spacing w:after="0" w:line="240" w:lineRule="auto"/>
              <w:jc w:val="center"/>
              <w:rPr>
                <w:rFonts w:eastAsia="Times New Roman" w:cs="Times New Roman"/>
                <w:noProof/>
              </w:rPr>
            </w:pPr>
            <w:r>
              <w:rPr>
                <w:noProof/>
              </w:rPr>
              <w:t>Året</w:t>
            </w:r>
          </w:p>
        </w:tc>
        <w:tc>
          <w:tcPr>
            <w:tcW w:w="4458" w:type="dxa"/>
            <w:vMerge/>
            <w:vAlign w:val="center"/>
            <w:hideMark/>
          </w:tcPr>
          <w:p w14:paraId="7341FB0C" w14:textId="77777777" w:rsidR="00E040FD" w:rsidRDefault="00E040FD">
            <w:pPr>
              <w:spacing w:after="0" w:line="240" w:lineRule="auto"/>
              <w:rPr>
                <w:rFonts w:ascii="Times New Roman" w:eastAsia="Times New Roman" w:hAnsi="Times New Roman" w:cs="Times New Roman"/>
                <w:b/>
                <w:noProof/>
                <w:sz w:val="18"/>
              </w:rPr>
            </w:pPr>
          </w:p>
        </w:tc>
      </w:tr>
      <w:tr w:rsidR="00E040FD" w14:paraId="1E167ECE" w14:textId="77777777">
        <w:trPr>
          <w:trHeight w:val="420"/>
        </w:trPr>
        <w:tc>
          <w:tcPr>
            <w:tcW w:w="1082" w:type="dxa"/>
            <w:shd w:val="clear" w:color="auto" w:fill="C4EFCE"/>
            <w:vAlign w:val="center"/>
            <w:hideMark/>
          </w:tcPr>
          <w:p w14:paraId="1B7A59FA" w14:textId="77777777" w:rsidR="00E040FD" w:rsidRDefault="00740D64">
            <w:pPr>
              <w:pStyle w:val="P68B1DB1-Normal7"/>
              <w:spacing w:after="0" w:line="240" w:lineRule="auto"/>
              <w:jc w:val="center"/>
              <w:rPr>
                <w:rFonts w:eastAsia="Times New Roman" w:cs="Calibri"/>
                <w:noProof/>
              </w:rPr>
            </w:pPr>
            <w:r>
              <w:rPr>
                <w:noProof/>
              </w:rPr>
              <w:t>19.1</w:t>
            </w:r>
          </w:p>
        </w:tc>
        <w:tc>
          <w:tcPr>
            <w:tcW w:w="1211" w:type="dxa"/>
            <w:shd w:val="clear" w:color="auto" w:fill="C4EFCE"/>
            <w:noWrap/>
            <w:vAlign w:val="center"/>
            <w:hideMark/>
          </w:tcPr>
          <w:p w14:paraId="3FDA88F6" w14:textId="77777777" w:rsidR="00E040FD" w:rsidRDefault="00740D64">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hideMark/>
          </w:tcPr>
          <w:p w14:paraId="3DC52799" w14:textId="77777777"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4F8CF771" w14:textId="77777777" w:rsidR="00E040FD" w:rsidRDefault="00740D64">
            <w:pPr>
              <w:pStyle w:val="P68B1DB1-Normal8"/>
              <w:spacing w:after="0" w:line="240" w:lineRule="auto"/>
              <w:jc w:val="center"/>
              <w:rPr>
                <w:rFonts w:eastAsia="Times New Roman" w:cs="Calibri"/>
                <w:noProof/>
              </w:rPr>
            </w:pPr>
            <w:r>
              <w:rPr>
                <w:noProof/>
              </w:rPr>
              <w:t>Offentliga tjänster som är tillgängliga på ett förenklat och enhetligt sätt genom olika kanaler</w:t>
            </w:r>
          </w:p>
        </w:tc>
        <w:tc>
          <w:tcPr>
            <w:tcW w:w="1343" w:type="dxa"/>
            <w:shd w:val="clear" w:color="auto" w:fill="C4EFCE"/>
            <w:noWrap/>
            <w:vAlign w:val="center"/>
            <w:hideMark/>
          </w:tcPr>
          <w:p w14:paraId="6DFD823D" w14:textId="77777777" w:rsidR="00E040FD" w:rsidRDefault="00740D64">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317A5659" w14:textId="77777777" w:rsidR="00E040FD" w:rsidRDefault="00740D64">
            <w:pPr>
              <w:pStyle w:val="P68B1DB1-Normal8"/>
              <w:spacing w:after="0" w:line="240" w:lineRule="auto"/>
              <w:jc w:val="center"/>
              <w:rPr>
                <w:rFonts w:eastAsia="Times New Roman" w:cs="Calibri"/>
                <w:noProof/>
              </w:rPr>
            </w:pPr>
            <w:r>
              <w:rPr>
                <w:noProof/>
              </w:rPr>
              <w:t>Antal</w:t>
            </w:r>
          </w:p>
        </w:tc>
        <w:tc>
          <w:tcPr>
            <w:tcW w:w="947" w:type="dxa"/>
            <w:shd w:val="clear" w:color="auto" w:fill="C4EFCE"/>
            <w:noWrap/>
            <w:vAlign w:val="center"/>
            <w:hideMark/>
          </w:tcPr>
          <w:p w14:paraId="3D4F554C" w14:textId="77777777" w:rsidR="00E040FD" w:rsidRDefault="00740D64">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27880A98" w14:textId="77777777" w:rsidR="00E040FD" w:rsidRDefault="00740D64">
            <w:pPr>
              <w:pStyle w:val="P68B1DB1-Normal8"/>
              <w:spacing w:after="0" w:line="240" w:lineRule="auto"/>
              <w:jc w:val="center"/>
              <w:rPr>
                <w:rFonts w:eastAsia="Times New Roman" w:cs="Calibri"/>
                <w:noProof/>
              </w:rPr>
            </w:pPr>
            <w:r>
              <w:rPr>
                <w:noProof/>
              </w:rPr>
              <w:t>5</w:t>
            </w:r>
          </w:p>
        </w:tc>
        <w:tc>
          <w:tcPr>
            <w:tcW w:w="550" w:type="dxa"/>
            <w:shd w:val="clear" w:color="auto" w:fill="C4EFCE"/>
            <w:noWrap/>
            <w:vAlign w:val="center"/>
            <w:hideMark/>
          </w:tcPr>
          <w:p w14:paraId="290B35B9" w14:textId="77777777" w:rsidR="00E040FD" w:rsidRDefault="00740D64">
            <w:pPr>
              <w:pStyle w:val="P68B1DB1-Normal8"/>
              <w:spacing w:after="0" w:line="240" w:lineRule="auto"/>
              <w:jc w:val="center"/>
              <w:rPr>
                <w:rFonts w:eastAsia="Times New Roman" w:cs="Calibri"/>
                <w:noProof/>
              </w:rPr>
            </w:pPr>
            <w:r>
              <w:rPr>
                <w:noProof/>
              </w:rPr>
              <w:t>KVARTAL 4</w:t>
            </w:r>
          </w:p>
        </w:tc>
        <w:tc>
          <w:tcPr>
            <w:tcW w:w="682" w:type="dxa"/>
            <w:shd w:val="clear" w:color="auto" w:fill="C4EFCE"/>
            <w:noWrap/>
            <w:vAlign w:val="center"/>
            <w:hideMark/>
          </w:tcPr>
          <w:p w14:paraId="2E18BF24" w14:textId="77777777" w:rsidR="00E040FD" w:rsidRDefault="00740D64">
            <w:pPr>
              <w:pStyle w:val="P68B1DB1-Normal8"/>
              <w:spacing w:after="0" w:line="240" w:lineRule="auto"/>
              <w:jc w:val="center"/>
              <w:rPr>
                <w:rFonts w:eastAsia="Times New Roman" w:cs="Calibri"/>
                <w:noProof/>
              </w:rPr>
            </w:pPr>
            <w:r>
              <w:rPr>
                <w:noProof/>
              </w:rPr>
              <w:t>2022</w:t>
            </w:r>
          </w:p>
        </w:tc>
        <w:tc>
          <w:tcPr>
            <w:tcW w:w="4458" w:type="dxa"/>
            <w:shd w:val="clear" w:color="auto" w:fill="C4EFCE"/>
            <w:vAlign w:val="center"/>
            <w:hideMark/>
          </w:tcPr>
          <w:p w14:paraId="2F2A0419" w14:textId="77777777" w:rsidR="00E040FD" w:rsidRDefault="00740D64">
            <w:pPr>
              <w:pStyle w:val="P68B1DB1-Normal8"/>
              <w:spacing w:after="0" w:line="240" w:lineRule="auto"/>
              <w:jc w:val="both"/>
              <w:rPr>
                <w:rFonts w:eastAsia="Times New Roman" w:cs="Calibri"/>
                <w:noProof/>
              </w:rPr>
            </w:pPr>
            <w:r>
              <w:rPr>
                <w:noProof/>
              </w:rPr>
              <w:t xml:space="preserve">Antal tjänster som registreras i den förbättrade enhetskatalogen och tjänstekatalogen och som är tillgängliga via flera kanaler: en gemensam portal för digitala tjänster, kontaktcentrum, </w:t>
            </w:r>
            <w:r>
              <w:rPr>
                <w:i/>
                <w:noProof/>
              </w:rPr>
              <w:t>Lojas do Cidadão</w:t>
            </w:r>
            <w:r>
              <w:rPr>
                <w:noProof/>
              </w:rPr>
              <w:t xml:space="preserve"> / </w:t>
            </w:r>
            <w:r>
              <w:rPr>
                <w:i/>
                <w:noProof/>
              </w:rPr>
              <w:t>Espaços Cidadão</w:t>
            </w:r>
            <w:r>
              <w:rPr>
                <w:noProof/>
              </w:rPr>
              <w:t xml:space="preserve">. </w:t>
            </w:r>
          </w:p>
          <w:p w14:paraId="0669A61E" w14:textId="66964D8D" w:rsidR="00E040FD" w:rsidRDefault="00740D64">
            <w:pPr>
              <w:pStyle w:val="P68B1DB1-Normal8"/>
              <w:spacing w:after="0" w:line="240" w:lineRule="auto"/>
              <w:jc w:val="both"/>
              <w:rPr>
                <w:rFonts w:eastAsia="Times New Roman" w:cs="Calibri"/>
                <w:noProof/>
              </w:rPr>
            </w:pPr>
            <w:r>
              <w:rPr>
                <w:noProof/>
              </w:rPr>
              <w:t>Denna indikator innebär att dessa tjänster omformas i enlighet med engångsprincipen och att de görs tillgängliga i en samlad kanal.</w:t>
            </w:r>
          </w:p>
        </w:tc>
      </w:tr>
      <w:tr w:rsidR="00E040FD" w14:paraId="5047912C" w14:textId="77777777">
        <w:trPr>
          <w:trHeight w:val="420"/>
        </w:trPr>
        <w:tc>
          <w:tcPr>
            <w:tcW w:w="1082" w:type="dxa"/>
            <w:shd w:val="clear" w:color="auto" w:fill="C4EFCE"/>
            <w:vAlign w:val="center"/>
            <w:hideMark/>
          </w:tcPr>
          <w:p w14:paraId="313C63A5" w14:textId="77777777" w:rsidR="00E040FD" w:rsidRDefault="00740D64">
            <w:pPr>
              <w:pStyle w:val="P68B1DB1-Normal7"/>
              <w:spacing w:after="0" w:line="240" w:lineRule="auto"/>
              <w:jc w:val="center"/>
              <w:rPr>
                <w:rFonts w:eastAsia="Times New Roman" w:cs="Calibri"/>
                <w:noProof/>
              </w:rPr>
            </w:pPr>
            <w:r>
              <w:rPr>
                <w:noProof/>
              </w:rPr>
              <w:t>19.2</w:t>
            </w:r>
          </w:p>
        </w:tc>
        <w:tc>
          <w:tcPr>
            <w:tcW w:w="1211" w:type="dxa"/>
            <w:shd w:val="clear" w:color="auto" w:fill="C4EFCE"/>
            <w:noWrap/>
            <w:vAlign w:val="center"/>
            <w:hideMark/>
          </w:tcPr>
          <w:p w14:paraId="74C76E9B" w14:textId="77777777" w:rsidR="00E040FD" w:rsidRDefault="00740D64">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hideMark/>
          </w:tcPr>
          <w:p w14:paraId="21EB2875" w14:textId="77777777"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557BE133" w14:textId="77777777" w:rsidR="00E040FD" w:rsidRDefault="00740D64">
            <w:pPr>
              <w:pStyle w:val="P68B1DB1-Normal8"/>
              <w:spacing w:after="0" w:line="240" w:lineRule="auto"/>
              <w:jc w:val="center"/>
              <w:rPr>
                <w:rFonts w:eastAsia="Times New Roman" w:cs="Calibri"/>
                <w:noProof/>
              </w:rPr>
            </w:pPr>
            <w:r>
              <w:rPr>
                <w:noProof/>
              </w:rPr>
              <w:t>Offentliga tjänster som är tillgängliga på ett förenklat och enhetligt sätt genom olika kanaler</w:t>
            </w:r>
          </w:p>
        </w:tc>
        <w:tc>
          <w:tcPr>
            <w:tcW w:w="1343" w:type="dxa"/>
            <w:shd w:val="clear" w:color="auto" w:fill="C4EFCE"/>
            <w:noWrap/>
            <w:vAlign w:val="center"/>
            <w:hideMark/>
          </w:tcPr>
          <w:p w14:paraId="0C7B536C" w14:textId="77777777" w:rsidR="00E040FD" w:rsidRDefault="00740D64">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723C0D4E" w14:textId="77777777" w:rsidR="00E040FD" w:rsidRDefault="00740D64">
            <w:pPr>
              <w:pStyle w:val="P68B1DB1-Normal8"/>
              <w:spacing w:after="0" w:line="240" w:lineRule="auto"/>
              <w:jc w:val="center"/>
              <w:rPr>
                <w:rFonts w:eastAsia="Times New Roman" w:cs="Calibri"/>
                <w:noProof/>
              </w:rPr>
            </w:pPr>
            <w:r>
              <w:rPr>
                <w:noProof/>
              </w:rPr>
              <w:t>Antal</w:t>
            </w:r>
          </w:p>
        </w:tc>
        <w:tc>
          <w:tcPr>
            <w:tcW w:w="947" w:type="dxa"/>
            <w:shd w:val="clear" w:color="auto" w:fill="C4EFCE"/>
            <w:noWrap/>
            <w:vAlign w:val="center"/>
            <w:hideMark/>
          </w:tcPr>
          <w:p w14:paraId="04D75696" w14:textId="77777777" w:rsidR="00E040FD" w:rsidRDefault="00740D64">
            <w:pPr>
              <w:pStyle w:val="P68B1DB1-Normal8"/>
              <w:spacing w:after="0" w:line="240" w:lineRule="auto"/>
              <w:jc w:val="center"/>
              <w:rPr>
                <w:rFonts w:eastAsia="Times New Roman" w:cs="Calibri"/>
                <w:noProof/>
              </w:rPr>
            </w:pPr>
            <w:r>
              <w:rPr>
                <w:noProof/>
              </w:rPr>
              <w:t>5</w:t>
            </w:r>
          </w:p>
        </w:tc>
        <w:tc>
          <w:tcPr>
            <w:tcW w:w="682" w:type="dxa"/>
            <w:shd w:val="clear" w:color="auto" w:fill="C4EFCE"/>
            <w:noWrap/>
            <w:vAlign w:val="center"/>
            <w:hideMark/>
          </w:tcPr>
          <w:p w14:paraId="542165AC" w14:textId="77777777" w:rsidR="00E040FD" w:rsidRDefault="00740D64">
            <w:pPr>
              <w:pStyle w:val="P68B1DB1-Normal8"/>
              <w:spacing w:after="0" w:line="240" w:lineRule="auto"/>
              <w:jc w:val="center"/>
              <w:rPr>
                <w:rFonts w:eastAsia="Times New Roman" w:cs="Calibri"/>
                <w:noProof/>
              </w:rPr>
            </w:pPr>
            <w:r>
              <w:rPr>
                <w:noProof/>
              </w:rPr>
              <w:t>25</w:t>
            </w:r>
          </w:p>
        </w:tc>
        <w:tc>
          <w:tcPr>
            <w:tcW w:w="550" w:type="dxa"/>
            <w:shd w:val="clear" w:color="auto" w:fill="C4EFCE"/>
            <w:noWrap/>
            <w:vAlign w:val="center"/>
            <w:hideMark/>
          </w:tcPr>
          <w:p w14:paraId="204665A2" w14:textId="77777777" w:rsidR="00E040FD" w:rsidRDefault="00740D64">
            <w:pPr>
              <w:pStyle w:val="P68B1DB1-Normal8"/>
              <w:spacing w:after="0" w:line="240" w:lineRule="auto"/>
              <w:jc w:val="center"/>
              <w:rPr>
                <w:rFonts w:eastAsia="Times New Roman" w:cs="Calibri"/>
                <w:noProof/>
              </w:rPr>
            </w:pPr>
            <w:r>
              <w:rPr>
                <w:noProof/>
              </w:rPr>
              <w:t>KVARTAL 1</w:t>
            </w:r>
          </w:p>
        </w:tc>
        <w:tc>
          <w:tcPr>
            <w:tcW w:w="682" w:type="dxa"/>
            <w:shd w:val="clear" w:color="auto" w:fill="C4EFCE"/>
            <w:noWrap/>
            <w:vAlign w:val="center"/>
            <w:hideMark/>
          </w:tcPr>
          <w:p w14:paraId="47B5ABC7" w14:textId="77777777" w:rsidR="00E040FD" w:rsidRDefault="00740D64">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6A62EF75" w14:textId="77777777" w:rsidR="00E040FD" w:rsidRDefault="00740D64">
            <w:pPr>
              <w:pStyle w:val="P68B1DB1-Normal8"/>
              <w:spacing w:after="0" w:line="240" w:lineRule="auto"/>
              <w:jc w:val="both"/>
              <w:rPr>
                <w:rFonts w:eastAsia="Times New Roman" w:cs="Calibri"/>
                <w:noProof/>
              </w:rPr>
            </w:pPr>
            <w:r>
              <w:rPr>
                <w:noProof/>
              </w:rPr>
              <w:t xml:space="preserve">Antal tjänster som registreras i den förbättrade enhetskatalogen och tjänstekatalogen och som är tillgängliga via flera kanaler: en gemensam portal för digitala tjänster, kontaktcentrum, </w:t>
            </w:r>
            <w:r>
              <w:rPr>
                <w:i/>
                <w:noProof/>
              </w:rPr>
              <w:t>Lojas do Cidadão</w:t>
            </w:r>
            <w:r>
              <w:rPr>
                <w:noProof/>
              </w:rPr>
              <w:t xml:space="preserve"> / </w:t>
            </w:r>
            <w:r>
              <w:rPr>
                <w:i/>
                <w:noProof/>
              </w:rPr>
              <w:t>Espaços Cidadão</w:t>
            </w:r>
            <w:r>
              <w:rPr>
                <w:noProof/>
              </w:rPr>
              <w:t xml:space="preserve">. </w:t>
            </w:r>
          </w:p>
          <w:p w14:paraId="1F8BC66A" w14:textId="3E0F41FA" w:rsidR="00E040FD" w:rsidRDefault="00740D64">
            <w:pPr>
              <w:pStyle w:val="P68B1DB1-Normal8"/>
              <w:spacing w:after="0" w:line="240" w:lineRule="auto"/>
              <w:jc w:val="both"/>
              <w:rPr>
                <w:rFonts w:eastAsia="Times New Roman" w:cs="Calibri"/>
                <w:noProof/>
              </w:rPr>
            </w:pPr>
            <w:r>
              <w:rPr>
                <w:noProof/>
              </w:rPr>
              <w:t>Denna indikator innebär att dessa tjänster omformas i enlighet med engångsprincipen och att de görs tillgängliga i en samlad kanal.</w:t>
            </w:r>
          </w:p>
        </w:tc>
      </w:tr>
      <w:tr w:rsidR="00E040FD" w14:paraId="27972876" w14:textId="77777777">
        <w:trPr>
          <w:trHeight w:val="290"/>
        </w:trPr>
        <w:tc>
          <w:tcPr>
            <w:tcW w:w="1082" w:type="dxa"/>
            <w:shd w:val="clear" w:color="auto" w:fill="C4EFCE"/>
            <w:vAlign w:val="center"/>
            <w:hideMark/>
          </w:tcPr>
          <w:p w14:paraId="0B0D05C4" w14:textId="77777777" w:rsidR="00E040FD" w:rsidRDefault="00740D64">
            <w:pPr>
              <w:pStyle w:val="P68B1DB1-Normal7"/>
              <w:spacing w:after="0" w:line="240" w:lineRule="auto"/>
              <w:jc w:val="center"/>
              <w:rPr>
                <w:rFonts w:eastAsia="Times New Roman" w:cs="Calibri"/>
                <w:noProof/>
              </w:rPr>
            </w:pPr>
            <w:r>
              <w:rPr>
                <w:noProof/>
              </w:rPr>
              <w:t>19.3</w:t>
            </w:r>
          </w:p>
        </w:tc>
        <w:tc>
          <w:tcPr>
            <w:tcW w:w="1211" w:type="dxa"/>
            <w:shd w:val="clear" w:color="auto" w:fill="C4EFCE"/>
            <w:noWrap/>
            <w:vAlign w:val="center"/>
            <w:hideMark/>
          </w:tcPr>
          <w:p w14:paraId="0DA2F717" w14:textId="77777777" w:rsidR="00E040FD" w:rsidRDefault="00740D64">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hideMark/>
          </w:tcPr>
          <w:p w14:paraId="3FEDE5E4" w14:textId="77777777"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24992453" w14:textId="77777777" w:rsidR="00E040FD" w:rsidRDefault="00740D64">
            <w:pPr>
              <w:pStyle w:val="P68B1DB1-Normal8"/>
              <w:spacing w:after="0" w:line="240" w:lineRule="auto"/>
              <w:jc w:val="center"/>
              <w:rPr>
                <w:rFonts w:eastAsia="Times New Roman" w:cs="Calibri"/>
                <w:noProof/>
              </w:rPr>
            </w:pPr>
            <w:r>
              <w:rPr>
                <w:noProof/>
              </w:rPr>
              <w:t>Ny modell för konsulär förvaltning</w:t>
            </w:r>
          </w:p>
        </w:tc>
        <w:tc>
          <w:tcPr>
            <w:tcW w:w="1343" w:type="dxa"/>
            <w:shd w:val="clear" w:color="auto" w:fill="C4EFCE"/>
            <w:noWrap/>
            <w:vAlign w:val="center"/>
            <w:hideMark/>
          </w:tcPr>
          <w:p w14:paraId="221340B2" w14:textId="77777777" w:rsidR="00E040FD" w:rsidRDefault="00740D64">
            <w:pPr>
              <w:pStyle w:val="P68B1DB1-Normal8"/>
              <w:spacing w:after="0" w:line="240" w:lineRule="auto"/>
              <w:jc w:val="center"/>
              <w:rPr>
                <w:rFonts w:eastAsia="Times New Roman" w:cs="Calibri"/>
                <w:noProof/>
              </w:rPr>
            </w:pPr>
            <w:r>
              <w:rPr>
                <w:noProof/>
              </w:rPr>
              <w:t>Ny modell för konsulär förvaltning</w:t>
            </w:r>
          </w:p>
        </w:tc>
        <w:tc>
          <w:tcPr>
            <w:tcW w:w="1134" w:type="dxa"/>
            <w:shd w:val="clear" w:color="auto" w:fill="C4EFCE"/>
            <w:noWrap/>
            <w:vAlign w:val="center"/>
            <w:hideMark/>
          </w:tcPr>
          <w:p w14:paraId="57A5BD83" w14:textId="77777777" w:rsidR="00E040FD" w:rsidRDefault="00740D64">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0C64240F" w14:textId="77777777" w:rsidR="00E040FD" w:rsidRDefault="00740D64">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78C80247" w14:textId="77777777" w:rsidR="00E040FD" w:rsidRDefault="00740D64">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2C0C4BCA" w14:textId="77777777" w:rsidR="00E040FD" w:rsidRDefault="00740D64">
            <w:pPr>
              <w:pStyle w:val="P68B1DB1-Normal8"/>
              <w:spacing w:after="0" w:line="240" w:lineRule="auto"/>
              <w:jc w:val="center"/>
              <w:rPr>
                <w:rFonts w:eastAsia="Times New Roman" w:cs="Calibri"/>
                <w:noProof/>
              </w:rPr>
            </w:pPr>
            <w:r>
              <w:rPr>
                <w:noProof/>
              </w:rPr>
              <w:t>KVARTAL 1</w:t>
            </w:r>
          </w:p>
        </w:tc>
        <w:tc>
          <w:tcPr>
            <w:tcW w:w="682" w:type="dxa"/>
            <w:shd w:val="clear" w:color="auto" w:fill="C4EFCE"/>
            <w:noWrap/>
            <w:vAlign w:val="center"/>
            <w:hideMark/>
          </w:tcPr>
          <w:p w14:paraId="6EC450BB" w14:textId="77777777" w:rsidR="00E040FD" w:rsidRDefault="00740D64">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46DC3E91" w14:textId="77777777" w:rsidR="00E040FD" w:rsidRDefault="00740D64">
            <w:pPr>
              <w:pStyle w:val="P68B1DB1-Normal8"/>
              <w:spacing w:after="0" w:line="240" w:lineRule="auto"/>
              <w:jc w:val="both"/>
              <w:rPr>
                <w:rFonts w:eastAsia="Calibri" w:cs="Calibri"/>
                <w:noProof/>
              </w:rPr>
            </w:pPr>
            <w:r>
              <w:rPr>
                <w:noProof/>
              </w:rPr>
              <w:t xml:space="preserve">Fullständigt genomförande av den nya modellen för konsulär förvaltning: </w:t>
            </w:r>
          </w:p>
          <w:p w14:paraId="1B8817E6" w14:textId="77777777" w:rsidR="00E040FD" w:rsidRDefault="00740D64">
            <w:pPr>
              <w:pStyle w:val="P68B1DB1-Normal8"/>
              <w:spacing w:after="0" w:line="240" w:lineRule="auto"/>
              <w:jc w:val="both"/>
              <w:rPr>
                <w:rFonts w:eastAsia="Calibri" w:cs="Calibri"/>
                <w:noProof/>
              </w:rPr>
            </w:pPr>
            <w:r>
              <w:rPr>
                <w:noProof/>
              </w:rPr>
              <w:t xml:space="preserve">i) Dematerialiserade konsulära tjänster som görs tillgängliga för medborgare/utländska medborgare utomlands, och 80 % av de tjänster som tillhandahålls av utrikesministeriet är digitaliserade. </w:t>
            </w:r>
          </w:p>
          <w:p w14:paraId="7C5A19A7" w14:textId="49C1668D" w:rsidR="00E040FD" w:rsidRDefault="00740D64">
            <w:pPr>
              <w:pStyle w:val="P68B1DB1-Normal8"/>
              <w:spacing w:after="0" w:line="240" w:lineRule="auto"/>
              <w:jc w:val="both"/>
              <w:rPr>
                <w:rFonts w:eastAsia="Times New Roman" w:cs="Calibri"/>
                <w:noProof/>
              </w:rPr>
            </w:pPr>
            <w:r>
              <w:rPr>
                <w:noProof/>
              </w:rPr>
              <w:t xml:space="preserve">II) </w:t>
            </w:r>
            <w:r>
              <w:rPr>
                <w:i/>
                <w:noProof/>
              </w:rPr>
              <w:t>Centro de Atendimento konsulär</w:t>
            </w:r>
            <w:r>
              <w:rPr>
                <w:noProof/>
              </w:rPr>
              <w:t xml:space="preserve"> funktion och tillgänglig i minst 15 länder.</w:t>
            </w:r>
          </w:p>
        </w:tc>
      </w:tr>
      <w:tr w:rsidR="00E040FD" w14:paraId="42D2A359" w14:textId="77777777">
        <w:trPr>
          <w:trHeight w:val="290"/>
        </w:trPr>
        <w:tc>
          <w:tcPr>
            <w:tcW w:w="1082" w:type="dxa"/>
            <w:shd w:val="clear" w:color="auto" w:fill="C4EFCE"/>
            <w:vAlign w:val="center"/>
          </w:tcPr>
          <w:p w14:paraId="4C161EC7" w14:textId="4D567DD7" w:rsidR="00E040FD" w:rsidRDefault="00740D64">
            <w:pPr>
              <w:pStyle w:val="P68B1DB1-Normal7"/>
              <w:spacing w:after="0" w:line="240" w:lineRule="auto"/>
              <w:jc w:val="center"/>
              <w:rPr>
                <w:rFonts w:eastAsia="Times New Roman" w:cs="Calibri"/>
                <w:noProof/>
              </w:rPr>
            </w:pPr>
            <w:r>
              <w:rPr>
                <w:noProof/>
              </w:rPr>
              <w:t>19.25</w:t>
            </w:r>
          </w:p>
        </w:tc>
        <w:tc>
          <w:tcPr>
            <w:tcW w:w="1211" w:type="dxa"/>
            <w:shd w:val="clear" w:color="auto" w:fill="C4EFCE"/>
            <w:noWrap/>
            <w:vAlign w:val="center"/>
          </w:tcPr>
          <w:p w14:paraId="07A7A65E" w14:textId="3F4583C4" w:rsidR="00E040FD" w:rsidRDefault="00740D64">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tcPr>
          <w:p w14:paraId="45A6111B" w14:textId="49684DBC"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0EEB120D" w14:textId="7DE3216A" w:rsidR="00E040FD" w:rsidRDefault="00740D64">
            <w:pPr>
              <w:pStyle w:val="P68B1DB1-Normal8"/>
              <w:spacing w:after="0" w:line="240" w:lineRule="auto"/>
              <w:jc w:val="center"/>
              <w:rPr>
                <w:rFonts w:eastAsia="Times New Roman" w:cs="Calibri"/>
                <w:noProof/>
              </w:rPr>
            </w:pPr>
            <w:r>
              <w:rPr>
                <w:noProof/>
              </w:rPr>
              <w:t>Undertecknande av protokoll för inrättande av nya medborgarbutiker och medborgarutrymmen</w:t>
            </w:r>
          </w:p>
        </w:tc>
        <w:tc>
          <w:tcPr>
            <w:tcW w:w="1343" w:type="dxa"/>
            <w:shd w:val="clear" w:color="auto" w:fill="C4EFCE"/>
            <w:noWrap/>
            <w:vAlign w:val="center"/>
          </w:tcPr>
          <w:p w14:paraId="6B203D02" w14:textId="3253C7C6" w:rsidR="00E040FD" w:rsidRDefault="00740D64">
            <w:pPr>
              <w:pStyle w:val="P68B1DB1-Normal8"/>
              <w:spacing w:after="0" w:line="240" w:lineRule="auto"/>
              <w:jc w:val="center"/>
              <w:rPr>
                <w:rFonts w:eastAsia="Times New Roman" w:cs="Calibri"/>
                <w:noProof/>
              </w:rPr>
            </w:pPr>
            <w:r>
              <w:rPr>
                <w:noProof/>
              </w:rPr>
              <w:t>Protokoll undertecknade</w:t>
            </w:r>
          </w:p>
        </w:tc>
        <w:tc>
          <w:tcPr>
            <w:tcW w:w="1134" w:type="dxa"/>
            <w:shd w:val="clear" w:color="auto" w:fill="C4EFCE"/>
            <w:noWrap/>
            <w:vAlign w:val="center"/>
          </w:tcPr>
          <w:p w14:paraId="4ED17015" w14:textId="57284CD9" w:rsidR="00E040FD" w:rsidRDefault="00E040FD">
            <w:pPr>
              <w:spacing w:after="0" w:line="240" w:lineRule="auto"/>
              <w:jc w:val="center"/>
              <w:rPr>
                <w:rFonts w:ascii="Calibri" w:eastAsia="Times New Roman" w:hAnsi="Calibri" w:cs="Calibri"/>
                <w:noProof/>
                <w:sz w:val="16"/>
              </w:rPr>
            </w:pPr>
          </w:p>
        </w:tc>
        <w:tc>
          <w:tcPr>
            <w:tcW w:w="947" w:type="dxa"/>
            <w:shd w:val="clear" w:color="auto" w:fill="C4EFCE"/>
            <w:noWrap/>
            <w:vAlign w:val="center"/>
          </w:tcPr>
          <w:p w14:paraId="53C5C74B" w14:textId="638C6428" w:rsidR="00E040FD" w:rsidRDefault="00E040FD">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657B7723" w14:textId="6009BCC2" w:rsidR="00E040FD" w:rsidRDefault="00E040FD">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4C967353" w14:textId="5DB71238" w:rsidR="00E040FD" w:rsidRDefault="00740D64">
            <w:pPr>
              <w:pStyle w:val="P68B1DB1-Normal8"/>
              <w:spacing w:after="0" w:line="240" w:lineRule="auto"/>
              <w:jc w:val="center"/>
              <w:rPr>
                <w:rFonts w:eastAsia="Times New Roman" w:cs="Calibri"/>
                <w:noProof/>
              </w:rPr>
            </w:pPr>
            <w:r>
              <w:rPr>
                <w:noProof/>
              </w:rPr>
              <w:t>KVARTAL 3</w:t>
            </w:r>
          </w:p>
        </w:tc>
        <w:tc>
          <w:tcPr>
            <w:tcW w:w="682" w:type="dxa"/>
            <w:shd w:val="clear" w:color="auto" w:fill="C4EFCE"/>
            <w:noWrap/>
            <w:vAlign w:val="center"/>
          </w:tcPr>
          <w:p w14:paraId="42D3096C" w14:textId="45ACD52F" w:rsidR="00E040FD" w:rsidRDefault="00740D64">
            <w:pPr>
              <w:pStyle w:val="P68B1DB1-Normal8"/>
              <w:spacing w:after="0" w:line="240" w:lineRule="auto"/>
              <w:jc w:val="center"/>
              <w:rPr>
                <w:rFonts w:eastAsia="Times New Roman" w:cs="Calibri"/>
                <w:noProof/>
              </w:rPr>
            </w:pPr>
            <w:r>
              <w:rPr>
                <w:noProof/>
              </w:rPr>
              <w:t>2024</w:t>
            </w:r>
          </w:p>
        </w:tc>
        <w:tc>
          <w:tcPr>
            <w:tcW w:w="4458" w:type="dxa"/>
            <w:shd w:val="clear" w:color="auto" w:fill="C4EFCE"/>
            <w:vAlign w:val="center"/>
          </w:tcPr>
          <w:p w14:paraId="351D5F02" w14:textId="653F6769" w:rsidR="00E040FD" w:rsidRDefault="00740D64">
            <w:pPr>
              <w:pStyle w:val="P68B1DB1-Normal8"/>
              <w:spacing w:after="0" w:line="240" w:lineRule="auto"/>
              <w:jc w:val="both"/>
              <w:rPr>
                <w:rFonts w:eastAsia="Calibri" w:cs="Calibri"/>
                <w:noProof/>
              </w:rPr>
            </w:pPr>
            <w:r>
              <w:rPr>
                <w:noProof/>
              </w:rPr>
              <w:t>Undertecknande av protokoll för inrättandet av 31 nya medborgarbutiker (</w:t>
            </w:r>
            <w:r>
              <w:rPr>
                <w:i/>
                <w:noProof/>
              </w:rPr>
              <w:t>Lojas de Cidadão</w:t>
            </w:r>
            <w:r>
              <w:rPr>
                <w:noProof/>
              </w:rPr>
              <w:t>) och 400 nya medborgarutrymmen (</w:t>
            </w:r>
            <w:r>
              <w:rPr>
                <w:i/>
                <w:noProof/>
              </w:rPr>
              <w:t>Espaços Cidadão</w:t>
            </w:r>
            <w:r>
              <w:rPr>
                <w:noProof/>
              </w:rPr>
              <w:t>)</w:t>
            </w:r>
          </w:p>
        </w:tc>
      </w:tr>
      <w:tr w:rsidR="00E040FD" w14:paraId="408CD92E" w14:textId="77777777">
        <w:trPr>
          <w:trHeight w:val="290"/>
        </w:trPr>
        <w:tc>
          <w:tcPr>
            <w:tcW w:w="1082" w:type="dxa"/>
            <w:shd w:val="clear" w:color="auto" w:fill="C4EFCE"/>
            <w:vAlign w:val="center"/>
          </w:tcPr>
          <w:p w14:paraId="641766AF" w14:textId="4D443BCF" w:rsidR="00E040FD" w:rsidRDefault="00740D64">
            <w:pPr>
              <w:pStyle w:val="P68B1DB1-Normal7"/>
              <w:spacing w:after="0" w:line="240" w:lineRule="auto"/>
              <w:jc w:val="center"/>
              <w:rPr>
                <w:rFonts w:eastAsia="Times New Roman" w:cs="Calibri"/>
                <w:noProof/>
              </w:rPr>
            </w:pPr>
            <w:r>
              <w:rPr>
                <w:noProof/>
              </w:rPr>
              <w:t>19.26</w:t>
            </w:r>
          </w:p>
        </w:tc>
        <w:tc>
          <w:tcPr>
            <w:tcW w:w="1211" w:type="dxa"/>
            <w:shd w:val="clear" w:color="auto" w:fill="C4EFCE"/>
            <w:noWrap/>
            <w:vAlign w:val="center"/>
          </w:tcPr>
          <w:p w14:paraId="70CB2BFA" w14:textId="4DB762B8" w:rsidR="00E040FD" w:rsidRDefault="00740D64">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tcPr>
          <w:p w14:paraId="3D62FEF2" w14:textId="0F53039D"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tcPr>
          <w:p w14:paraId="19DB5DC3" w14:textId="2D88108E" w:rsidR="00E040FD" w:rsidRDefault="00740D64">
            <w:pPr>
              <w:pStyle w:val="P68B1DB1-Normal8"/>
              <w:spacing w:after="0" w:line="240" w:lineRule="auto"/>
              <w:jc w:val="center"/>
              <w:rPr>
                <w:rFonts w:eastAsia="Times New Roman" w:cs="Calibri"/>
                <w:noProof/>
              </w:rPr>
            </w:pPr>
            <w:r>
              <w:rPr>
                <w:noProof/>
              </w:rPr>
              <w:t xml:space="preserve">Nya medborgarbutiker och medborgarutrymmen i drift. </w:t>
            </w:r>
          </w:p>
        </w:tc>
        <w:tc>
          <w:tcPr>
            <w:tcW w:w="1343" w:type="dxa"/>
            <w:shd w:val="clear" w:color="auto" w:fill="C4EFCE"/>
            <w:noWrap/>
            <w:vAlign w:val="center"/>
          </w:tcPr>
          <w:p w14:paraId="0FA8BF22" w14:textId="77777777" w:rsidR="00E040FD" w:rsidRDefault="00E040FD">
            <w:pPr>
              <w:spacing w:after="0" w:line="240" w:lineRule="auto"/>
              <w:jc w:val="center"/>
              <w:rPr>
                <w:rFonts w:ascii="Calibri" w:eastAsia="Times New Roman" w:hAnsi="Calibri" w:cs="Calibri"/>
                <w:noProof/>
                <w:sz w:val="16"/>
              </w:rPr>
            </w:pPr>
          </w:p>
        </w:tc>
        <w:tc>
          <w:tcPr>
            <w:tcW w:w="1134" w:type="dxa"/>
            <w:shd w:val="clear" w:color="auto" w:fill="C4EFCE"/>
            <w:noWrap/>
            <w:vAlign w:val="center"/>
          </w:tcPr>
          <w:p w14:paraId="57B94528" w14:textId="683E09C2" w:rsidR="00E040FD" w:rsidRDefault="00740D64">
            <w:pPr>
              <w:pStyle w:val="P68B1DB1-Normal8"/>
              <w:spacing w:after="0" w:line="240" w:lineRule="auto"/>
              <w:jc w:val="center"/>
              <w:rPr>
                <w:rFonts w:eastAsia="Times New Roman" w:cs="Calibri"/>
                <w:noProof/>
              </w:rPr>
            </w:pPr>
            <w:r>
              <w:rPr>
                <w:noProof/>
              </w:rPr>
              <w:t>Antal</w:t>
            </w:r>
          </w:p>
        </w:tc>
        <w:tc>
          <w:tcPr>
            <w:tcW w:w="947" w:type="dxa"/>
            <w:shd w:val="clear" w:color="auto" w:fill="C4EFCE"/>
            <w:noWrap/>
            <w:vAlign w:val="center"/>
          </w:tcPr>
          <w:p w14:paraId="799EE625" w14:textId="2F093CB5" w:rsidR="00E040FD" w:rsidRDefault="00740D64">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tcPr>
          <w:p w14:paraId="5FF018BE" w14:textId="106AAE71" w:rsidR="00E040FD" w:rsidRDefault="00740D64">
            <w:pPr>
              <w:pStyle w:val="P68B1DB1-Normal8"/>
              <w:spacing w:after="0" w:line="240" w:lineRule="auto"/>
              <w:jc w:val="center"/>
              <w:rPr>
                <w:rFonts w:eastAsia="Times New Roman" w:cs="Calibri"/>
                <w:noProof/>
              </w:rPr>
            </w:pPr>
            <w:r>
              <w:rPr>
                <w:noProof/>
              </w:rPr>
              <w:t>431</w:t>
            </w:r>
          </w:p>
        </w:tc>
        <w:tc>
          <w:tcPr>
            <w:tcW w:w="550" w:type="dxa"/>
            <w:shd w:val="clear" w:color="auto" w:fill="C4EFCE"/>
            <w:noWrap/>
            <w:vAlign w:val="center"/>
          </w:tcPr>
          <w:p w14:paraId="18F2223E" w14:textId="67B2F1DA" w:rsidR="00E040FD" w:rsidRDefault="00740D64">
            <w:pPr>
              <w:pStyle w:val="P68B1DB1-Normal8"/>
              <w:spacing w:after="0" w:line="240" w:lineRule="auto"/>
              <w:jc w:val="center"/>
              <w:rPr>
                <w:rFonts w:eastAsia="Times New Roman" w:cs="Calibri"/>
                <w:noProof/>
              </w:rPr>
            </w:pPr>
            <w:r>
              <w:rPr>
                <w:noProof/>
              </w:rPr>
              <w:t>KVARTAL 2</w:t>
            </w:r>
          </w:p>
        </w:tc>
        <w:tc>
          <w:tcPr>
            <w:tcW w:w="682" w:type="dxa"/>
            <w:shd w:val="clear" w:color="auto" w:fill="C4EFCE"/>
            <w:noWrap/>
            <w:vAlign w:val="center"/>
          </w:tcPr>
          <w:p w14:paraId="1C18699C" w14:textId="56F51900" w:rsidR="00E040FD" w:rsidRDefault="00740D64">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tcPr>
          <w:p w14:paraId="6849E419" w14:textId="44B1A1B2" w:rsidR="00E040FD" w:rsidRDefault="00740D64">
            <w:pPr>
              <w:pStyle w:val="P68B1DB1-Normal8"/>
              <w:spacing w:line="240" w:lineRule="auto"/>
              <w:rPr>
                <w:rFonts w:eastAsia="Times New Roman" w:cs="Calibri"/>
                <w:noProof/>
              </w:rPr>
            </w:pPr>
            <w:r>
              <w:rPr>
                <w:noProof/>
              </w:rPr>
              <w:t>31 nya medborgarbutiker (</w:t>
            </w:r>
            <w:r>
              <w:rPr>
                <w:i/>
                <w:noProof/>
              </w:rPr>
              <w:t>Lojas de Cidadão</w:t>
            </w:r>
            <w:r>
              <w:rPr>
                <w:noProof/>
              </w:rPr>
              <w:t>) och 400 nya medborgarutrymmen (</w:t>
            </w:r>
            <w:r>
              <w:rPr>
                <w:i/>
                <w:noProof/>
              </w:rPr>
              <w:t>Espaços Cidadão</w:t>
            </w:r>
            <w:r>
              <w:rPr>
                <w:noProof/>
              </w:rPr>
              <w:t xml:space="preserve">) i drift.  </w:t>
            </w:r>
          </w:p>
          <w:p w14:paraId="6F984B47" w14:textId="3B47A9D3" w:rsidR="00E040FD" w:rsidRDefault="00740D64">
            <w:pPr>
              <w:pStyle w:val="P68B1DB1-Normal8"/>
              <w:spacing w:line="240" w:lineRule="auto"/>
              <w:rPr>
                <w:rFonts w:eastAsia="Times New Roman" w:cs="Calibri"/>
                <w:noProof/>
              </w:rPr>
            </w:pPr>
            <w:r>
              <w:rPr>
                <w:noProof/>
              </w:rPr>
              <w:t>Nya byggnader ska ha ett primärenergibehov som är minst 20 % lägre än NNE-standarden.</w:t>
            </w:r>
          </w:p>
        </w:tc>
      </w:tr>
      <w:tr w:rsidR="00E040FD" w14:paraId="20304CE4" w14:textId="77777777">
        <w:trPr>
          <w:trHeight w:val="290"/>
        </w:trPr>
        <w:tc>
          <w:tcPr>
            <w:tcW w:w="1082" w:type="dxa"/>
            <w:shd w:val="clear" w:color="auto" w:fill="C4EFCE"/>
            <w:vAlign w:val="center"/>
          </w:tcPr>
          <w:p w14:paraId="3F6EF73B" w14:textId="54A6CD7F" w:rsidR="00E040FD" w:rsidRDefault="00740D64">
            <w:pPr>
              <w:pStyle w:val="P68B1DB1-Normal7"/>
              <w:spacing w:after="0" w:line="240" w:lineRule="auto"/>
              <w:jc w:val="center"/>
              <w:rPr>
                <w:rFonts w:eastAsia="Times New Roman" w:cs="Calibri"/>
                <w:noProof/>
              </w:rPr>
            </w:pPr>
            <w:r>
              <w:rPr>
                <w:noProof/>
              </w:rPr>
              <w:t>19.27</w:t>
            </w:r>
          </w:p>
        </w:tc>
        <w:tc>
          <w:tcPr>
            <w:tcW w:w="1211" w:type="dxa"/>
            <w:shd w:val="clear" w:color="auto" w:fill="C4EFCE"/>
            <w:noWrap/>
            <w:vAlign w:val="center"/>
          </w:tcPr>
          <w:p w14:paraId="1F0F77AA" w14:textId="41ECE9F0" w:rsidR="00E040FD" w:rsidRDefault="00740D64">
            <w:pPr>
              <w:pStyle w:val="P68B1DB1-Normal8"/>
              <w:spacing w:after="0" w:line="240" w:lineRule="auto"/>
              <w:jc w:val="center"/>
              <w:rPr>
                <w:rFonts w:eastAsia="Times New Roman" w:cs="Calibri"/>
                <w:noProof/>
              </w:rPr>
            </w:pPr>
            <w:r>
              <w:rPr>
                <w:noProof/>
              </w:rPr>
              <w:t>TD-C19-i01</w:t>
            </w:r>
          </w:p>
        </w:tc>
        <w:tc>
          <w:tcPr>
            <w:tcW w:w="1080" w:type="dxa"/>
            <w:shd w:val="clear" w:color="auto" w:fill="C4EFCE"/>
            <w:noWrap/>
            <w:vAlign w:val="center"/>
          </w:tcPr>
          <w:p w14:paraId="2F6E7772" w14:textId="38D77F2B"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tcPr>
          <w:p w14:paraId="3BE91D37" w14:textId="3B8C1000" w:rsidR="00E040FD" w:rsidRDefault="00740D64">
            <w:pPr>
              <w:pStyle w:val="P68B1DB1-Normal8"/>
              <w:spacing w:after="0" w:line="240" w:lineRule="auto"/>
              <w:jc w:val="center"/>
              <w:rPr>
                <w:rFonts w:ascii="Arial" w:eastAsia="Arial" w:hAnsi="Arial" w:cs="Arial"/>
                <w:noProof/>
                <w:sz w:val="15"/>
              </w:rPr>
            </w:pPr>
            <w:r>
              <w:rPr>
                <w:noProof/>
              </w:rPr>
              <w:t>Medborgaransökan</w:t>
            </w:r>
          </w:p>
        </w:tc>
        <w:tc>
          <w:tcPr>
            <w:tcW w:w="1343" w:type="dxa"/>
            <w:shd w:val="clear" w:color="auto" w:fill="C4EFCE"/>
            <w:noWrap/>
            <w:vAlign w:val="center"/>
          </w:tcPr>
          <w:p w14:paraId="7912A7C9" w14:textId="336432D3" w:rsidR="00E040FD" w:rsidRDefault="00740D64">
            <w:pPr>
              <w:pStyle w:val="P68B1DB1-Normal8"/>
              <w:spacing w:after="0" w:line="240" w:lineRule="auto"/>
              <w:jc w:val="center"/>
              <w:rPr>
                <w:rFonts w:eastAsia="Times New Roman" w:cs="Calibri"/>
                <w:noProof/>
              </w:rPr>
            </w:pPr>
            <w:r>
              <w:rPr>
                <w:noProof/>
              </w:rPr>
              <w:t>Lansering av en medborgarapplikation</w:t>
            </w:r>
          </w:p>
        </w:tc>
        <w:tc>
          <w:tcPr>
            <w:tcW w:w="1134" w:type="dxa"/>
            <w:shd w:val="clear" w:color="auto" w:fill="C4EFCE"/>
            <w:noWrap/>
            <w:vAlign w:val="center"/>
          </w:tcPr>
          <w:p w14:paraId="5BBBBDEF" w14:textId="77777777" w:rsidR="00E040FD" w:rsidRDefault="00E040FD">
            <w:pPr>
              <w:spacing w:after="0" w:line="240" w:lineRule="auto"/>
              <w:jc w:val="center"/>
              <w:rPr>
                <w:rFonts w:ascii="Calibri" w:eastAsia="Times New Roman" w:hAnsi="Calibri" w:cs="Calibri"/>
                <w:noProof/>
                <w:sz w:val="16"/>
              </w:rPr>
            </w:pPr>
          </w:p>
        </w:tc>
        <w:tc>
          <w:tcPr>
            <w:tcW w:w="947" w:type="dxa"/>
            <w:shd w:val="clear" w:color="auto" w:fill="C4EFCE"/>
            <w:noWrap/>
            <w:vAlign w:val="center"/>
          </w:tcPr>
          <w:p w14:paraId="4C7253AA" w14:textId="77777777" w:rsidR="00E040FD" w:rsidRDefault="00E040FD">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5900726E" w14:textId="77777777" w:rsidR="00E040FD" w:rsidRDefault="00E040FD">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0132BF5B" w14:textId="226BA8E4" w:rsidR="00E040FD" w:rsidRDefault="00740D64">
            <w:pPr>
              <w:pStyle w:val="P68B1DB1-Normal8"/>
              <w:spacing w:after="0" w:line="240" w:lineRule="auto"/>
              <w:jc w:val="center"/>
              <w:rPr>
                <w:rFonts w:eastAsia="Times New Roman" w:cs="Calibri"/>
                <w:noProof/>
              </w:rPr>
            </w:pPr>
            <w:r>
              <w:rPr>
                <w:noProof/>
              </w:rPr>
              <w:t>KVARTAL 1</w:t>
            </w:r>
          </w:p>
        </w:tc>
        <w:tc>
          <w:tcPr>
            <w:tcW w:w="682" w:type="dxa"/>
            <w:shd w:val="clear" w:color="auto" w:fill="C4EFCE"/>
            <w:noWrap/>
            <w:vAlign w:val="center"/>
          </w:tcPr>
          <w:p w14:paraId="12E3ADEC" w14:textId="0B99F5D6" w:rsidR="00E040FD" w:rsidRDefault="00740D64">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tcPr>
          <w:p w14:paraId="4394027D" w14:textId="6D95096C" w:rsidR="00E040FD" w:rsidRDefault="00740D64">
            <w:pPr>
              <w:pStyle w:val="P68B1DB1-Normal8"/>
              <w:spacing w:after="0" w:line="240" w:lineRule="auto"/>
              <w:rPr>
                <w:rFonts w:eastAsia="Times New Roman" w:cs="Calibri"/>
                <w:noProof/>
              </w:rPr>
            </w:pPr>
            <w:r>
              <w:rPr>
                <w:noProof/>
              </w:rPr>
              <w:t>Medborgarapplikationen har lanserats och tagits i bruk. Applikationen ska göra det möjligt för användarna att digitalt få tillgång till de mest populära offentliga tjänsterna och andra funktioner (t.ex. betalning för tjänster).</w:t>
            </w:r>
          </w:p>
        </w:tc>
      </w:tr>
      <w:tr w:rsidR="00E040FD" w14:paraId="4C5FE56E" w14:textId="77777777">
        <w:trPr>
          <w:trHeight w:val="1460"/>
        </w:trPr>
        <w:tc>
          <w:tcPr>
            <w:tcW w:w="1082" w:type="dxa"/>
            <w:shd w:val="clear" w:color="auto" w:fill="C4EFCE"/>
            <w:vAlign w:val="center"/>
            <w:hideMark/>
          </w:tcPr>
          <w:p w14:paraId="056AA2D9" w14:textId="77777777" w:rsidR="00E040FD" w:rsidRDefault="00740D64">
            <w:pPr>
              <w:pStyle w:val="P68B1DB1-Normal7"/>
              <w:spacing w:after="0" w:line="240" w:lineRule="auto"/>
              <w:jc w:val="center"/>
              <w:rPr>
                <w:rFonts w:eastAsia="Times New Roman" w:cs="Calibri"/>
                <w:noProof/>
              </w:rPr>
            </w:pPr>
            <w:r>
              <w:rPr>
                <w:noProof/>
              </w:rPr>
              <w:t>19.4</w:t>
            </w:r>
          </w:p>
        </w:tc>
        <w:tc>
          <w:tcPr>
            <w:tcW w:w="1211" w:type="dxa"/>
            <w:shd w:val="clear" w:color="auto" w:fill="C4EFCE"/>
            <w:noWrap/>
            <w:vAlign w:val="center"/>
            <w:hideMark/>
          </w:tcPr>
          <w:p w14:paraId="66F6086A" w14:textId="77777777" w:rsidR="00E040FD" w:rsidRDefault="00740D64">
            <w:pPr>
              <w:pStyle w:val="P68B1DB1-Normal8"/>
              <w:spacing w:after="0" w:line="240" w:lineRule="auto"/>
              <w:jc w:val="center"/>
              <w:rPr>
                <w:rFonts w:eastAsia="Times New Roman" w:cs="Calibri"/>
                <w:noProof/>
              </w:rPr>
            </w:pPr>
            <w:r>
              <w:rPr>
                <w:noProof/>
              </w:rPr>
              <w:t>TD-C19-i02</w:t>
            </w:r>
          </w:p>
        </w:tc>
        <w:tc>
          <w:tcPr>
            <w:tcW w:w="1080" w:type="dxa"/>
            <w:shd w:val="clear" w:color="auto" w:fill="C4EFCE"/>
            <w:noWrap/>
            <w:vAlign w:val="center"/>
            <w:hideMark/>
          </w:tcPr>
          <w:p w14:paraId="07ADC372" w14:textId="77777777"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302FA656" w14:textId="77777777" w:rsidR="00E040FD" w:rsidRDefault="00740D64">
            <w:pPr>
              <w:pStyle w:val="P68B1DB1-Normal8"/>
              <w:spacing w:after="0" w:line="240" w:lineRule="auto"/>
              <w:jc w:val="center"/>
              <w:rPr>
                <w:rFonts w:eastAsia="Times New Roman" w:cs="Calibri"/>
                <w:noProof/>
              </w:rPr>
            </w:pPr>
            <w:r>
              <w:rPr>
                <w:noProof/>
              </w:rPr>
              <w:t>Offentliga tjänster som är tillgängliga på ett säkert sätt med hjälp av elektronisk identitet och med respekt för engångsprincipen</w:t>
            </w:r>
          </w:p>
        </w:tc>
        <w:tc>
          <w:tcPr>
            <w:tcW w:w="1343" w:type="dxa"/>
            <w:shd w:val="clear" w:color="auto" w:fill="C4EFCE"/>
            <w:noWrap/>
            <w:vAlign w:val="center"/>
            <w:hideMark/>
          </w:tcPr>
          <w:p w14:paraId="2F0CF461" w14:textId="77777777" w:rsidR="00E040FD" w:rsidRDefault="00740D64">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1F07FD7D" w14:textId="77777777" w:rsidR="00E040FD" w:rsidRDefault="00740D64">
            <w:pPr>
              <w:pStyle w:val="P68B1DB1-Normal8"/>
              <w:spacing w:after="0" w:line="240" w:lineRule="auto"/>
              <w:jc w:val="center"/>
              <w:rPr>
                <w:rFonts w:eastAsia="Times New Roman" w:cs="Calibri"/>
                <w:noProof/>
              </w:rPr>
            </w:pPr>
            <w:r>
              <w:rPr>
                <w:noProof/>
              </w:rPr>
              <w:t>Antal</w:t>
            </w:r>
          </w:p>
        </w:tc>
        <w:tc>
          <w:tcPr>
            <w:tcW w:w="947" w:type="dxa"/>
            <w:shd w:val="clear" w:color="auto" w:fill="C4EFCE"/>
            <w:noWrap/>
            <w:vAlign w:val="center"/>
            <w:hideMark/>
          </w:tcPr>
          <w:p w14:paraId="10946C7F" w14:textId="77777777" w:rsidR="00E040FD" w:rsidRDefault="00740D64">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2912ED93" w14:textId="77777777" w:rsidR="00E040FD" w:rsidRDefault="00740D64">
            <w:pPr>
              <w:pStyle w:val="P68B1DB1-Normal8"/>
              <w:spacing w:after="0" w:line="240" w:lineRule="auto"/>
              <w:jc w:val="center"/>
              <w:rPr>
                <w:rFonts w:eastAsia="Times New Roman" w:cs="Calibri"/>
                <w:noProof/>
              </w:rPr>
            </w:pPr>
            <w:r>
              <w:rPr>
                <w:noProof/>
              </w:rPr>
              <w:t>5</w:t>
            </w:r>
          </w:p>
        </w:tc>
        <w:tc>
          <w:tcPr>
            <w:tcW w:w="550" w:type="dxa"/>
            <w:shd w:val="clear" w:color="auto" w:fill="C4EFCE"/>
            <w:noWrap/>
            <w:vAlign w:val="center"/>
            <w:hideMark/>
          </w:tcPr>
          <w:p w14:paraId="5630E509" w14:textId="77777777" w:rsidR="00E040FD" w:rsidRDefault="00740D64">
            <w:pPr>
              <w:pStyle w:val="P68B1DB1-Normal8"/>
              <w:spacing w:after="0" w:line="240" w:lineRule="auto"/>
              <w:jc w:val="center"/>
              <w:rPr>
                <w:rFonts w:eastAsia="Times New Roman" w:cs="Calibri"/>
                <w:noProof/>
              </w:rPr>
            </w:pPr>
            <w:r>
              <w:rPr>
                <w:noProof/>
              </w:rPr>
              <w:t>KVARTAL 3</w:t>
            </w:r>
          </w:p>
        </w:tc>
        <w:tc>
          <w:tcPr>
            <w:tcW w:w="682" w:type="dxa"/>
            <w:shd w:val="clear" w:color="auto" w:fill="C4EFCE"/>
            <w:noWrap/>
            <w:vAlign w:val="center"/>
            <w:hideMark/>
          </w:tcPr>
          <w:p w14:paraId="2CCF72CC" w14:textId="77777777" w:rsidR="00E040FD" w:rsidRDefault="00740D64">
            <w:pPr>
              <w:pStyle w:val="P68B1DB1-Normal8"/>
              <w:spacing w:after="0" w:line="240" w:lineRule="auto"/>
              <w:jc w:val="center"/>
              <w:rPr>
                <w:rFonts w:eastAsia="Times New Roman" w:cs="Calibri"/>
                <w:noProof/>
              </w:rPr>
            </w:pPr>
            <w:r>
              <w:rPr>
                <w:noProof/>
              </w:rPr>
              <w:t>2022</w:t>
            </w:r>
          </w:p>
        </w:tc>
        <w:tc>
          <w:tcPr>
            <w:tcW w:w="4458" w:type="dxa"/>
            <w:shd w:val="clear" w:color="auto" w:fill="C4EFCE"/>
            <w:vAlign w:val="center"/>
            <w:hideMark/>
          </w:tcPr>
          <w:p w14:paraId="2D73BE7F" w14:textId="77777777" w:rsidR="00E040FD" w:rsidRDefault="00FE5799">
            <w:pPr>
              <w:pStyle w:val="P68B1DB1-Normal8"/>
              <w:spacing w:after="0" w:line="240" w:lineRule="auto"/>
              <w:jc w:val="both"/>
              <w:rPr>
                <w:rFonts w:eastAsia="Times New Roman" w:cs="Calibri"/>
                <w:noProof/>
              </w:rPr>
            </w:pPr>
            <w:hyperlink r:id="rId348" w:history="1">
              <w:r w:rsidR="00740D64">
                <w:rPr>
                  <w:noProof/>
                </w:rPr>
                <w:t>Antal digitala offentliga tjänster som är tillgängliga för medborgare och företag som återanvänder data i iAP-katalogen (finns på iap.gov.pt), som omfattas av elektronisk identitet (på begäran av tjänsterna) och av systemet för kontroll av personuppgifter inom den offentliga förvaltningen, och offentliggörande av öppna data på www.dados.gov.pt.</w:t>
              </w:r>
            </w:hyperlink>
          </w:p>
        </w:tc>
      </w:tr>
      <w:tr w:rsidR="00E040FD" w14:paraId="68FF8B70" w14:textId="77777777">
        <w:trPr>
          <w:trHeight w:val="1460"/>
        </w:trPr>
        <w:tc>
          <w:tcPr>
            <w:tcW w:w="1082" w:type="dxa"/>
            <w:shd w:val="clear" w:color="auto" w:fill="C4EFCE"/>
            <w:vAlign w:val="center"/>
            <w:hideMark/>
          </w:tcPr>
          <w:p w14:paraId="15F177E4" w14:textId="77777777" w:rsidR="00E040FD" w:rsidRDefault="00740D64">
            <w:pPr>
              <w:pStyle w:val="P68B1DB1-Normal7"/>
              <w:spacing w:after="0" w:line="240" w:lineRule="auto"/>
              <w:jc w:val="center"/>
              <w:rPr>
                <w:rFonts w:eastAsia="Times New Roman" w:cs="Calibri"/>
                <w:noProof/>
              </w:rPr>
            </w:pPr>
            <w:r>
              <w:rPr>
                <w:noProof/>
              </w:rPr>
              <w:t>19.5</w:t>
            </w:r>
          </w:p>
        </w:tc>
        <w:tc>
          <w:tcPr>
            <w:tcW w:w="1211" w:type="dxa"/>
            <w:shd w:val="clear" w:color="auto" w:fill="C4EFCE"/>
            <w:noWrap/>
            <w:vAlign w:val="center"/>
            <w:hideMark/>
          </w:tcPr>
          <w:p w14:paraId="6B9131E1" w14:textId="77777777" w:rsidR="00E040FD" w:rsidRDefault="00740D64">
            <w:pPr>
              <w:pStyle w:val="P68B1DB1-Normal8"/>
              <w:spacing w:after="0" w:line="240" w:lineRule="auto"/>
              <w:jc w:val="center"/>
              <w:rPr>
                <w:rFonts w:eastAsia="Times New Roman" w:cs="Calibri"/>
                <w:noProof/>
              </w:rPr>
            </w:pPr>
            <w:r>
              <w:rPr>
                <w:noProof/>
              </w:rPr>
              <w:t>TD-C19-i02</w:t>
            </w:r>
          </w:p>
        </w:tc>
        <w:tc>
          <w:tcPr>
            <w:tcW w:w="1080" w:type="dxa"/>
            <w:shd w:val="clear" w:color="auto" w:fill="C4EFCE"/>
            <w:noWrap/>
            <w:vAlign w:val="center"/>
            <w:hideMark/>
          </w:tcPr>
          <w:p w14:paraId="3C336C97" w14:textId="77777777"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1BD9AD68" w14:textId="77777777" w:rsidR="00E040FD" w:rsidRDefault="00740D64">
            <w:pPr>
              <w:pStyle w:val="P68B1DB1-Normal8"/>
              <w:spacing w:after="0" w:line="240" w:lineRule="auto"/>
              <w:jc w:val="center"/>
              <w:rPr>
                <w:rFonts w:eastAsia="Times New Roman" w:cs="Calibri"/>
                <w:noProof/>
              </w:rPr>
            </w:pPr>
            <w:r>
              <w:rPr>
                <w:noProof/>
              </w:rPr>
              <w:t>Offentliga tjänster som är tillgängliga på ett säkert sätt med hjälp av elektronisk identitet och med respekt för engångsprincipen</w:t>
            </w:r>
          </w:p>
        </w:tc>
        <w:tc>
          <w:tcPr>
            <w:tcW w:w="1343" w:type="dxa"/>
            <w:shd w:val="clear" w:color="auto" w:fill="C4EFCE"/>
            <w:noWrap/>
            <w:vAlign w:val="center"/>
            <w:hideMark/>
          </w:tcPr>
          <w:p w14:paraId="08DE2C60" w14:textId="77777777" w:rsidR="00E040FD" w:rsidRDefault="00740D64">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4E591E30" w14:textId="77777777" w:rsidR="00E040FD" w:rsidRDefault="00740D64">
            <w:pPr>
              <w:pStyle w:val="P68B1DB1-Normal8"/>
              <w:spacing w:after="0" w:line="240" w:lineRule="auto"/>
              <w:jc w:val="center"/>
              <w:rPr>
                <w:rFonts w:eastAsia="Times New Roman" w:cs="Calibri"/>
                <w:noProof/>
              </w:rPr>
            </w:pPr>
            <w:r>
              <w:rPr>
                <w:noProof/>
              </w:rPr>
              <w:t>Antal</w:t>
            </w:r>
          </w:p>
        </w:tc>
        <w:tc>
          <w:tcPr>
            <w:tcW w:w="947" w:type="dxa"/>
            <w:shd w:val="clear" w:color="auto" w:fill="C4EFCE"/>
            <w:noWrap/>
            <w:vAlign w:val="center"/>
            <w:hideMark/>
          </w:tcPr>
          <w:p w14:paraId="4BE803EF" w14:textId="77777777" w:rsidR="00E040FD" w:rsidRDefault="00740D64">
            <w:pPr>
              <w:pStyle w:val="P68B1DB1-Normal8"/>
              <w:spacing w:after="0" w:line="240" w:lineRule="auto"/>
              <w:jc w:val="center"/>
              <w:rPr>
                <w:rFonts w:eastAsia="Times New Roman" w:cs="Calibri"/>
                <w:noProof/>
              </w:rPr>
            </w:pPr>
            <w:r>
              <w:rPr>
                <w:noProof/>
              </w:rPr>
              <w:t>5</w:t>
            </w:r>
          </w:p>
        </w:tc>
        <w:tc>
          <w:tcPr>
            <w:tcW w:w="682" w:type="dxa"/>
            <w:shd w:val="clear" w:color="auto" w:fill="C4EFCE"/>
            <w:noWrap/>
            <w:vAlign w:val="center"/>
            <w:hideMark/>
          </w:tcPr>
          <w:p w14:paraId="1EEBC244" w14:textId="77777777" w:rsidR="00E040FD" w:rsidRDefault="00740D64">
            <w:pPr>
              <w:pStyle w:val="P68B1DB1-Normal8"/>
              <w:spacing w:after="0" w:line="240" w:lineRule="auto"/>
              <w:jc w:val="center"/>
              <w:rPr>
                <w:rFonts w:eastAsia="Times New Roman" w:cs="Calibri"/>
                <w:noProof/>
              </w:rPr>
            </w:pPr>
            <w:r>
              <w:rPr>
                <w:noProof/>
              </w:rPr>
              <w:t>25</w:t>
            </w:r>
          </w:p>
        </w:tc>
        <w:tc>
          <w:tcPr>
            <w:tcW w:w="550" w:type="dxa"/>
            <w:shd w:val="clear" w:color="auto" w:fill="C4EFCE"/>
            <w:noWrap/>
            <w:vAlign w:val="center"/>
            <w:hideMark/>
          </w:tcPr>
          <w:p w14:paraId="55886765" w14:textId="77777777" w:rsidR="00E040FD" w:rsidRDefault="00740D64">
            <w:pPr>
              <w:pStyle w:val="P68B1DB1-Normal8"/>
              <w:spacing w:after="0" w:line="240" w:lineRule="auto"/>
              <w:jc w:val="center"/>
              <w:rPr>
                <w:rFonts w:eastAsia="Times New Roman" w:cs="Calibri"/>
                <w:noProof/>
              </w:rPr>
            </w:pPr>
            <w:r>
              <w:rPr>
                <w:noProof/>
              </w:rPr>
              <w:t>KVARTAL 1</w:t>
            </w:r>
          </w:p>
        </w:tc>
        <w:tc>
          <w:tcPr>
            <w:tcW w:w="682" w:type="dxa"/>
            <w:shd w:val="clear" w:color="auto" w:fill="C4EFCE"/>
            <w:noWrap/>
            <w:vAlign w:val="center"/>
            <w:hideMark/>
          </w:tcPr>
          <w:p w14:paraId="6CF36C79" w14:textId="77777777" w:rsidR="00E040FD" w:rsidRDefault="00740D64">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5195558B" w14:textId="77777777" w:rsidR="00E040FD" w:rsidRDefault="00FE5799">
            <w:pPr>
              <w:pStyle w:val="P68B1DB1-Normal8"/>
              <w:spacing w:after="0" w:line="240" w:lineRule="auto"/>
              <w:jc w:val="both"/>
              <w:rPr>
                <w:rFonts w:eastAsia="Times New Roman" w:cs="Calibri"/>
                <w:noProof/>
                <w:u w:val="single"/>
              </w:rPr>
            </w:pPr>
            <w:hyperlink r:id="rId349" w:history="1">
              <w:r w:rsidR="00740D64">
                <w:rPr>
                  <w:noProof/>
                </w:rPr>
                <w:t>Antal digitala offentliga tjänster som är tillgängliga för medborgare och företag som återanvänder data i iAP-katalogen (finns på iap.gov.pt, som omfattas av elektronisk identitet (på begäran av tjänsterna) och av systemet för kontroll av personuppgifter inom den offentliga förvaltningen, och offentliggörande av öppna data på www.dados.gov.pt.</w:t>
              </w:r>
            </w:hyperlink>
          </w:p>
        </w:tc>
      </w:tr>
      <w:tr w:rsidR="00E040FD" w14:paraId="05EB17B2" w14:textId="77777777">
        <w:trPr>
          <w:trHeight w:val="2864"/>
        </w:trPr>
        <w:tc>
          <w:tcPr>
            <w:tcW w:w="1082" w:type="dxa"/>
            <w:shd w:val="clear" w:color="auto" w:fill="C4EFCE"/>
            <w:vAlign w:val="center"/>
            <w:hideMark/>
          </w:tcPr>
          <w:p w14:paraId="2E952EA4" w14:textId="77777777" w:rsidR="00E040FD" w:rsidRDefault="00740D64">
            <w:pPr>
              <w:pStyle w:val="P68B1DB1-Normal7"/>
              <w:spacing w:after="0" w:line="240" w:lineRule="auto"/>
              <w:jc w:val="center"/>
              <w:rPr>
                <w:rFonts w:eastAsia="Times New Roman" w:cs="Calibri"/>
                <w:noProof/>
              </w:rPr>
            </w:pPr>
            <w:r>
              <w:rPr>
                <w:noProof/>
              </w:rPr>
              <w:t>19.6</w:t>
            </w:r>
          </w:p>
        </w:tc>
        <w:tc>
          <w:tcPr>
            <w:tcW w:w="1211" w:type="dxa"/>
            <w:shd w:val="clear" w:color="auto" w:fill="C4EFCE"/>
            <w:noWrap/>
            <w:vAlign w:val="center"/>
            <w:hideMark/>
          </w:tcPr>
          <w:p w14:paraId="2C2B1316" w14:textId="77777777" w:rsidR="00E040FD" w:rsidRDefault="00740D64">
            <w:pPr>
              <w:pStyle w:val="P68B1DB1-Normal8"/>
              <w:spacing w:after="0" w:line="240" w:lineRule="auto"/>
              <w:jc w:val="center"/>
              <w:rPr>
                <w:rFonts w:eastAsia="Times New Roman" w:cs="Calibri"/>
                <w:noProof/>
              </w:rPr>
            </w:pPr>
            <w:r>
              <w:rPr>
                <w:noProof/>
              </w:rPr>
              <w:t>TD-C19-i02</w:t>
            </w:r>
          </w:p>
        </w:tc>
        <w:tc>
          <w:tcPr>
            <w:tcW w:w="1080" w:type="dxa"/>
            <w:shd w:val="clear" w:color="auto" w:fill="C4EFCE"/>
            <w:noWrap/>
            <w:vAlign w:val="center"/>
            <w:hideMark/>
          </w:tcPr>
          <w:p w14:paraId="0B87EDBD" w14:textId="77777777"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78B82EB8" w14:textId="77777777" w:rsidR="00E040FD" w:rsidRDefault="00740D64">
            <w:pPr>
              <w:pStyle w:val="P68B1DB1-Normal8"/>
              <w:spacing w:after="0" w:line="240" w:lineRule="auto"/>
              <w:jc w:val="center"/>
              <w:rPr>
                <w:rFonts w:eastAsia="Times New Roman" w:cs="Calibri"/>
                <w:noProof/>
              </w:rPr>
            </w:pPr>
            <w:r>
              <w:rPr>
                <w:noProof/>
              </w:rPr>
              <w:t>Territoriell informationsinfrastruktur</w:t>
            </w:r>
          </w:p>
        </w:tc>
        <w:tc>
          <w:tcPr>
            <w:tcW w:w="1343" w:type="dxa"/>
            <w:shd w:val="clear" w:color="auto" w:fill="C4EFCE"/>
            <w:noWrap/>
            <w:vAlign w:val="center"/>
            <w:hideMark/>
          </w:tcPr>
          <w:p w14:paraId="4CE5387D" w14:textId="77777777" w:rsidR="00E040FD" w:rsidRDefault="00740D64">
            <w:pPr>
              <w:pStyle w:val="P68B1DB1-Normal8"/>
              <w:spacing w:after="0" w:line="240" w:lineRule="auto"/>
              <w:rPr>
                <w:rFonts w:eastAsia="Times New Roman" w:cs="Calibri"/>
                <w:noProof/>
              </w:rPr>
            </w:pPr>
            <w:r>
              <w:rPr>
                <w:noProof/>
              </w:rPr>
              <w:t> </w:t>
            </w:r>
          </w:p>
        </w:tc>
        <w:tc>
          <w:tcPr>
            <w:tcW w:w="1134" w:type="dxa"/>
            <w:shd w:val="clear" w:color="auto" w:fill="C4EFCE"/>
            <w:noWrap/>
            <w:vAlign w:val="center"/>
            <w:hideMark/>
          </w:tcPr>
          <w:p w14:paraId="10B4DFC4" w14:textId="77777777" w:rsidR="00E040FD" w:rsidRDefault="00740D64">
            <w:pPr>
              <w:pStyle w:val="P68B1DB1-Normal8"/>
              <w:spacing w:after="0" w:line="240" w:lineRule="auto"/>
              <w:jc w:val="center"/>
              <w:rPr>
                <w:rFonts w:eastAsia="Times New Roman" w:cs="Calibri"/>
                <w:noProof/>
              </w:rPr>
            </w:pPr>
            <w:r>
              <w:rPr>
                <w:noProof/>
              </w:rPr>
              <w:t> Antal</w:t>
            </w:r>
          </w:p>
        </w:tc>
        <w:tc>
          <w:tcPr>
            <w:tcW w:w="947" w:type="dxa"/>
            <w:shd w:val="clear" w:color="auto" w:fill="C4EFCE"/>
            <w:noWrap/>
            <w:vAlign w:val="center"/>
            <w:hideMark/>
          </w:tcPr>
          <w:p w14:paraId="05F91934" w14:textId="77777777" w:rsidR="00E040FD" w:rsidRDefault="00740D64">
            <w:pPr>
              <w:pStyle w:val="P68B1DB1-Normal8"/>
              <w:spacing w:after="0" w:line="240" w:lineRule="auto"/>
              <w:jc w:val="center"/>
              <w:rPr>
                <w:rFonts w:eastAsia="Times New Roman" w:cs="Calibri"/>
                <w:noProof/>
              </w:rPr>
            </w:pPr>
            <w:r>
              <w:rPr>
                <w:noProof/>
              </w:rPr>
              <w:t> 0</w:t>
            </w:r>
          </w:p>
        </w:tc>
        <w:tc>
          <w:tcPr>
            <w:tcW w:w="682" w:type="dxa"/>
            <w:shd w:val="clear" w:color="auto" w:fill="C4EFCE"/>
            <w:noWrap/>
            <w:vAlign w:val="center"/>
            <w:hideMark/>
          </w:tcPr>
          <w:p w14:paraId="40489FCE" w14:textId="77777777" w:rsidR="00E040FD" w:rsidRDefault="00740D64">
            <w:pPr>
              <w:pStyle w:val="P68B1DB1-Normal8"/>
              <w:spacing w:after="0" w:line="240" w:lineRule="auto"/>
              <w:jc w:val="center"/>
              <w:rPr>
                <w:rFonts w:eastAsia="Times New Roman" w:cs="Calibri"/>
                <w:noProof/>
              </w:rPr>
            </w:pPr>
            <w:r>
              <w:rPr>
                <w:noProof/>
              </w:rPr>
              <w:t> 150</w:t>
            </w:r>
          </w:p>
        </w:tc>
        <w:tc>
          <w:tcPr>
            <w:tcW w:w="550" w:type="dxa"/>
            <w:shd w:val="clear" w:color="auto" w:fill="C4EFCE"/>
            <w:noWrap/>
            <w:vAlign w:val="center"/>
            <w:hideMark/>
          </w:tcPr>
          <w:p w14:paraId="3D27795A" w14:textId="77777777" w:rsidR="00E040FD" w:rsidRDefault="00740D64">
            <w:pPr>
              <w:pStyle w:val="P68B1DB1-Normal8"/>
              <w:spacing w:after="0" w:line="240" w:lineRule="auto"/>
              <w:jc w:val="center"/>
              <w:rPr>
                <w:rFonts w:eastAsia="Times New Roman" w:cs="Calibri"/>
                <w:noProof/>
              </w:rPr>
            </w:pPr>
            <w:r>
              <w:rPr>
                <w:noProof/>
              </w:rPr>
              <w:t>KVARTAL 1</w:t>
            </w:r>
          </w:p>
        </w:tc>
        <w:tc>
          <w:tcPr>
            <w:tcW w:w="682" w:type="dxa"/>
            <w:shd w:val="clear" w:color="auto" w:fill="C4EFCE"/>
            <w:noWrap/>
            <w:vAlign w:val="center"/>
            <w:hideMark/>
          </w:tcPr>
          <w:p w14:paraId="2E675188" w14:textId="77777777" w:rsidR="00E040FD" w:rsidRDefault="00740D64">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4CAF8E18" w14:textId="77777777" w:rsidR="00E040FD" w:rsidRDefault="00740D64">
            <w:pPr>
              <w:pStyle w:val="P68B1DB1-Normal8"/>
              <w:spacing w:after="0" w:line="240" w:lineRule="auto"/>
              <w:jc w:val="both"/>
              <w:rPr>
                <w:rFonts w:eastAsia="Times New Roman" w:cs="Calibri"/>
                <w:noProof/>
              </w:rPr>
            </w:pPr>
            <w:r>
              <w:rPr>
                <w:noProof/>
              </w:rPr>
              <w:t>Antal datakällor som är integrerade i den territoriella informationsinfrastruktur som omfattar bostäder, demografisk och social och ekonomisk information. Datakällorna omfattar administrativa data och enkätmikrodata (vanligtvis på individ- eller organisationsnivå/företagsnivå) som gradvis integreras i Portugals statistikbyrå (genom dess nationella datainfrastruktur), från socialförsäkring, skattemyndigheten och flera offentliga förvaltningsorgan på de statliga områdena utbildning, arbete, hälsa och rättvisa, och utvidga de år som omfattas (årlig eller kortare information) i möjligaste mån. Varje datakälla ska stabiliseras (överföringen), behandlas och analyseras för att vara redo för integrering och framställning av statistisk information på den mest detaljerade nivån, särskilt inom den regionala dimensionen.</w:t>
            </w:r>
          </w:p>
        </w:tc>
      </w:tr>
      <w:tr w:rsidR="00E040FD" w14:paraId="021D13B4" w14:textId="77777777">
        <w:trPr>
          <w:trHeight w:val="1546"/>
        </w:trPr>
        <w:tc>
          <w:tcPr>
            <w:tcW w:w="1082" w:type="dxa"/>
            <w:shd w:val="clear" w:color="auto" w:fill="C4EFCE"/>
            <w:vAlign w:val="center"/>
            <w:hideMark/>
          </w:tcPr>
          <w:p w14:paraId="26F8CD80" w14:textId="77777777" w:rsidR="00E040FD" w:rsidRDefault="00740D64">
            <w:pPr>
              <w:pStyle w:val="P68B1DB1-Normal7"/>
              <w:spacing w:after="0" w:line="240" w:lineRule="auto"/>
              <w:jc w:val="center"/>
              <w:rPr>
                <w:rFonts w:eastAsia="Times New Roman" w:cs="Calibri"/>
                <w:noProof/>
              </w:rPr>
            </w:pPr>
            <w:r>
              <w:rPr>
                <w:noProof/>
              </w:rPr>
              <w:t>19.7</w:t>
            </w:r>
          </w:p>
        </w:tc>
        <w:tc>
          <w:tcPr>
            <w:tcW w:w="1211" w:type="dxa"/>
            <w:shd w:val="clear" w:color="auto" w:fill="C4EFCE"/>
            <w:noWrap/>
            <w:vAlign w:val="center"/>
            <w:hideMark/>
          </w:tcPr>
          <w:p w14:paraId="31F06611" w14:textId="77777777" w:rsidR="00E040FD" w:rsidRDefault="00740D64">
            <w:pPr>
              <w:pStyle w:val="P68B1DB1-Normal8"/>
              <w:spacing w:after="0" w:line="240" w:lineRule="auto"/>
              <w:jc w:val="center"/>
              <w:rPr>
                <w:rFonts w:eastAsia="Times New Roman" w:cs="Calibri"/>
                <w:noProof/>
              </w:rPr>
            </w:pPr>
            <w:r>
              <w:rPr>
                <w:noProof/>
              </w:rPr>
              <w:t>TD-C19-i03</w:t>
            </w:r>
          </w:p>
        </w:tc>
        <w:tc>
          <w:tcPr>
            <w:tcW w:w="1080" w:type="dxa"/>
            <w:shd w:val="clear" w:color="auto" w:fill="C4EFCE"/>
            <w:noWrap/>
            <w:vAlign w:val="center"/>
            <w:hideMark/>
          </w:tcPr>
          <w:p w14:paraId="6E886759" w14:textId="77777777"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01F1C4FC" w14:textId="77777777" w:rsidR="00E040FD" w:rsidRDefault="00740D64">
            <w:pPr>
              <w:pStyle w:val="P68B1DB1-Normal8"/>
              <w:spacing w:after="0" w:line="240" w:lineRule="auto"/>
              <w:jc w:val="center"/>
              <w:rPr>
                <w:rFonts w:eastAsia="Times New Roman" w:cs="Calibri"/>
                <w:noProof/>
              </w:rPr>
            </w:pPr>
            <w:r>
              <w:rPr>
                <w:noProof/>
              </w:rPr>
              <w:t>Utbildning av it-specialister för att stärka kapaciteten för cybersäkerhet och informationssäkerhet</w:t>
            </w:r>
          </w:p>
        </w:tc>
        <w:tc>
          <w:tcPr>
            <w:tcW w:w="1343" w:type="dxa"/>
            <w:shd w:val="clear" w:color="auto" w:fill="C4EFCE"/>
            <w:noWrap/>
            <w:vAlign w:val="center"/>
            <w:hideMark/>
          </w:tcPr>
          <w:p w14:paraId="331EB092" w14:textId="77777777" w:rsidR="00E040FD" w:rsidRDefault="00740D64">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3B688D49" w14:textId="77777777" w:rsidR="00E040FD" w:rsidRDefault="00740D64">
            <w:pPr>
              <w:pStyle w:val="P68B1DB1-Normal8"/>
              <w:spacing w:after="0" w:line="240" w:lineRule="auto"/>
              <w:jc w:val="center"/>
              <w:rPr>
                <w:rFonts w:eastAsia="Times New Roman" w:cs="Calibri"/>
                <w:noProof/>
              </w:rPr>
            </w:pPr>
            <w:r>
              <w:rPr>
                <w:noProof/>
              </w:rPr>
              <w:t>Antal</w:t>
            </w:r>
          </w:p>
        </w:tc>
        <w:tc>
          <w:tcPr>
            <w:tcW w:w="947" w:type="dxa"/>
            <w:shd w:val="clear" w:color="auto" w:fill="C4EFCE"/>
            <w:noWrap/>
            <w:vAlign w:val="center"/>
            <w:hideMark/>
          </w:tcPr>
          <w:p w14:paraId="3500F57F" w14:textId="77777777" w:rsidR="00E040FD" w:rsidRDefault="00740D64">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00D6EA06" w14:textId="77777777" w:rsidR="00E040FD" w:rsidRDefault="00740D64">
            <w:pPr>
              <w:pStyle w:val="P68B1DB1-Normal8"/>
              <w:spacing w:after="0" w:line="240" w:lineRule="auto"/>
              <w:jc w:val="center"/>
              <w:rPr>
                <w:rFonts w:eastAsia="Times New Roman" w:cs="Calibri"/>
                <w:noProof/>
              </w:rPr>
            </w:pPr>
            <w:r>
              <w:rPr>
                <w:noProof/>
              </w:rPr>
              <w:t>9 800</w:t>
            </w:r>
          </w:p>
        </w:tc>
        <w:tc>
          <w:tcPr>
            <w:tcW w:w="550" w:type="dxa"/>
            <w:shd w:val="clear" w:color="auto" w:fill="C4EFCE"/>
            <w:noWrap/>
            <w:vAlign w:val="center"/>
            <w:hideMark/>
          </w:tcPr>
          <w:p w14:paraId="4FDC9656" w14:textId="77777777" w:rsidR="00E040FD" w:rsidRDefault="00740D64">
            <w:pPr>
              <w:pStyle w:val="P68B1DB1-Normal8"/>
              <w:spacing w:after="0" w:line="240" w:lineRule="auto"/>
              <w:jc w:val="center"/>
              <w:rPr>
                <w:rFonts w:eastAsia="Times New Roman" w:cs="Calibri"/>
                <w:noProof/>
              </w:rPr>
            </w:pPr>
            <w:r>
              <w:rPr>
                <w:noProof/>
              </w:rPr>
              <w:t>KVARTAL 1</w:t>
            </w:r>
          </w:p>
        </w:tc>
        <w:tc>
          <w:tcPr>
            <w:tcW w:w="682" w:type="dxa"/>
            <w:shd w:val="clear" w:color="auto" w:fill="C4EFCE"/>
            <w:noWrap/>
            <w:vAlign w:val="center"/>
            <w:hideMark/>
          </w:tcPr>
          <w:p w14:paraId="5C8036E3" w14:textId="77777777" w:rsidR="00E040FD" w:rsidRDefault="00740D64">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3DC67902" w14:textId="77777777" w:rsidR="00E040FD" w:rsidRDefault="00740D64">
            <w:pPr>
              <w:pStyle w:val="P68B1DB1-Normal8"/>
              <w:spacing w:after="0" w:line="240" w:lineRule="auto"/>
              <w:jc w:val="both"/>
              <w:rPr>
                <w:rFonts w:eastAsia="Times New Roman" w:cs="Calibri"/>
                <w:noProof/>
              </w:rPr>
            </w:pPr>
            <w:r>
              <w:rPr>
                <w:noProof/>
              </w:rPr>
              <w:t>Antal it-specialister som utbildats i nätverket av sju nyligen inrättade kompetenscentrum för cybersäkerhet. Centrumen tillhandahåller avancerade färdigheter inom cybersäkerhet och informationssäkerhet genom utbildnings- och praktikprogram vid det nationella it-säkerhetscentrumet (CNCS) för IKT-anställda vid den offentliga förvaltningen (personlig utbildning eller telematisk utbildning).</w:t>
            </w:r>
          </w:p>
        </w:tc>
      </w:tr>
      <w:tr w:rsidR="00E040FD" w14:paraId="6EAE2210" w14:textId="77777777">
        <w:trPr>
          <w:trHeight w:val="1690"/>
        </w:trPr>
        <w:tc>
          <w:tcPr>
            <w:tcW w:w="1082" w:type="dxa"/>
            <w:shd w:val="clear" w:color="auto" w:fill="C4EFCE"/>
            <w:vAlign w:val="center"/>
            <w:hideMark/>
          </w:tcPr>
          <w:p w14:paraId="308988EE" w14:textId="77777777" w:rsidR="00E040FD" w:rsidRDefault="00740D64">
            <w:pPr>
              <w:pStyle w:val="P68B1DB1-Normal7"/>
              <w:spacing w:after="0" w:line="240" w:lineRule="auto"/>
              <w:jc w:val="center"/>
              <w:rPr>
                <w:rFonts w:eastAsia="Times New Roman" w:cs="Calibri"/>
                <w:noProof/>
              </w:rPr>
            </w:pPr>
            <w:r>
              <w:rPr>
                <w:noProof/>
              </w:rPr>
              <w:t>19.8</w:t>
            </w:r>
          </w:p>
        </w:tc>
        <w:tc>
          <w:tcPr>
            <w:tcW w:w="1211" w:type="dxa"/>
            <w:shd w:val="clear" w:color="auto" w:fill="C4EFCE"/>
            <w:noWrap/>
            <w:vAlign w:val="center"/>
            <w:hideMark/>
          </w:tcPr>
          <w:p w14:paraId="2756D035" w14:textId="77777777" w:rsidR="00E040FD" w:rsidRDefault="00740D64">
            <w:pPr>
              <w:pStyle w:val="P68B1DB1-Normal8"/>
              <w:spacing w:after="0" w:line="240" w:lineRule="auto"/>
              <w:jc w:val="center"/>
              <w:rPr>
                <w:rFonts w:eastAsia="Times New Roman" w:cs="Calibri"/>
                <w:noProof/>
              </w:rPr>
            </w:pPr>
            <w:r>
              <w:rPr>
                <w:noProof/>
              </w:rPr>
              <w:t>TD-C19-i03</w:t>
            </w:r>
          </w:p>
        </w:tc>
        <w:tc>
          <w:tcPr>
            <w:tcW w:w="1080" w:type="dxa"/>
            <w:shd w:val="clear" w:color="auto" w:fill="C4EFCE"/>
            <w:noWrap/>
            <w:vAlign w:val="center"/>
            <w:hideMark/>
          </w:tcPr>
          <w:p w14:paraId="487E3F25" w14:textId="77777777"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2E4949A1" w14:textId="77777777" w:rsidR="00E040FD" w:rsidRDefault="00740D64">
            <w:pPr>
              <w:pStyle w:val="P68B1DB1-Normal8"/>
              <w:spacing w:after="0" w:line="240" w:lineRule="auto"/>
              <w:jc w:val="center"/>
              <w:rPr>
                <w:rFonts w:eastAsia="Times New Roman" w:cs="Calibri"/>
                <w:noProof/>
              </w:rPr>
            </w:pPr>
            <w:r>
              <w:rPr>
                <w:noProof/>
              </w:rPr>
              <w:t>Offentliga myndigheters antagande av den portugisiska kryptografiska lösningen</w:t>
            </w:r>
          </w:p>
        </w:tc>
        <w:tc>
          <w:tcPr>
            <w:tcW w:w="1343" w:type="dxa"/>
            <w:shd w:val="clear" w:color="auto" w:fill="C4EFCE"/>
            <w:noWrap/>
            <w:vAlign w:val="center"/>
            <w:hideMark/>
          </w:tcPr>
          <w:p w14:paraId="4C9A8180" w14:textId="77777777" w:rsidR="00E040FD" w:rsidRDefault="00740D64">
            <w:pPr>
              <w:pStyle w:val="P68B1DB1-Normal8"/>
              <w:spacing w:after="0" w:line="240" w:lineRule="auto"/>
              <w:rPr>
                <w:rFonts w:eastAsia="Times New Roman" w:cs="Calibri"/>
                <w:noProof/>
              </w:rPr>
            </w:pPr>
            <w:r>
              <w:rPr>
                <w:noProof/>
              </w:rPr>
              <w:t> </w:t>
            </w:r>
          </w:p>
        </w:tc>
        <w:tc>
          <w:tcPr>
            <w:tcW w:w="1134" w:type="dxa"/>
            <w:shd w:val="clear" w:color="auto" w:fill="C4EFCE"/>
            <w:noWrap/>
            <w:vAlign w:val="center"/>
            <w:hideMark/>
          </w:tcPr>
          <w:p w14:paraId="5E66E76F" w14:textId="77777777" w:rsidR="00E040FD" w:rsidRDefault="00740D64">
            <w:pPr>
              <w:pStyle w:val="P68B1DB1-Normal8"/>
              <w:spacing w:after="0" w:line="240" w:lineRule="auto"/>
              <w:jc w:val="center"/>
              <w:rPr>
                <w:rFonts w:eastAsia="Times New Roman" w:cs="Calibri"/>
                <w:noProof/>
              </w:rPr>
            </w:pPr>
            <w:r>
              <w:rPr>
                <w:noProof/>
              </w:rPr>
              <w:t>Antal</w:t>
            </w:r>
          </w:p>
        </w:tc>
        <w:tc>
          <w:tcPr>
            <w:tcW w:w="947" w:type="dxa"/>
            <w:shd w:val="clear" w:color="auto" w:fill="C4EFCE"/>
            <w:noWrap/>
            <w:vAlign w:val="center"/>
            <w:hideMark/>
          </w:tcPr>
          <w:p w14:paraId="2CC988A8" w14:textId="77777777" w:rsidR="00E040FD" w:rsidRDefault="00740D64">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4A8C6E1F" w14:textId="77777777" w:rsidR="00E040FD" w:rsidRDefault="00740D64">
            <w:pPr>
              <w:pStyle w:val="P68B1DB1-Normal8"/>
              <w:spacing w:after="0" w:line="240" w:lineRule="auto"/>
              <w:jc w:val="center"/>
              <w:rPr>
                <w:rFonts w:eastAsia="Times New Roman" w:cs="Calibri"/>
                <w:noProof/>
              </w:rPr>
            </w:pPr>
            <w:r>
              <w:rPr>
                <w:noProof/>
              </w:rPr>
              <w:t>150</w:t>
            </w:r>
          </w:p>
        </w:tc>
        <w:tc>
          <w:tcPr>
            <w:tcW w:w="550" w:type="dxa"/>
            <w:shd w:val="clear" w:color="auto" w:fill="C4EFCE"/>
            <w:noWrap/>
            <w:vAlign w:val="center"/>
            <w:hideMark/>
          </w:tcPr>
          <w:p w14:paraId="086973FB" w14:textId="77777777" w:rsidR="00E040FD" w:rsidRDefault="00740D64">
            <w:pPr>
              <w:pStyle w:val="P68B1DB1-Normal8"/>
              <w:spacing w:after="0" w:line="240" w:lineRule="auto"/>
              <w:jc w:val="center"/>
              <w:rPr>
                <w:rFonts w:eastAsia="Times New Roman" w:cs="Calibri"/>
                <w:noProof/>
              </w:rPr>
            </w:pPr>
            <w:r>
              <w:rPr>
                <w:noProof/>
              </w:rPr>
              <w:t>KVARTAL 1</w:t>
            </w:r>
          </w:p>
        </w:tc>
        <w:tc>
          <w:tcPr>
            <w:tcW w:w="682" w:type="dxa"/>
            <w:shd w:val="clear" w:color="auto" w:fill="C4EFCE"/>
            <w:noWrap/>
            <w:vAlign w:val="center"/>
            <w:hideMark/>
          </w:tcPr>
          <w:p w14:paraId="50931A0E" w14:textId="77777777" w:rsidR="00E040FD" w:rsidRDefault="00740D64">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365B7BEE" w14:textId="77777777" w:rsidR="00E040FD" w:rsidRDefault="00740D64">
            <w:pPr>
              <w:pStyle w:val="P68B1DB1-Normal8"/>
              <w:spacing w:after="0" w:line="240" w:lineRule="auto"/>
              <w:jc w:val="both"/>
              <w:rPr>
                <w:rFonts w:eastAsia="Times New Roman" w:cs="Calibri"/>
                <w:noProof/>
              </w:rPr>
            </w:pPr>
            <w:r>
              <w:rPr>
                <w:noProof/>
              </w:rPr>
              <w:t>Antal offentliga myndigheter som förses med krypteringsutrustning som uppfyller de rättsliga kraven [</w:t>
            </w:r>
            <w:r>
              <w:rPr>
                <w:i/>
                <w:noProof/>
              </w:rPr>
              <w:t>Resolução do Conselho de Ministros, n.° 16/96, de 22 de março – Instruções para a Segurança Nacional, Segurança das Telecomunicações (SEGNAC 3), Capítulo 3</w:t>
            </w:r>
            <w:r>
              <w:rPr>
                <w:noProof/>
              </w:rPr>
              <w:t xml:space="preserve"> /ministerrådets resolution, nr 16/96, 22 mars – Instructions for National Security, Telecommunications Security (SEGNAC 3), kapitel 3]. </w:t>
            </w:r>
          </w:p>
        </w:tc>
      </w:tr>
      <w:tr w:rsidR="00E040FD" w14:paraId="4FEFFAA1" w14:textId="77777777">
        <w:trPr>
          <w:trHeight w:val="1969"/>
        </w:trPr>
        <w:tc>
          <w:tcPr>
            <w:tcW w:w="1082" w:type="dxa"/>
            <w:shd w:val="clear" w:color="auto" w:fill="C4EFCE"/>
            <w:vAlign w:val="center"/>
          </w:tcPr>
          <w:p w14:paraId="3A68F726" w14:textId="59EE31D4" w:rsidR="00E040FD" w:rsidRDefault="00740D64">
            <w:pPr>
              <w:pStyle w:val="P68B1DB1-Normal7"/>
              <w:spacing w:after="0" w:line="240" w:lineRule="auto"/>
              <w:jc w:val="center"/>
              <w:rPr>
                <w:rFonts w:eastAsia="Times New Roman" w:cs="Calibri"/>
                <w:noProof/>
              </w:rPr>
            </w:pPr>
            <w:r>
              <w:rPr>
                <w:noProof/>
              </w:rPr>
              <w:t>19.9</w:t>
            </w:r>
          </w:p>
        </w:tc>
        <w:tc>
          <w:tcPr>
            <w:tcW w:w="1211" w:type="dxa"/>
            <w:shd w:val="clear" w:color="auto" w:fill="C4EFCE"/>
            <w:noWrap/>
            <w:vAlign w:val="center"/>
          </w:tcPr>
          <w:p w14:paraId="67DE3F13" w14:textId="744B2D80" w:rsidR="00E040FD" w:rsidRDefault="00740D64">
            <w:pPr>
              <w:pStyle w:val="P68B1DB1-Normal8"/>
              <w:spacing w:after="0" w:line="240" w:lineRule="auto"/>
              <w:jc w:val="center"/>
              <w:rPr>
                <w:rFonts w:eastAsia="Times New Roman" w:cs="Calibri"/>
                <w:noProof/>
              </w:rPr>
            </w:pPr>
            <w:r>
              <w:rPr>
                <w:noProof/>
              </w:rPr>
              <w:t>TD-C19-i03</w:t>
            </w:r>
          </w:p>
        </w:tc>
        <w:tc>
          <w:tcPr>
            <w:tcW w:w="1080" w:type="dxa"/>
            <w:shd w:val="clear" w:color="auto" w:fill="C4EFCE"/>
            <w:noWrap/>
            <w:vAlign w:val="center"/>
          </w:tcPr>
          <w:p w14:paraId="5426B223" w14:textId="1A66F3E2"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tcPr>
          <w:p w14:paraId="6B8CDAAE" w14:textId="05621BA1" w:rsidR="00E040FD" w:rsidRDefault="00740D64">
            <w:pPr>
              <w:pStyle w:val="P68B1DB1-Normal8"/>
              <w:spacing w:after="0" w:line="240" w:lineRule="auto"/>
              <w:jc w:val="center"/>
              <w:rPr>
                <w:rFonts w:eastAsia="Times New Roman" w:cs="Calibri"/>
                <w:noProof/>
              </w:rPr>
            </w:pPr>
            <w:r>
              <w:rPr>
                <w:noProof/>
              </w:rPr>
              <w:t>Genomförande av den nationella ramen för cybersäkerhet</w:t>
            </w:r>
          </w:p>
        </w:tc>
        <w:tc>
          <w:tcPr>
            <w:tcW w:w="1343" w:type="dxa"/>
            <w:shd w:val="clear" w:color="auto" w:fill="C4EFCE"/>
            <w:noWrap/>
            <w:vAlign w:val="center"/>
          </w:tcPr>
          <w:p w14:paraId="15AE299E" w14:textId="77777777" w:rsidR="00E040FD" w:rsidRDefault="00E040FD">
            <w:pPr>
              <w:spacing w:after="0" w:line="240" w:lineRule="auto"/>
              <w:rPr>
                <w:rFonts w:ascii="Calibri" w:eastAsia="Times New Roman" w:hAnsi="Calibri" w:cs="Calibri"/>
                <w:noProof/>
                <w:sz w:val="16"/>
              </w:rPr>
            </w:pPr>
          </w:p>
        </w:tc>
        <w:tc>
          <w:tcPr>
            <w:tcW w:w="1134" w:type="dxa"/>
            <w:shd w:val="clear" w:color="auto" w:fill="C4EFCE"/>
            <w:noWrap/>
            <w:vAlign w:val="center"/>
          </w:tcPr>
          <w:p w14:paraId="557F5529" w14:textId="47FFDC85" w:rsidR="00E040FD" w:rsidRDefault="00740D64">
            <w:pPr>
              <w:pStyle w:val="P68B1DB1-Normal8"/>
              <w:spacing w:after="0" w:line="240" w:lineRule="auto"/>
              <w:jc w:val="center"/>
              <w:rPr>
                <w:rFonts w:eastAsia="Times New Roman" w:cs="Calibri"/>
                <w:noProof/>
              </w:rPr>
            </w:pPr>
            <w:r>
              <w:rPr>
                <w:noProof/>
              </w:rPr>
              <w:t>Antal</w:t>
            </w:r>
          </w:p>
        </w:tc>
        <w:tc>
          <w:tcPr>
            <w:tcW w:w="947" w:type="dxa"/>
            <w:shd w:val="clear" w:color="auto" w:fill="C4EFCE"/>
            <w:noWrap/>
            <w:vAlign w:val="center"/>
          </w:tcPr>
          <w:p w14:paraId="10F2D9AB" w14:textId="31D9A02A" w:rsidR="00E040FD" w:rsidRDefault="00740D64">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tcPr>
          <w:p w14:paraId="4F952B72" w14:textId="3DF121B4" w:rsidR="00E040FD" w:rsidRDefault="00740D64">
            <w:pPr>
              <w:pStyle w:val="P68B1DB1-Normal8"/>
              <w:spacing w:after="0" w:line="240" w:lineRule="auto"/>
              <w:jc w:val="center"/>
              <w:rPr>
                <w:rFonts w:eastAsia="Times New Roman" w:cs="Calibri"/>
                <w:noProof/>
              </w:rPr>
            </w:pPr>
            <w:r>
              <w:rPr>
                <w:noProof/>
              </w:rPr>
              <w:t>47</w:t>
            </w:r>
          </w:p>
        </w:tc>
        <w:tc>
          <w:tcPr>
            <w:tcW w:w="550" w:type="dxa"/>
            <w:shd w:val="clear" w:color="auto" w:fill="C4EFCE"/>
            <w:noWrap/>
            <w:vAlign w:val="center"/>
          </w:tcPr>
          <w:p w14:paraId="28B08257" w14:textId="1AD527DF" w:rsidR="00E040FD" w:rsidRDefault="00740D64">
            <w:pPr>
              <w:pStyle w:val="P68B1DB1-Normal8"/>
              <w:spacing w:after="0" w:line="240" w:lineRule="auto"/>
              <w:jc w:val="center"/>
              <w:rPr>
                <w:rFonts w:eastAsia="Times New Roman" w:cs="Calibri"/>
                <w:noProof/>
              </w:rPr>
            </w:pPr>
            <w:r>
              <w:rPr>
                <w:noProof/>
              </w:rPr>
              <w:t>KVARTAL 1</w:t>
            </w:r>
          </w:p>
        </w:tc>
        <w:tc>
          <w:tcPr>
            <w:tcW w:w="682" w:type="dxa"/>
            <w:shd w:val="clear" w:color="auto" w:fill="C4EFCE"/>
            <w:noWrap/>
            <w:vAlign w:val="center"/>
          </w:tcPr>
          <w:p w14:paraId="168519DA" w14:textId="5F4A2B04" w:rsidR="00E040FD" w:rsidRDefault="00740D64">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tcPr>
          <w:p w14:paraId="0B3D764C" w14:textId="37515DD9" w:rsidR="00E040FD" w:rsidRDefault="00740D64">
            <w:pPr>
              <w:pStyle w:val="P68B1DB1-Normal8"/>
              <w:spacing w:after="0" w:line="240" w:lineRule="auto"/>
              <w:jc w:val="both"/>
              <w:rPr>
                <w:rFonts w:eastAsia="Times New Roman" w:cs="Calibri"/>
                <w:noProof/>
              </w:rPr>
            </w:pPr>
            <w:r>
              <w:rPr>
                <w:noProof/>
              </w:rPr>
              <w:t>Antal nya enheter inom den offentliga förvaltningen som omfattas av den nationella cybersäkerhetsramen (se reform TD-r34). Dessa entiteter ska vara skyldiga att ta fram cybersäkerhetsindikatorer, genomföra det nationella regelverket och EU:s regelverk för cybersäkerhet, bland annat genom organ för bedömning av överensstämmelse och nya revisorer, samt genom att fastställa och övervaka styrningsmodellen för samarbete och informationsutbyte för kunskaps- och informationssäkerhet.</w:t>
            </w:r>
          </w:p>
        </w:tc>
      </w:tr>
      <w:tr w:rsidR="00E040FD" w14:paraId="2F6B4CDF" w14:textId="77777777">
        <w:trPr>
          <w:trHeight w:val="430"/>
        </w:trPr>
        <w:tc>
          <w:tcPr>
            <w:tcW w:w="1082" w:type="dxa"/>
            <w:shd w:val="clear" w:color="auto" w:fill="C4EFCE"/>
            <w:vAlign w:val="center"/>
            <w:hideMark/>
          </w:tcPr>
          <w:p w14:paraId="312AB79F" w14:textId="77777777" w:rsidR="00E040FD" w:rsidRDefault="00740D64">
            <w:pPr>
              <w:pStyle w:val="P68B1DB1-Normal7"/>
              <w:spacing w:after="0" w:line="240" w:lineRule="auto"/>
              <w:jc w:val="center"/>
              <w:rPr>
                <w:rFonts w:eastAsia="Times New Roman" w:cs="Calibri"/>
                <w:noProof/>
              </w:rPr>
            </w:pPr>
            <w:r>
              <w:rPr>
                <w:noProof/>
              </w:rPr>
              <w:t>19.10</w:t>
            </w:r>
          </w:p>
        </w:tc>
        <w:tc>
          <w:tcPr>
            <w:tcW w:w="1211" w:type="dxa"/>
            <w:shd w:val="clear" w:color="auto" w:fill="C4EFCE"/>
            <w:noWrap/>
            <w:vAlign w:val="center"/>
            <w:hideMark/>
          </w:tcPr>
          <w:p w14:paraId="4ED32827" w14:textId="77777777" w:rsidR="00E040FD" w:rsidRDefault="00740D64">
            <w:pPr>
              <w:pStyle w:val="P68B1DB1-Normal8"/>
              <w:spacing w:after="0" w:line="240" w:lineRule="auto"/>
              <w:jc w:val="center"/>
              <w:rPr>
                <w:rFonts w:eastAsia="Times New Roman" w:cs="Calibri"/>
                <w:noProof/>
              </w:rPr>
            </w:pPr>
            <w:r>
              <w:rPr>
                <w:noProof/>
              </w:rPr>
              <w:t>TD-C19-i03</w:t>
            </w:r>
          </w:p>
        </w:tc>
        <w:tc>
          <w:tcPr>
            <w:tcW w:w="1080" w:type="dxa"/>
            <w:shd w:val="clear" w:color="auto" w:fill="C4EFCE"/>
            <w:noWrap/>
            <w:vAlign w:val="center"/>
            <w:hideMark/>
          </w:tcPr>
          <w:p w14:paraId="15B82E65" w14:textId="77777777"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55D8A471" w14:textId="77777777" w:rsidR="00E040FD" w:rsidRDefault="00740D64">
            <w:pPr>
              <w:pStyle w:val="P68B1DB1-Normal8"/>
              <w:spacing w:after="0" w:line="240" w:lineRule="auto"/>
              <w:jc w:val="center"/>
              <w:rPr>
                <w:rFonts w:eastAsia="Times New Roman" w:cs="Calibri"/>
                <w:noProof/>
              </w:rPr>
            </w:pPr>
            <w:r>
              <w:rPr>
                <w:noProof/>
              </w:rPr>
              <w:t>Slutförande av uppbyggnaden av myndigheter för cybersäkerhet och informationssäkerhet</w:t>
            </w:r>
          </w:p>
        </w:tc>
        <w:tc>
          <w:tcPr>
            <w:tcW w:w="1343" w:type="dxa"/>
            <w:shd w:val="clear" w:color="auto" w:fill="C4EFCE"/>
            <w:noWrap/>
            <w:vAlign w:val="center"/>
            <w:hideMark/>
          </w:tcPr>
          <w:p w14:paraId="73297563" w14:textId="77777777" w:rsidR="00E040FD" w:rsidRDefault="00740D64">
            <w:pPr>
              <w:pStyle w:val="P68B1DB1-Normal8"/>
              <w:spacing w:after="0" w:line="240" w:lineRule="auto"/>
              <w:jc w:val="center"/>
              <w:rPr>
                <w:rFonts w:eastAsia="Times New Roman" w:cs="Calibri"/>
                <w:noProof/>
              </w:rPr>
            </w:pPr>
            <w:r>
              <w:rPr>
                <w:noProof/>
              </w:rPr>
              <w:t xml:space="preserve">Slutförande av uppbyggnaden av myndigheter för cybersäkerhet och informationssäkerhet </w:t>
            </w:r>
          </w:p>
        </w:tc>
        <w:tc>
          <w:tcPr>
            <w:tcW w:w="1134" w:type="dxa"/>
            <w:shd w:val="clear" w:color="auto" w:fill="C4EFCE"/>
            <w:noWrap/>
            <w:vAlign w:val="center"/>
            <w:hideMark/>
          </w:tcPr>
          <w:p w14:paraId="18895E37" w14:textId="77777777" w:rsidR="00E040FD" w:rsidRDefault="00740D64">
            <w:pPr>
              <w:pStyle w:val="P68B1DB1-Normal8"/>
              <w:spacing w:after="0" w:line="240" w:lineRule="auto"/>
              <w:jc w:val="center"/>
              <w:rPr>
                <w:rFonts w:eastAsia="Times New Roman" w:cs="Calibri"/>
                <w:noProof/>
              </w:rPr>
            </w:pPr>
            <w:r>
              <w:rPr>
                <w:noProof/>
              </w:rPr>
              <w:t xml:space="preserve"> </w:t>
            </w:r>
          </w:p>
        </w:tc>
        <w:tc>
          <w:tcPr>
            <w:tcW w:w="947" w:type="dxa"/>
            <w:shd w:val="clear" w:color="auto" w:fill="C4EFCE"/>
            <w:noWrap/>
            <w:vAlign w:val="center"/>
            <w:hideMark/>
          </w:tcPr>
          <w:p w14:paraId="68F01236" w14:textId="77777777" w:rsidR="00E040FD" w:rsidRDefault="00740D64">
            <w:pPr>
              <w:pStyle w:val="P68B1DB1-Normal8"/>
              <w:spacing w:after="0" w:line="240" w:lineRule="auto"/>
              <w:jc w:val="center"/>
              <w:rPr>
                <w:rFonts w:eastAsia="Times New Roman" w:cs="Calibri"/>
                <w:noProof/>
              </w:rPr>
            </w:pPr>
            <w:r>
              <w:rPr>
                <w:noProof/>
              </w:rPr>
              <w:t xml:space="preserve"> </w:t>
            </w:r>
          </w:p>
        </w:tc>
        <w:tc>
          <w:tcPr>
            <w:tcW w:w="682" w:type="dxa"/>
            <w:shd w:val="clear" w:color="auto" w:fill="C4EFCE"/>
            <w:noWrap/>
            <w:vAlign w:val="center"/>
            <w:hideMark/>
          </w:tcPr>
          <w:p w14:paraId="5CF77E3A" w14:textId="77777777" w:rsidR="00E040FD" w:rsidRDefault="00740D64">
            <w:pPr>
              <w:pStyle w:val="P68B1DB1-Normal8"/>
              <w:spacing w:after="0" w:line="240" w:lineRule="auto"/>
              <w:jc w:val="center"/>
              <w:rPr>
                <w:rFonts w:eastAsia="Times New Roman" w:cs="Calibri"/>
                <w:noProof/>
              </w:rPr>
            </w:pPr>
            <w:r>
              <w:rPr>
                <w:noProof/>
              </w:rPr>
              <w:t xml:space="preserve"> </w:t>
            </w:r>
          </w:p>
        </w:tc>
        <w:tc>
          <w:tcPr>
            <w:tcW w:w="550" w:type="dxa"/>
            <w:shd w:val="clear" w:color="auto" w:fill="C4EFCE"/>
            <w:noWrap/>
            <w:vAlign w:val="center"/>
            <w:hideMark/>
          </w:tcPr>
          <w:p w14:paraId="1DB26465" w14:textId="77777777" w:rsidR="00E040FD" w:rsidRDefault="00740D64">
            <w:pPr>
              <w:pStyle w:val="P68B1DB1-Normal8"/>
              <w:spacing w:after="0" w:line="240" w:lineRule="auto"/>
              <w:jc w:val="center"/>
              <w:rPr>
                <w:rFonts w:eastAsia="Times New Roman" w:cs="Calibri"/>
                <w:noProof/>
              </w:rPr>
            </w:pPr>
            <w:r>
              <w:rPr>
                <w:noProof/>
              </w:rPr>
              <w:t>KVARTAL 1</w:t>
            </w:r>
          </w:p>
        </w:tc>
        <w:tc>
          <w:tcPr>
            <w:tcW w:w="682" w:type="dxa"/>
            <w:shd w:val="clear" w:color="auto" w:fill="C4EFCE"/>
            <w:noWrap/>
            <w:vAlign w:val="center"/>
            <w:hideMark/>
          </w:tcPr>
          <w:p w14:paraId="5FC22AB1" w14:textId="77777777" w:rsidR="00E040FD" w:rsidRDefault="00740D64">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36ECA463" w14:textId="77777777" w:rsidR="00E040FD" w:rsidRDefault="00740D64">
            <w:pPr>
              <w:pStyle w:val="P68B1DB1-Normal8"/>
              <w:spacing w:after="0" w:line="240" w:lineRule="auto"/>
              <w:jc w:val="both"/>
              <w:rPr>
                <w:rFonts w:eastAsia="Times New Roman" w:cs="Calibri"/>
                <w:noProof/>
              </w:rPr>
            </w:pPr>
            <w:r>
              <w:rPr>
                <w:noProof/>
              </w:rPr>
              <w:t>Slutförande av byggnadsarbete och installation av utrustning med lämpliga tekniska och säkerhetsmässiga villkor för uppförandet av de tre myndigheterna för cybersäkerhet och informationssäkerhet.</w:t>
            </w:r>
          </w:p>
        </w:tc>
      </w:tr>
      <w:tr w:rsidR="00E040FD" w14:paraId="3DC45753" w14:textId="77777777">
        <w:trPr>
          <w:trHeight w:val="430"/>
        </w:trPr>
        <w:tc>
          <w:tcPr>
            <w:tcW w:w="1082" w:type="dxa"/>
            <w:shd w:val="clear" w:color="auto" w:fill="C4EFCE"/>
            <w:vAlign w:val="center"/>
            <w:hideMark/>
          </w:tcPr>
          <w:p w14:paraId="4270D7DC" w14:textId="77777777" w:rsidR="00E040FD" w:rsidRDefault="00740D64">
            <w:pPr>
              <w:pStyle w:val="P68B1DB1-Normal7"/>
              <w:spacing w:after="0" w:line="240" w:lineRule="auto"/>
              <w:jc w:val="center"/>
              <w:rPr>
                <w:rFonts w:eastAsia="Times New Roman" w:cs="Calibri"/>
                <w:noProof/>
              </w:rPr>
            </w:pPr>
            <w:r>
              <w:rPr>
                <w:noProof/>
              </w:rPr>
              <w:t>19.11</w:t>
            </w:r>
          </w:p>
        </w:tc>
        <w:tc>
          <w:tcPr>
            <w:tcW w:w="1211" w:type="dxa"/>
            <w:shd w:val="clear" w:color="auto" w:fill="C4EFCE"/>
            <w:noWrap/>
            <w:vAlign w:val="center"/>
            <w:hideMark/>
          </w:tcPr>
          <w:p w14:paraId="7E15EC62" w14:textId="77777777" w:rsidR="00E040FD" w:rsidRDefault="00740D64">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2A1A6729" w14:textId="77777777"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51F4579A" w14:textId="77777777" w:rsidR="00E040FD" w:rsidRDefault="00740D64">
            <w:pPr>
              <w:pStyle w:val="P68B1DB1-Normal8"/>
              <w:spacing w:after="0" w:line="240" w:lineRule="auto"/>
              <w:jc w:val="center"/>
              <w:rPr>
                <w:rFonts w:eastAsia="Times New Roman" w:cs="Calibri"/>
                <w:noProof/>
              </w:rPr>
            </w:pPr>
            <w:r>
              <w:rPr>
                <w:noProof/>
              </w:rPr>
              <w:t>Säkert mobilkommunikationssystem för offentliganställda</w:t>
            </w:r>
          </w:p>
        </w:tc>
        <w:tc>
          <w:tcPr>
            <w:tcW w:w="1343" w:type="dxa"/>
            <w:shd w:val="clear" w:color="auto" w:fill="C4EFCE"/>
            <w:noWrap/>
            <w:vAlign w:val="center"/>
            <w:hideMark/>
          </w:tcPr>
          <w:p w14:paraId="25D18244" w14:textId="77777777" w:rsidR="00E040FD" w:rsidRDefault="00740D64">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717F43F1" w14:textId="77777777" w:rsidR="00E040FD" w:rsidRDefault="00740D64">
            <w:pPr>
              <w:pStyle w:val="P68B1DB1-Normal8"/>
              <w:spacing w:after="0" w:line="240" w:lineRule="auto"/>
              <w:jc w:val="center"/>
              <w:rPr>
                <w:rFonts w:eastAsia="Times New Roman" w:cs="Calibri"/>
                <w:noProof/>
              </w:rPr>
            </w:pPr>
            <w:r>
              <w:rPr>
                <w:noProof/>
              </w:rPr>
              <w:t>%</w:t>
            </w:r>
          </w:p>
        </w:tc>
        <w:tc>
          <w:tcPr>
            <w:tcW w:w="947" w:type="dxa"/>
            <w:shd w:val="clear" w:color="auto" w:fill="C4EFCE"/>
            <w:noWrap/>
            <w:vAlign w:val="center"/>
            <w:hideMark/>
          </w:tcPr>
          <w:p w14:paraId="3A5E5B34" w14:textId="77777777" w:rsidR="00E040FD" w:rsidRDefault="00740D64">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50DDAE09" w14:textId="77777777" w:rsidR="00E040FD" w:rsidRDefault="00740D64">
            <w:pPr>
              <w:pStyle w:val="P68B1DB1-Normal8"/>
              <w:spacing w:after="0" w:line="240" w:lineRule="auto"/>
              <w:jc w:val="center"/>
              <w:rPr>
                <w:rFonts w:eastAsia="Times New Roman" w:cs="Calibri"/>
                <w:noProof/>
              </w:rPr>
            </w:pPr>
            <w:r>
              <w:rPr>
                <w:noProof/>
              </w:rPr>
              <w:t>95</w:t>
            </w:r>
          </w:p>
        </w:tc>
        <w:tc>
          <w:tcPr>
            <w:tcW w:w="550" w:type="dxa"/>
            <w:shd w:val="clear" w:color="auto" w:fill="C4EFCE"/>
            <w:noWrap/>
            <w:vAlign w:val="center"/>
            <w:hideMark/>
          </w:tcPr>
          <w:p w14:paraId="636A686F" w14:textId="77777777" w:rsidR="00E040FD" w:rsidRDefault="00740D64">
            <w:pPr>
              <w:pStyle w:val="P68B1DB1-Normal8"/>
              <w:spacing w:after="0" w:line="240" w:lineRule="auto"/>
              <w:jc w:val="center"/>
              <w:rPr>
                <w:rFonts w:eastAsia="Times New Roman" w:cs="Calibri"/>
                <w:noProof/>
              </w:rPr>
            </w:pPr>
            <w:r>
              <w:rPr>
                <w:noProof/>
              </w:rPr>
              <w:t>KVARTAL 2</w:t>
            </w:r>
          </w:p>
        </w:tc>
        <w:tc>
          <w:tcPr>
            <w:tcW w:w="682" w:type="dxa"/>
            <w:shd w:val="clear" w:color="auto" w:fill="C4EFCE"/>
            <w:noWrap/>
            <w:vAlign w:val="center"/>
            <w:hideMark/>
          </w:tcPr>
          <w:p w14:paraId="04354A03" w14:textId="77777777" w:rsidR="00E040FD" w:rsidRDefault="00740D64">
            <w:pPr>
              <w:pStyle w:val="P68B1DB1-Normal8"/>
              <w:spacing w:after="0" w:line="240" w:lineRule="auto"/>
              <w:jc w:val="center"/>
              <w:rPr>
                <w:rFonts w:eastAsia="Times New Roman" w:cs="Calibri"/>
                <w:noProof/>
              </w:rPr>
            </w:pPr>
            <w:r>
              <w:rPr>
                <w:noProof/>
              </w:rPr>
              <w:t>2022</w:t>
            </w:r>
          </w:p>
        </w:tc>
        <w:tc>
          <w:tcPr>
            <w:tcW w:w="4458" w:type="dxa"/>
            <w:shd w:val="clear" w:color="auto" w:fill="C4EFCE"/>
            <w:vAlign w:val="center"/>
            <w:hideMark/>
          </w:tcPr>
          <w:p w14:paraId="0B6506D9" w14:textId="77777777" w:rsidR="00E040FD" w:rsidRDefault="00740D64">
            <w:pPr>
              <w:pStyle w:val="P68B1DB1-Normal8"/>
              <w:spacing w:after="0" w:line="240" w:lineRule="auto"/>
              <w:jc w:val="both"/>
              <w:rPr>
                <w:rFonts w:eastAsia="Times New Roman" w:cs="Calibri"/>
                <w:noProof/>
              </w:rPr>
            </w:pPr>
            <w:r>
              <w:rPr>
                <w:noProof/>
              </w:rPr>
              <w:t>Procentandel offentliganställda som har tillgång till ett säkert röst-, meddelande- och videokommunikationssystem.</w:t>
            </w:r>
          </w:p>
        </w:tc>
      </w:tr>
      <w:tr w:rsidR="00E040FD" w14:paraId="3CA6562D" w14:textId="77777777">
        <w:trPr>
          <w:trHeight w:val="290"/>
        </w:trPr>
        <w:tc>
          <w:tcPr>
            <w:tcW w:w="1082" w:type="dxa"/>
            <w:shd w:val="clear" w:color="auto" w:fill="C4EFCE"/>
            <w:vAlign w:val="center"/>
            <w:hideMark/>
          </w:tcPr>
          <w:p w14:paraId="3056D03D" w14:textId="77777777" w:rsidR="00E040FD" w:rsidRDefault="00740D64">
            <w:pPr>
              <w:pStyle w:val="P68B1DB1-Normal7"/>
              <w:spacing w:after="0" w:line="240" w:lineRule="auto"/>
              <w:jc w:val="center"/>
              <w:rPr>
                <w:rFonts w:eastAsia="Times New Roman" w:cs="Calibri"/>
                <w:noProof/>
              </w:rPr>
            </w:pPr>
            <w:r>
              <w:rPr>
                <w:noProof/>
              </w:rPr>
              <w:t>19.12</w:t>
            </w:r>
          </w:p>
        </w:tc>
        <w:tc>
          <w:tcPr>
            <w:tcW w:w="1211" w:type="dxa"/>
            <w:shd w:val="clear" w:color="auto" w:fill="C4EFCE"/>
            <w:noWrap/>
            <w:vAlign w:val="center"/>
            <w:hideMark/>
          </w:tcPr>
          <w:p w14:paraId="0D7F79C6" w14:textId="77777777" w:rsidR="00E040FD" w:rsidRDefault="00740D64">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6E6F4A96" w14:textId="77777777"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3E8D5C65" w14:textId="77777777" w:rsidR="00E040FD" w:rsidRDefault="00740D64">
            <w:pPr>
              <w:pStyle w:val="P68B1DB1-Normal8"/>
              <w:spacing w:after="0" w:line="240" w:lineRule="auto"/>
              <w:jc w:val="center"/>
              <w:rPr>
                <w:rFonts w:eastAsia="Times New Roman" w:cs="Calibri"/>
                <w:noProof/>
              </w:rPr>
            </w:pPr>
            <w:r>
              <w:rPr>
                <w:noProof/>
              </w:rPr>
              <w:t xml:space="preserve">Slutförande av uppgraderingar av kritisk digital infrastruktur </w:t>
            </w:r>
          </w:p>
        </w:tc>
        <w:tc>
          <w:tcPr>
            <w:tcW w:w="1343" w:type="dxa"/>
            <w:shd w:val="clear" w:color="auto" w:fill="C4EFCE"/>
            <w:noWrap/>
            <w:vAlign w:val="center"/>
            <w:hideMark/>
          </w:tcPr>
          <w:p w14:paraId="501E6AED" w14:textId="77777777" w:rsidR="00E040FD" w:rsidRDefault="00740D64">
            <w:pPr>
              <w:pStyle w:val="P68B1DB1-Normal8"/>
              <w:spacing w:after="0" w:line="240" w:lineRule="auto"/>
              <w:jc w:val="center"/>
              <w:rPr>
                <w:rFonts w:eastAsia="Times New Roman" w:cs="Calibri"/>
                <w:noProof/>
              </w:rPr>
            </w:pPr>
            <w:r>
              <w:rPr>
                <w:noProof/>
              </w:rPr>
              <w:t>Slutförande av uppgraderingar av det nationella nätverket för inre säkerhet och av det statliga nödnätet för kommunikation</w:t>
            </w:r>
          </w:p>
        </w:tc>
        <w:tc>
          <w:tcPr>
            <w:tcW w:w="1134" w:type="dxa"/>
            <w:shd w:val="clear" w:color="auto" w:fill="C4EFCE"/>
            <w:noWrap/>
            <w:vAlign w:val="center"/>
            <w:hideMark/>
          </w:tcPr>
          <w:p w14:paraId="39F8F6F1" w14:textId="77777777" w:rsidR="00E040FD" w:rsidRDefault="00740D64">
            <w:pPr>
              <w:pStyle w:val="P68B1DB1-Normal8"/>
              <w:spacing w:after="0" w:line="240" w:lineRule="auto"/>
              <w:rPr>
                <w:rFonts w:eastAsia="Times New Roman" w:cs="Calibri"/>
                <w:noProof/>
              </w:rPr>
            </w:pPr>
            <w:r>
              <w:rPr>
                <w:noProof/>
              </w:rPr>
              <w:t> </w:t>
            </w:r>
          </w:p>
        </w:tc>
        <w:tc>
          <w:tcPr>
            <w:tcW w:w="947" w:type="dxa"/>
            <w:shd w:val="clear" w:color="auto" w:fill="C4EFCE"/>
            <w:noWrap/>
            <w:vAlign w:val="center"/>
            <w:hideMark/>
          </w:tcPr>
          <w:p w14:paraId="1F264429" w14:textId="77777777" w:rsidR="00E040FD" w:rsidRDefault="00740D64">
            <w:pPr>
              <w:pStyle w:val="P68B1DB1-Normal8"/>
              <w:spacing w:after="0" w:line="240" w:lineRule="auto"/>
              <w:rPr>
                <w:rFonts w:eastAsia="Times New Roman" w:cs="Calibri"/>
                <w:noProof/>
              </w:rPr>
            </w:pPr>
            <w:r>
              <w:rPr>
                <w:noProof/>
              </w:rPr>
              <w:t> </w:t>
            </w:r>
          </w:p>
        </w:tc>
        <w:tc>
          <w:tcPr>
            <w:tcW w:w="682" w:type="dxa"/>
            <w:shd w:val="clear" w:color="auto" w:fill="C4EFCE"/>
            <w:noWrap/>
            <w:vAlign w:val="center"/>
            <w:hideMark/>
          </w:tcPr>
          <w:p w14:paraId="1A118CBF" w14:textId="77777777" w:rsidR="00E040FD" w:rsidRDefault="00740D64">
            <w:pPr>
              <w:pStyle w:val="P68B1DB1-Normal8"/>
              <w:spacing w:after="0" w:line="240" w:lineRule="auto"/>
              <w:rPr>
                <w:rFonts w:eastAsia="Times New Roman" w:cs="Calibri"/>
                <w:noProof/>
              </w:rPr>
            </w:pPr>
            <w:r>
              <w:rPr>
                <w:noProof/>
              </w:rPr>
              <w:t> </w:t>
            </w:r>
          </w:p>
        </w:tc>
        <w:tc>
          <w:tcPr>
            <w:tcW w:w="550" w:type="dxa"/>
            <w:shd w:val="clear" w:color="auto" w:fill="C4EFCE"/>
            <w:noWrap/>
            <w:vAlign w:val="center"/>
            <w:hideMark/>
          </w:tcPr>
          <w:p w14:paraId="2E51498A" w14:textId="09975352" w:rsidR="00E040FD" w:rsidRDefault="00740D64">
            <w:pPr>
              <w:pStyle w:val="P68B1DB1-Normal8"/>
              <w:spacing w:after="0" w:line="240" w:lineRule="auto"/>
              <w:jc w:val="center"/>
              <w:rPr>
                <w:rFonts w:eastAsia="Times New Roman" w:cs="Calibri"/>
                <w:noProof/>
              </w:rPr>
            </w:pPr>
            <w:r>
              <w:rPr>
                <w:noProof/>
              </w:rPr>
              <w:t>KVARTAL 1</w:t>
            </w:r>
          </w:p>
        </w:tc>
        <w:tc>
          <w:tcPr>
            <w:tcW w:w="682" w:type="dxa"/>
            <w:shd w:val="clear" w:color="auto" w:fill="C4EFCE"/>
            <w:noWrap/>
            <w:vAlign w:val="center"/>
            <w:hideMark/>
          </w:tcPr>
          <w:p w14:paraId="7F7EF7EA" w14:textId="0D64379A" w:rsidR="00E040FD" w:rsidRDefault="00740D64">
            <w:pPr>
              <w:pStyle w:val="P68B1DB1-Normal8"/>
              <w:spacing w:after="0" w:line="240" w:lineRule="auto"/>
              <w:jc w:val="right"/>
              <w:rPr>
                <w:rFonts w:eastAsia="Times New Roman" w:cs="Calibri"/>
                <w:noProof/>
              </w:rPr>
            </w:pPr>
            <w:r>
              <w:rPr>
                <w:noProof/>
              </w:rPr>
              <w:t>2024</w:t>
            </w:r>
          </w:p>
        </w:tc>
        <w:tc>
          <w:tcPr>
            <w:tcW w:w="4458" w:type="dxa"/>
            <w:shd w:val="clear" w:color="auto" w:fill="C4EFCE"/>
            <w:hideMark/>
          </w:tcPr>
          <w:p w14:paraId="4312DD38" w14:textId="77777777" w:rsidR="00E040FD" w:rsidRDefault="00740D64">
            <w:pPr>
              <w:pStyle w:val="P68B1DB1-Normal8"/>
              <w:spacing w:after="0" w:line="240" w:lineRule="auto"/>
              <w:jc w:val="both"/>
              <w:rPr>
                <w:rFonts w:eastAsia="Calibri" w:cs="Calibri"/>
                <w:noProof/>
              </w:rPr>
            </w:pPr>
            <w:r>
              <w:rPr>
                <w:noProof/>
              </w:rPr>
              <w:t xml:space="preserve">Slutförande av uppgraderingar av kritisk digital infrastruktur: i) 60 % av genomförandet av ytterligare kapacitet inom det nationella nätverket för inre säkerhet, inbegripet hög databehandlingskapacitet, motståndskraft och säkerhet: </w:t>
            </w:r>
          </w:p>
          <w:p w14:paraId="44F9C278" w14:textId="4B066DDA" w:rsidR="00E040FD" w:rsidRDefault="00740D64">
            <w:pPr>
              <w:pStyle w:val="P68B1DB1-Normal8"/>
              <w:spacing w:after="0" w:line="240" w:lineRule="auto"/>
              <w:jc w:val="both"/>
              <w:rPr>
                <w:rFonts w:eastAsia="Times New Roman" w:cs="Calibri"/>
                <w:noProof/>
              </w:rPr>
            </w:pPr>
            <w:r>
              <w:rPr>
                <w:noProof/>
              </w:rPr>
              <w:t>II) 55 % av genomförandet av hela den territoriella täckningen, kapaciteten och uppsägningarna inom det statliga nödnätet för kommunikation.</w:t>
            </w:r>
          </w:p>
        </w:tc>
      </w:tr>
      <w:tr w:rsidR="00E040FD" w14:paraId="3F8BAA6B" w14:textId="77777777">
        <w:trPr>
          <w:trHeight w:val="290"/>
        </w:trPr>
        <w:tc>
          <w:tcPr>
            <w:tcW w:w="1082" w:type="dxa"/>
            <w:shd w:val="clear" w:color="auto" w:fill="C4EFCE"/>
            <w:vAlign w:val="center"/>
            <w:hideMark/>
          </w:tcPr>
          <w:p w14:paraId="60B7CB28" w14:textId="77777777" w:rsidR="00E040FD" w:rsidRDefault="00740D64">
            <w:pPr>
              <w:pStyle w:val="P68B1DB1-Normal7"/>
              <w:spacing w:after="0" w:line="240" w:lineRule="auto"/>
              <w:jc w:val="center"/>
              <w:rPr>
                <w:rFonts w:eastAsia="Times New Roman" w:cs="Calibri"/>
                <w:noProof/>
              </w:rPr>
            </w:pPr>
            <w:r>
              <w:rPr>
                <w:noProof/>
              </w:rPr>
              <w:t>19.13</w:t>
            </w:r>
          </w:p>
        </w:tc>
        <w:tc>
          <w:tcPr>
            <w:tcW w:w="1211" w:type="dxa"/>
            <w:shd w:val="clear" w:color="auto" w:fill="C4EFCE"/>
            <w:noWrap/>
            <w:vAlign w:val="center"/>
            <w:hideMark/>
          </w:tcPr>
          <w:p w14:paraId="05F9B74B" w14:textId="77777777" w:rsidR="00E040FD" w:rsidRDefault="00740D64">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57F97217" w14:textId="77777777"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179ABEE4" w14:textId="77777777" w:rsidR="00E040FD" w:rsidRDefault="00740D64">
            <w:pPr>
              <w:pStyle w:val="P68B1DB1-Normal8"/>
              <w:spacing w:after="0" w:line="240" w:lineRule="auto"/>
              <w:jc w:val="center"/>
              <w:rPr>
                <w:rFonts w:eastAsia="Times New Roman" w:cs="Calibri"/>
                <w:noProof/>
              </w:rPr>
            </w:pPr>
            <w:r>
              <w:rPr>
                <w:noProof/>
              </w:rPr>
              <w:t xml:space="preserve">Slutförande av uppgraderingar av kritisk digital infrastruktur </w:t>
            </w:r>
          </w:p>
        </w:tc>
        <w:tc>
          <w:tcPr>
            <w:tcW w:w="1343" w:type="dxa"/>
            <w:shd w:val="clear" w:color="auto" w:fill="C4EFCE"/>
            <w:noWrap/>
            <w:vAlign w:val="center"/>
            <w:hideMark/>
          </w:tcPr>
          <w:p w14:paraId="2699DED6" w14:textId="77777777" w:rsidR="00E040FD" w:rsidRDefault="00740D64">
            <w:pPr>
              <w:pStyle w:val="P68B1DB1-Normal8"/>
              <w:spacing w:after="0" w:line="240" w:lineRule="auto"/>
              <w:jc w:val="center"/>
              <w:rPr>
                <w:rFonts w:eastAsia="Times New Roman" w:cs="Calibri"/>
                <w:noProof/>
              </w:rPr>
            </w:pPr>
            <w:r>
              <w:rPr>
                <w:noProof/>
              </w:rPr>
              <w:t>Slutförande av uppgraderingar av det nationella nätverket för inre säkerhet och av det statliga nödnätet för kommunikation</w:t>
            </w:r>
          </w:p>
        </w:tc>
        <w:tc>
          <w:tcPr>
            <w:tcW w:w="1134" w:type="dxa"/>
            <w:shd w:val="clear" w:color="auto" w:fill="C4EFCE"/>
            <w:noWrap/>
            <w:vAlign w:val="center"/>
            <w:hideMark/>
          </w:tcPr>
          <w:p w14:paraId="78067F72" w14:textId="77777777" w:rsidR="00E040FD" w:rsidRDefault="00740D64">
            <w:pPr>
              <w:pStyle w:val="P68B1DB1-Normal8"/>
              <w:spacing w:after="0" w:line="240" w:lineRule="auto"/>
              <w:rPr>
                <w:rFonts w:eastAsia="Times New Roman" w:cs="Calibri"/>
                <w:noProof/>
              </w:rPr>
            </w:pPr>
            <w:r>
              <w:rPr>
                <w:noProof/>
              </w:rPr>
              <w:t> </w:t>
            </w:r>
          </w:p>
        </w:tc>
        <w:tc>
          <w:tcPr>
            <w:tcW w:w="947" w:type="dxa"/>
            <w:shd w:val="clear" w:color="auto" w:fill="C4EFCE"/>
            <w:noWrap/>
            <w:vAlign w:val="center"/>
            <w:hideMark/>
          </w:tcPr>
          <w:p w14:paraId="2C543219" w14:textId="77777777" w:rsidR="00E040FD" w:rsidRDefault="00740D64">
            <w:pPr>
              <w:pStyle w:val="P68B1DB1-Normal8"/>
              <w:spacing w:after="0" w:line="240" w:lineRule="auto"/>
              <w:rPr>
                <w:rFonts w:eastAsia="Times New Roman" w:cs="Calibri"/>
                <w:noProof/>
              </w:rPr>
            </w:pPr>
            <w:r>
              <w:rPr>
                <w:noProof/>
              </w:rPr>
              <w:t> </w:t>
            </w:r>
          </w:p>
        </w:tc>
        <w:tc>
          <w:tcPr>
            <w:tcW w:w="682" w:type="dxa"/>
            <w:shd w:val="clear" w:color="auto" w:fill="C4EFCE"/>
            <w:noWrap/>
            <w:vAlign w:val="center"/>
            <w:hideMark/>
          </w:tcPr>
          <w:p w14:paraId="3512C253" w14:textId="77777777" w:rsidR="00E040FD" w:rsidRDefault="00740D64">
            <w:pPr>
              <w:pStyle w:val="P68B1DB1-Normal8"/>
              <w:spacing w:after="0" w:line="240" w:lineRule="auto"/>
              <w:rPr>
                <w:rFonts w:eastAsia="Times New Roman" w:cs="Calibri"/>
                <w:noProof/>
              </w:rPr>
            </w:pPr>
            <w:r>
              <w:rPr>
                <w:noProof/>
              </w:rPr>
              <w:t> </w:t>
            </w:r>
          </w:p>
        </w:tc>
        <w:tc>
          <w:tcPr>
            <w:tcW w:w="550" w:type="dxa"/>
            <w:shd w:val="clear" w:color="auto" w:fill="C4EFCE"/>
            <w:noWrap/>
            <w:vAlign w:val="center"/>
            <w:hideMark/>
          </w:tcPr>
          <w:p w14:paraId="2BB5AA71" w14:textId="77777777" w:rsidR="00E040FD" w:rsidRDefault="00740D64">
            <w:pPr>
              <w:pStyle w:val="P68B1DB1-Normal8"/>
              <w:spacing w:after="0" w:line="240" w:lineRule="auto"/>
              <w:jc w:val="center"/>
              <w:rPr>
                <w:rFonts w:eastAsia="Times New Roman" w:cs="Calibri"/>
                <w:noProof/>
              </w:rPr>
            </w:pPr>
            <w:r>
              <w:rPr>
                <w:noProof/>
              </w:rPr>
              <w:t>KVARTAL 4</w:t>
            </w:r>
          </w:p>
        </w:tc>
        <w:tc>
          <w:tcPr>
            <w:tcW w:w="682" w:type="dxa"/>
            <w:shd w:val="clear" w:color="auto" w:fill="C4EFCE"/>
            <w:noWrap/>
            <w:vAlign w:val="center"/>
            <w:hideMark/>
          </w:tcPr>
          <w:p w14:paraId="7358850B" w14:textId="77777777" w:rsidR="00E040FD" w:rsidRDefault="00740D64">
            <w:pPr>
              <w:pStyle w:val="P68B1DB1-Normal8"/>
              <w:spacing w:after="0" w:line="240" w:lineRule="auto"/>
              <w:jc w:val="right"/>
              <w:rPr>
                <w:rFonts w:eastAsia="Times New Roman" w:cs="Calibri"/>
                <w:noProof/>
              </w:rPr>
            </w:pPr>
            <w:r>
              <w:rPr>
                <w:noProof/>
              </w:rPr>
              <w:t>2025</w:t>
            </w:r>
          </w:p>
        </w:tc>
        <w:tc>
          <w:tcPr>
            <w:tcW w:w="4458" w:type="dxa"/>
            <w:shd w:val="clear" w:color="auto" w:fill="C4EFCE"/>
            <w:vAlign w:val="center"/>
            <w:hideMark/>
          </w:tcPr>
          <w:p w14:paraId="3FAC7FB6" w14:textId="77777777" w:rsidR="00E040FD" w:rsidRDefault="00740D64">
            <w:pPr>
              <w:pStyle w:val="P68B1DB1-Normal8"/>
              <w:spacing w:after="0" w:line="240" w:lineRule="auto"/>
              <w:jc w:val="both"/>
              <w:rPr>
                <w:rFonts w:eastAsia="Calibri" w:cs="Calibri"/>
                <w:noProof/>
              </w:rPr>
            </w:pPr>
            <w:r>
              <w:rPr>
                <w:noProof/>
              </w:rPr>
              <w:t xml:space="preserve">Slutförande av uppgraderingar av kritisk digital infrastruktur: i) Införande av ytterligare kapacitet inom det nationella nätverket för inre säkerhet, inbegripet hög databehandlingskapacitet, motståndskraft och säkerhet: </w:t>
            </w:r>
          </w:p>
          <w:p w14:paraId="4A3AF4F0" w14:textId="77777777" w:rsidR="00E040FD" w:rsidRDefault="00740D64">
            <w:pPr>
              <w:pStyle w:val="P68B1DB1-Normal8"/>
              <w:spacing w:after="0" w:line="240" w:lineRule="auto"/>
              <w:jc w:val="both"/>
              <w:rPr>
                <w:rFonts w:eastAsia="Calibri" w:cs="Calibri"/>
                <w:noProof/>
              </w:rPr>
            </w:pPr>
            <w:r>
              <w:rPr>
                <w:noProof/>
              </w:rPr>
              <w:t xml:space="preserve">II) Genomförande av nya tekniska arkitekturer, system och verktyg med möjlighet till smart automatisering och sofistikering </w:t>
            </w:r>
          </w:p>
          <w:p w14:paraId="25F4E897" w14:textId="455BEF95" w:rsidR="00E040FD" w:rsidRDefault="00740D64">
            <w:pPr>
              <w:pStyle w:val="P68B1DB1-Normal8"/>
              <w:spacing w:after="0" w:line="240" w:lineRule="auto"/>
              <w:jc w:val="both"/>
              <w:rPr>
                <w:rFonts w:eastAsia="Times New Roman" w:cs="Calibri"/>
                <w:noProof/>
              </w:rPr>
            </w:pPr>
            <w:r>
              <w:rPr>
                <w:noProof/>
              </w:rPr>
              <w:t>III) Statligt nätverk för nödsituationer: uppnående av full geografisk täckning och förbättring av dess kapacitet och uppsägningar</w:t>
            </w:r>
          </w:p>
        </w:tc>
      </w:tr>
      <w:tr w:rsidR="00E040FD" w14:paraId="0A8D9375" w14:textId="77777777">
        <w:trPr>
          <w:trHeight w:val="290"/>
        </w:trPr>
        <w:tc>
          <w:tcPr>
            <w:tcW w:w="1082" w:type="dxa"/>
            <w:shd w:val="clear" w:color="auto" w:fill="C4EFCE"/>
            <w:vAlign w:val="center"/>
            <w:hideMark/>
          </w:tcPr>
          <w:p w14:paraId="59CF7E22" w14:textId="77777777" w:rsidR="00E040FD" w:rsidRDefault="00740D64">
            <w:pPr>
              <w:pStyle w:val="P68B1DB1-Normal7"/>
              <w:spacing w:after="0" w:line="240" w:lineRule="auto"/>
              <w:jc w:val="center"/>
              <w:rPr>
                <w:rFonts w:eastAsia="Times New Roman" w:cs="Calibri"/>
                <w:noProof/>
              </w:rPr>
            </w:pPr>
            <w:r>
              <w:rPr>
                <w:noProof/>
              </w:rPr>
              <w:t>19.14</w:t>
            </w:r>
          </w:p>
        </w:tc>
        <w:tc>
          <w:tcPr>
            <w:tcW w:w="1211" w:type="dxa"/>
            <w:shd w:val="clear" w:color="auto" w:fill="C4EFCE"/>
            <w:noWrap/>
            <w:vAlign w:val="center"/>
            <w:hideMark/>
          </w:tcPr>
          <w:p w14:paraId="0826B3A0" w14:textId="77777777" w:rsidR="00E040FD" w:rsidRDefault="00740D64">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4FC5A95C" w14:textId="77777777"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6CFF1D03" w14:textId="77777777" w:rsidR="00E040FD" w:rsidRDefault="00740D64">
            <w:pPr>
              <w:pStyle w:val="P68B1DB1-Normal8"/>
              <w:spacing w:after="0" w:line="240" w:lineRule="auto"/>
              <w:jc w:val="center"/>
              <w:rPr>
                <w:rFonts w:eastAsia="Times New Roman" w:cs="Calibri"/>
                <w:noProof/>
              </w:rPr>
            </w:pPr>
            <w:r>
              <w:rPr>
                <w:noProof/>
              </w:rPr>
              <w:t>Uppgradering av it-systemet för säkerhetsstyrkor och säkerhetstjänster</w:t>
            </w:r>
          </w:p>
        </w:tc>
        <w:tc>
          <w:tcPr>
            <w:tcW w:w="1343" w:type="dxa"/>
            <w:shd w:val="clear" w:color="auto" w:fill="C4EFCE"/>
            <w:noWrap/>
            <w:vAlign w:val="center"/>
            <w:hideMark/>
          </w:tcPr>
          <w:p w14:paraId="12090031" w14:textId="77777777" w:rsidR="00E040FD" w:rsidRDefault="00740D64">
            <w:pPr>
              <w:pStyle w:val="P68B1DB1-Normal8"/>
              <w:spacing w:after="0" w:line="240" w:lineRule="auto"/>
              <w:jc w:val="center"/>
              <w:rPr>
                <w:rFonts w:eastAsia="Times New Roman" w:cs="Calibri"/>
                <w:noProof/>
              </w:rPr>
            </w:pPr>
            <w:r>
              <w:rPr>
                <w:noProof/>
              </w:rPr>
              <w:t>Uppgradering av säkerhetsstyrkornas och säkerhetsavdelningarnas it-system</w:t>
            </w:r>
          </w:p>
        </w:tc>
        <w:tc>
          <w:tcPr>
            <w:tcW w:w="1134" w:type="dxa"/>
            <w:shd w:val="clear" w:color="auto" w:fill="C4EFCE"/>
            <w:noWrap/>
            <w:vAlign w:val="center"/>
            <w:hideMark/>
          </w:tcPr>
          <w:p w14:paraId="7E591444" w14:textId="77777777" w:rsidR="00E040FD" w:rsidRDefault="00740D64">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3A6B64F2" w14:textId="77777777" w:rsidR="00E040FD" w:rsidRDefault="00740D64">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450C75A6" w14:textId="77777777" w:rsidR="00E040FD" w:rsidRDefault="00740D64">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0A0A4410" w14:textId="77777777" w:rsidR="00E040FD" w:rsidRDefault="00740D64">
            <w:pPr>
              <w:pStyle w:val="P68B1DB1-Normal8"/>
              <w:spacing w:after="0" w:line="240" w:lineRule="auto"/>
              <w:jc w:val="center"/>
              <w:rPr>
                <w:rFonts w:eastAsia="Times New Roman" w:cs="Calibri"/>
                <w:noProof/>
              </w:rPr>
            </w:pPr>
            <w:r>
              <w:rPr>
                <w:noProof/>
              </w:rPr>
              <w:t xml:space="preserve">KVARTAL 4 </w:t>
            </w:r>
          </w:p>
        </w:tc>
        <w:tc>
          <w:tcPr>
            <w:tcW w:w="682" w:type="dxa"/>
            <w:shd w:val="clear" w:color="auto" w:fill="C4EFCE"/>
            <w:noWrap/>
            <w:vAlign w:val="center"/>
            <w:hideMark/>
          </w:tcPr>
          <w:p w14:paraId="46E1DCB9" w14:textId="77777777" w:rsidR="00E040FD" w:rsidRDefault="00740D64">
            <w:pPr>
              <w:pStyle w:val="P68B1DB1-Normal8"/>
              <w:spacing w:after="0" w:line="240" w:lineRule="auto"/>
              <w:jc w:val="center"/>
              <w:rPr>
                <w:rFonts w:eastAsia="Times New Roman" w:cs="Calibri"/>
                <w:noProof/>
              </w:rPr>
            </w:pPr>
            <w:r>
              <w:rPr>
                <w:noProof/>
              </w:rPr>
              <w:t>2024</w:t>
            </w:r>
          </w:p>
        </w:tc>
        <w:tc>
          <w:tcPr>
            <w:tcW w:w="4458" w:type="dxa"/>
            <w:shd w:val="clear" w:color="auto" w:fill="C4EFCE"/>
            <w:vAlign w:val="center"/>
            <w:hideMark/>
          </w:tcPr>
          <w:p w14:paraId="73F537E7" w14:textId="77777777" w:rsidR="00E040FD" w:rsidRDefault="00740D64">
            <w:pPr>
              <w:pStyle w:val="P68B1DB1-Normal8"/>
              <w:spacing w:after="0" w:line="240" w:lineRule="auto"/>
              <w:jc w:val="both"/>
              <w:rPr>
                <w:rFonts w:eastAsia="Times New Roman" w:cs="Calibri"/>
                <w:noProof/>
              </w:rPr>
            </w:pPr>
            <w:r>
              <w:rPr>
                <w:noProof/>
              </w:rPr>
              <w:t xml:space="preserve">Uppgradering av säkerhetsstyrkornas och säkerhetsavdelningarnas it-system: </w:t>
            </w:r>
          </w:p>
          <w:p w14:paraId="61DD86E9" w14:textId="0DD5A6A7" w:rsidR="00E040FD" w:rsidRDefault="00740D64">
            <w:pPr>
              <w:pStyle w:val="P68B1DB1-Normal8"/>
              <w:spacing w:after="0" w:line="240" w:lineRule="auto"/>
              <w:jc w:val="both"/>
              <w:rPr>
                <w:rFonts w:eastAsia="Times New Roman" w:cs="Calibri"/>
                <w:noProof/>
              </w:rPr>
            </w:pPr>
            <w:r>
              <w:rPr>
                <w:noProof/>
              </w:rPr>
              <w:t>a) Idrifttagande av de förnyade it-systemen för SSEF (gränsförvaltning och gränskontroll, polissamarbete och rättsligt samarbete och det gemensamma europeiska asylsystemet) b) Gemensamma it-tjänster inom säkerhetsstyrkor och säkerhetstjänster</w:t>
            </w:r>
          </w:p>
        </w:tc>
      </w:tr>
      <w:tr w:rsidR="00E040FD" w14:paraId="09BA9EDE" w14:textId="77777777">
        <w:trPr>
          <w:trHeight w:val="640"/>
        </w:trPr>
        <w:tc>
          <w:tcPr>
            <w:tcW w:w="1082" w:type="dxa"/>
            <w:shd w:val="clear" w:color="auto" w:fill="C4EFCE"/>
            <w:vAlign w:val="center"/>
            <w:hideMark/>
          </w:tcPr>
          <w:p w14:paraId="6AD2F9D4" w14:textId="77777777" w:rsidR="00E040FD" w:rsidRDefault="00740D64">
            <w:pPr>
              <w:pStyle w:val="P68B1DB1-Normal7"/>
              <w:spacing w:after="0" w:line="240" w:lineRule="auto"/>
              <w:jc w:val="center"/>
              <w:rPr>
                <w:rFonts w:eastAsia="Times New Roman" w:cs="Calibri"/>
                <w:noProof/>
              </w:rPr>
            </w:pPr>
            <w:r>
              <w:rPr>
                <w:noProof/>
              </w:rPr>
              <w:t>19.15</w:t>
            </w:r>
          </w:p>
        </w:tc>
        <w:tc>
          <w:tcPr>
            <w:tcW w:w="1211" w:type="dxa"/>
            <w:shd w:val="clear" w:color="auto" w:fill="C4EFCE"/>
            <w:noWrap/>
            <w:vAlign w:val="center"/>
            <w:hideMark/>
          </w:tcPr>
          <w:p w14:paraId="3AC7180D" w14:textId="77777777" w:rsidR="00E040FD" w:rsidRDefault="00740D64">
            <w:pPr>
              <w:pStyle w:val="P68B1DB1-Normal8"/>
              <w:spacing w:after="0" w:line="240" w:lineRule="auto"/>
              <w:jc w:val="center"/>
              <w:rPr>
                <w:rFonts w:eastAsia="Times New Roman" w:cs="Calibri"/>
                <w:noProof/>
              </w:rPr>
            </w:pPr>
            <w:r>
              <w:rPr>
                <w:noProof/>
              </w:rPr>
              <w:t>TD-C19-i04</w:t>
            </w:r>
          </w:p>
        </w:tc>
        <w:tc>
          <w:tcPr>
            <w:tcW w:w="1080" w:type="dxa"/>
            <w:shd w:val="clear" w:color="auto" w:fill="C4EFCE"/>
            <w:noWrap/>
            <w:vAlign w:val="center"/>
            <w:hideMark/>
          </w:tcPr>
          <w:p w14:paraId="02F28311" w14:textId="77777777"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2C9ADC93" w14:textId="77777777" w:rsidR="00E040FD" w:rsidRDefault="00740D64">
            <w:pPr>
              <w:pStyle w:val="P68B1DB1-Normal8"/>
              <w:spacing w:after="0" w:line="240" w:lineRule="auto"/>
              <w:jc w:val="center"/>
              <w:rPr>
                <w:rFonts w:eastAsia="Times New Roman" w:cs="Calibri"/>
                <w:noProof/>
              </w:rPr>
            </w:pPr>
            <w:r>
              <w:rPr>
                <w:noProof/>
              </w:rPr>
              <w:t>Stärka regeringens centrum för förvaltning av it-nät (RING)</w:t>
            </w:r>
          </w:p>
        </w:tc>
        <w:tc>
          <w:tcPr>
            <w:tcW w:w="1343" w:type="dxa"/>
            <w:shd w:val="clear" w:color="auto" w:fill="C4EFCE"/>
            <w:noWrap/>
            <w:vAlign w:val="center"/>
            <w:hideMark/>
          </w:tcPr>
          <w:p w14:paraId="4C0CAC20" w14:textId="77777777" w:rsidR="00E040FD" w:rsidRDefault="00740D64">
            <w:pPr>
              <w:pStyle w:val="P68B1DB1-Normal8"/>
              <w:spacing w:after="0" w:line="240" w:lineRule="auto"/>
              <w:jc w:val="center"/>
              <w:rPr>
                <w:rFonts w:eastAsia="Times New Roman" w:cs="Calibri"/>
                <w:noProof/>
              </w:rPr>
            </w:pPr>
            <w:r>
              <w:rPr>
                <w:noProof/>
              </w:rPr>
              <w:t xml:space="preserve"> Stärka regeringens centrum för förvaltning av it-nät (RING) </w:t>
            </w:r>
          </w:p>
        </w:tc>
        <w:tc>
          <w:tcPr>
            <w:tcW w:w="1134" w:type="dxa"/>
            <w:shd w:val="clear" w:color="auto" w:fill="C4EFCE"/>
            <w:noWrap/>
            <w:vAlign w:val="center"/>
            <w:hideMark/>
          </w:tcPr>
          <w:p w14:paraId="1D34255D" w14:textId="77777777" w:rsidR="00E040FD" w:rsidRDefault="00740D64">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748A1D2D" w14:textId="77777777" w:rsidR="00E040FD" w:rsidRDefault="00740D64">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718E309F" w14:textId="77777777" w:rsidR="00E040FD" w:rsidRDefault="00740D64">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76EC258A" w14:textId="77777777" w:rsidR="00E040FD" w:rsidRDefault="00740D64">
            <w:pPr>
              <w:pStyle w:val="P68B1DB1-Normal8"/>
              <w:spacing w:after="0" w:line="240" w:lineRule="auto"/>
              <w:jc w:val="center"/>
              <w:rPr>
                <w:rFonts w:eastAsia="Times New Roman" w:cs="Calibri"/>
                <w:noProof/>
              </w:rPr>
            </w:pPr>
            <w:r>
              <w:rPr>
                <w:noProof/>
              </w:rPr>
              <w:t>KVARTAL 1</w:t>
            </w:r>
          </w:p>
        </w:tc>
        <w:tc>
          <w:tcPr>
            <w:tcW w:w="682" w:type="dxa"/>
            <w:shd w:val="clear" w:color="auto" w:fill="C4EFCE"/>
            <w:noWrap/>
            <w:vAlign w:val="center"/>
            <w:hideMark/>
          </w:tcPr>
          <w:p w14:paraId="5C6920FB" w14:textId="77777777" w:rsidR="00E040FD" w:rsidRDefault="00740D64">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48233525" w14:textId="77777777" w:rsidR="00E040FD" w:rsidRDefault="00740D64">
            <w:pPr>
              <w:pStyle w:val="P68B1DB1-Normal8"/>
              <w:spacing w:after="0" w:line="240" w:lineRule="auto"/>
              <w:jc w:val="both"/>
              <w:rPr>
                <w:rFonts w:eastAsia="Times New Roman" w:cs="Calibri"/>
                <w:noProof/>
              </w:rPr>
            </w:pPr>
            <w:r>
              <w:rPr>
                <w:noProof/>
              </w:rPr>
              <w:t xml:space="preserve">Syftet är att stärka RING genom att uppgradera de fem kritiska tekniska infrastrukturerna inom RING (brandväggsskydd, databehandling, lagring och säkerhetskopiering. IP-telefoni. videokonferenser. och tillämpningsekosystem) och moln) och uppgradering av utvecklingen av de viktigaste informationssystemen </w:t>
            </w:r>
          </w:p>
        </w:tc>
      </w:tr>
      <w:tr w:rsidR="00E040FD" w14:paraId="0767329D" w14:textId="77777777">
        <w:trPr>
          <w:trHeight w:val="953"/>
        </w:trPr>
        <w:tc>
          <w:tcPr>
            <w:tcW w:w="1082" w:type="dxa"/>
            <w:shd w:val="clear" w:color="auto" w:fill="C4EFCE"/>
            <w:vAlign w:val="center"/>
          </w:tcPr>
          <w:p w14:paraId="18FB6E3B" w14:textId="16CADAA5" w:rsidR="00E040FD" w:rsidRDefault="00740D64">
            <w:pPr>
              <w:pStyle w:val="P68B1DB1-Normal7"/>
              <w:spacing w:after="0" w:line="240" w:lineRule="auto"/>
              <w:jc w:val="center"/>
              <w:rPr>
                <w:rFonts w:eastAsia="Times New Roman" w:cs="Calibri"/>
                <w:noProof/>
              </w:rPr>
            </w:pPr>
            <w:r>
              <w:rPr>
                <w:noProof/>
              </w:rPr>
              <w:t>19.28</w:t>
            </w:r>
          </w:p>
        </w:tc>
        <w:tc>
          <w:tcPr>
            <w:tcW w:w="1211" w:type="dxa"/>
            <w:shd w:val="clear" w:color="auto" w:fill="C4EFCE"/>
            <w:noWrap/>
            <w:vAlign w:val="center"/>
          </w:tcPr>
          <w:p w14:paraId="00C07FA4" w14:textId="7F329DC4" w:rsidR="00E040FD" w:rsidRDefault="00740D64">
            <w:pPr>
              <w:pStyle w:val="P68B1DB1-Normal8"/>
              <w:spacing w:after="0" w:line="240" w:lineRule="auto"/>
              <w:jc w:val="center"/>
              <w:rPr>
                <w:rFonts w:eastAsia="Times New Roman" w:cs="Calibri"/>
                <w:noProof/>
              </w:rPr>
            </w:pPr>
            <w:r>
              <w:rPr>
                <w:noProof/>
              </w:rPr>
              <w:t>TD-C19-i05-RAM</w:t>
            </w:r>
          </w:p>
        </w:tc>
        <w:tc>
          <w:tcPr>
            <w:tcW w:w="1080" w:type="dxa"/>
            <w:shd w:val="clear" w:color="auto" w:fill="C4EFCE"/>
            <w:noWrap/>
            <w:vAlign w:val="center"/>
          </w:tcPr>
          <w:p w14:paraId="73ED5E83" w14:textId="53DB6063"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744FC0AC" w14:textId="7F580C3A" w:rsidR="00E040FD" w:rsidRDefault="00740D64">
            <w:pPr>
              <w:pStyle w:val="P68B1DB1-Normal8"/>
              <w:spacing w:after="0" w:line="240" w:lineRule="auto"/>
              <w:jc w:val="center"/>
              <w:rPr>
                <w:rFonts w:eastAsia="Times New Roman" w:cs="Calibri"/>
                <w:noProof/>
              </w:rPr>
            </w:pPr>
            <w:r>
              <w:rPr>
                <w:noProof/>
              </w:rPr>
              <w:t xml:space="preserve">Funktionell prototyp för en centraliserad datahanteringslösning </w:t>
            </w:r>
          </w:p>
        </w:tc>
        <w:tc>
          <w:tcPr>
            <w:tcW w:w="1343" w:type="dxa"/>
            <w:shd w:val="clear" w:color="auto" w:fill="C4EFCE"/>
            <w:noWrap/>
            <w:vAlign w:val="center"/>
          </w:tcPr>
          <w:p w14:paraId="329F803E" w14:textId="193C5F33" w:rsidR="00E040FD" w:rsidRDefault="00740D64">
            <w:pPr>
              <w:pStyle w:val="P68B1DB1-Normal8"/>
              <w:spacing w:after="0" w:line="240" w:lineRule="auto"/>
              <w:jc w:val="center"/>
              <w:rPr>
                <w:rFonts w:eastAsia="Times New Roman" w:cs="Calibri"/>
                <w:noProof/>
              </w:rPr>
            </w:pPr>
            <w:r>
              <w:rPr>
                <w:noProof/>
              </w:rPr>
              <w:t>Funktionell prototyp i drift</w:t>
            </w:r>
          </w:p>
        </w:tc>
        <w:tc>
          <w:tcPr>
            <w:tcW w:w="1134" w:type="dxa"/>
            <w:shd w:val="clear" w:color="auto" w:fill="C4EFCE"/>
            <w:noWrap/>
            <w:vAlign w:val="center"/>
          </w:tcPr>
          <w:p w14:paraId="2C07AACF" w14:textId="77777777" w:rsidR="00E040FD" w:rsidRDefault="00E040FD">
            <w:pPr>
              <w:spacing w:after="0" w:line="240" w:lineRule="auto"/>
              <w:jc w:val="center"/>
              <w:rPr>
                <w:rFonts w:ascii="Calibri" w:eastAsia="Times New Roman" w:hAnsi="Calibri" w:cs="Calibri"/>
                <w:noProof/>
                <w:sz w:val="16"/>
              </w:rPr>
            </w:pPr>
          </w:p>
        </w:tc>
        <w:tc>
          <w:tcPr>
            <w:tcW w:w="947" w:type="dxa"/>
            <w:shd w:val="clear" w:color="auto" w:fill="C4EFCE"/>
            <w:noWrap/>
            <w:vAlign w:val="center"/>
          </w:tcPr>
          <w:p w14:paraId="3D308A56" w14:textId="77777777" w:rsidR="00E040FD" w:rsidRDefault="00E040FD">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0A37D57E" w14:textId="77777777" w:rsidR="00E040FD" w:rsidRDefault="00E040FD">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1B060ADB" w14:textId="3C1CE63E" w:rsidR="00E040FD" w:rsidRDefault="00740D64">
            <w:pPr>
              <w:pStyle w:val="P68B1DB1-Normal8"/>
              <w:spacing w:after="0" w:line="240" w:lineRule="auto"/>
              <w:jc w:val="center"/>
              <w:rPr>
                <w:rFonts w:eastAsia="Times New Roman" w:cs="Calibri"/>
                <w:noProof/>
              </w:rPr>
            </w:pPr>
            <w:r>
              <w:rPr>
                <w:noProof/>
              </w:rPr>
              <w:t>KVARTAL 4</w:t>
            </w:r>
          </w:p>
        </w:tc>
        <w:tc>
          <w:tcPr>
            <w:tcW w:w="682" w:type="dxa"/>
            <w:shd w:val="clear" w:color="auto" w:fill="C4EFCE"/>
            <w:noWrap/>
            <w:vAlign w:val="center"/>
          </w:tcPr>
          <w:p w14:paraId="51DB435B" w14:textId="3BB9B3A3" w:rsidR="00E040FD" w:rsidRDefault="00740D64">
            <w:pPr>
              <w:pStyle w:val="P68B1DB1-Normal8"/>
              <w:spacing w:after="0" w:line="240" w:lineRule="auto"/>
              <w:jc w:val="center"/>
              <w:rPr>
                <w:rFonts w:eastAsia="Times New Roman" w:cs="Calibri"/>
                <w:noProof/>
              </w:rPr>
            </w:pPr>
            <w:r>
              <w:rPr>
                <w:noProof/>
              </w:rPr>
              <w:t>2024</w:t>
            </w:r>
          </w:p>
        </w:tc>
        <w:tc>
          <w:tcPr>
            <w:tcW w:w="4458" w:type="dxa"/>
            <w:shd w:val="clear" w:color="auto" w:fill="C4EFCE"/>
            <w:vAlign w:val="center"/>
          </w:tcPr>
          <w:p w14:paraId="5E2D4942" w14:textId="77777777" w:rsidR="00E040FD" w:rsidRDefault="00740D64">
            <w:pPr>
              <w:pStyle w:val="P68B1DB1-Normal8"/>
              <w:tabs>
                <w:tab w:val="left" w:pos="710"/>
                <w:tab w:val="right" w:pos="1963"/>
              </w:tabs>
              <w:spacing w:after="0" w:line="240" w:lineRule="auto"/>
              <w:jc w:val="both"/>
              <w:rPr>
                <w:rFonts w:eastAsia="Times New Roman" w:cs="Calibri"/>
                <w:noProof/>
              </w:rPr>
            </w:pPr>
            <w:r>
              <w:rPr>
                <w:noProof/>
              </w:rPr>
              <w:t>Lansering av den funktionella prototypen. Prototypen ska kunna simulera följande funktioner:</w:t>
            </w:r>
          </w:p>
          <w:p w14:paraId="0A60490A" w14:textId="77777777" w:rsidR="00E040FD" w:rsidRDefault="00740D64">
            <w:pPr>
              <w:pStyle w:val="P68B1DB1-Normal8"/>
              <w:tabs>
                <w:tab w:val="left" w:pos="710"/>
                <w:tab w:val="right" w:pos="1963"/>
              </w:tabs>
              <w:spacing w:after="0" w:line="240" w:lineRule="auto"/>
              <w:jc w:val="both"/>
              <w:rPr>
                <w:rFonts w:eastAsia="Times New Roman" w:cs="Calibri"/>
                <w:noProof/>
              </w:rPr>
            </w:pPr>
            <w:r>
              <w:rPr>
                <w:noProof/>
              </w:rPr>
              <w:t>— Skapa verktyg för att identifiera ineffektivitet, bedrägerier och andra riskområden med AI-algoritmer,</w:t>
            </w:r>
          </w:p>
          <w:p w14:paraId="2ADEB2DD" w14:textId="77777777" w:rsidR="00E040FD" w:rsidRDefault="00740D64">
            <w:pPr>
              <w:pStyle w:val="P68B1DB1-Normal8"/>
              <w:spacing w:after="0" w:line="240" w:lineRule="auto"/>
              <w:jc w:val="both"/>
              <w:rPr>
                <w:rFonts w:eastAsia="Times New Roman" w:cs="Calibri"/>
                <w:noProof/>
              </w:rPr>
            </w:pPr>
            <w:r>
              <w:rPr>
                <w:noProof/>
              </w:rPr>
              <w:t xml:space="preserve">— Göra AI-tjänster tillgängliga för olika områden inom den offentliga förvaltningen. </w:t>
            </w:r>
          </w:p>
          <w:p w14:paraId="63B3E50E" w14:textId="567A0FC0" w:rsidR="00E040FD" w:rsidRDefault="00740D64">
            <w:pPr>
              <w:pStyle w:val="P68B1DB1-Normal8"/>
              <w:spacing w:after="0" w:line="240" w:lineRule="auto"/>
              <w:jc w:val="both"/>
              <w:rPr>
                <w:rFonts w:eastAsia="Times New Roman" w:cs="Calibri"/>
                <w:noProof/>
              </w:rPr>
            </w:pPr>
            <w:r>
              <w:rPr>
                <w:noProof/>
              </w:rPr>
              <w:t>— Automatisera beslutsfattandet inom olika områden av den offentliga förvaltningen.</w:t>
            </w:r>
          </w:p>
        </w:tc>
      </w:tr>
      <w:tr w:rsidR="00E040FD" w14:paraId="5CB7E1C4" w14:textId="77777777">
        <w:trPr>
          <w:trHeight w:val="953"/>
        </w:trPr>
        <w:tc>
          <w:tcPr>
            <w:tcW w:w="1082" w:type="dxa"/>
            <w:shd w:val="clear" w:color="auto" w:fill="C4EFCE"/>
            <w:vAlign w:val="center"/>
            <w:hideMark/>
          </w:tcPr>
          <w:p w14:paraId="576D56A1" w14:textId="77777777" w:rsidR="00E040FD" w:rsidRDefault="00740D64">
            <w:pPr>
              <w:pStyle w:val="P68B1DB1-Normal7"/>
              <w:spacing w:after="0" w:line="240" w:lineRule="auto"/>
              <w:jc w:val="center"/>
              <w:rPr>
                <w:rFonts w:eastAsia="Times New Roman" w:cs="Calibri"/>
                <w:noProof/>
              </w:rPr>
            </w:pPr>
            <w:r>
              <w:rPr>
                <w:noProof/>
              </w:rPr>
              <w:t>19.16</w:t>
            </w:r>
          </w:p>
        </w:tc>
        <w:tc>
          <w:tcPr>
            <w:tcW w:w="1211" w:type="dxa"/>
            <w:shd w:val="clear" w:color="auto" w:fill="C4EFCE"/>
            <w:noWrap/>
            <w:vAlign w:val="center"/>
            <w:hideMark/>
          </w:tcPr>
          <w:p w14:paraId="18A1503B" w14:textId="77777777" w:rsidR="00E040FD" w:rsidRDefault="00740D64">
            <w:pPr>
              <w:pStyle w:val="P68B1DB1-Normal8"/>
              <w:spacing w:after="0" w:line="240" w:lineRule="auto"/>
              <w:jc w:val="center"/>
              <w:rPr>
                <w:rFonts w:eastAsia="Times New Roman" w:cs="Calibri"/>
                <w:noProof/>
              </w:rPr>
            </w:pPr>
            <w:r>
              <w:rPr>
                <w:noProof/>
              </w:rPr>
              <w:t>TD-C19-i05-RAM</w:t>
            </w:r>
          </w:p>
        </w:tc>
        <w:tc>
          <w:tcPr>
            <w:tcW w:w="1080" w:type="dxa"/>
            <w:shd w:val="clear" w:color="auto" w:fill="C4EFCE"/>
            <w:noWrap/>
            <w:vAlign w:val="center"/>
            <w:hideMark/>
          </w:tcPr>
          <w:p w14:paraId="7F8FB6EE" w14:textId="77777777"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4769BDF3" w14:textId="77777777" w:rsidR="00E040FD" w:rsidRDefault="00740D64">
            <w:pPr>
              <w:pStyle w:val="P68B1DB1-Normal8"/>
              <w:spacing w:after="0" w:line="240" w:lineRule="auto"/>
              <w:jc w:val="center"/>
              <w:rPr>
                <w:rFonts w:eastAsia="Times New Roman" w:cs="Calibri"/>
                <w:noProof/>
              </w:rPr>
            </w:pPr>
            <w:r>
              <w:rPr>
                <w:noProof/>
              </w:rPr>
              <w:t>Offentliga tjänster för medborgare, besökare och företag i ARM</w:t>
            </w:r>
          </w:p>
        </w:tc>
        <w:tc>
          <w:tcPr>
            <w:tcW w:w="1343" w:type="dxa"/>
            <w:shd w:val="clear" w:color="auto" w:fill="C4EFCE"/>
            <w:noWrap/>
            <w:vAlign w:val="center"/>
            <w:hideMark/>
          </w:tcPr>
          <w:p w14:paraId="3EA8E5EC" w14:textId="77777777" w:rsidR="00E040FD" w:rsidRDefault="00740D64">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708975FC" w14:textId="77777777" w:rsidR="00E040FD" w:rsidRDefault="00740D64">
            <w:pPr>
              <w:pStyle w:val="P68B1DB1-Normal8"/>
              <w:spacing w:after="0" w:line="240" w:lineRule="auto"/>
              <w:jc w:val="center"/>
              <w:rPr>
                <w:rFonts w:eastAsia="Times New Roman" w:cs="Calibri"/>
                <w:noProof/>
              </w:rPr>
            </w:pPr>
            <w:r>
              <w:rPr>
                <w:noProof/>
              </w:rPr>
              <w:t>Antal</w:t>
            </w:r>
          </w:p>
        </w:tc>
        <w:tc>
          <w:tcPr>
            <w:tcW w:w="947" w:type="dxa"/>
            <w:shd w:val="clear" w:color="auto" w:fill="C4EFCE"/>
            <w:noWrap/>
            <w:vAlign w:val="center"/>
            <w:hideMark/>
          </w:tcPr>
          <w:p w14:paraId="648029EC" w14:textId="77777777" w:rsidR="00E040FD" w:rsidRDefault="00740D64">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23D539CC" w14:textId="77777777" w:rsidR="00E040FD" w:rsidRDefault="00740D64">
            <w:pPr>
              <w:pStyle w:val="P68B1DB1-Normal8"/>
              <w:spacing w:after="0" w:line="240" w:lineRule="auto"/>
              <w:jc w:val="center"/>
              <w:rPr>
                <w:rFonts w:eastAsia="Times New Roman" w:cs="Calibri"/>
                <w:noProof/>
              </w:rPr>
            </w:pPr>
            <w:r>
              <w:rPr>
                <w:noProof/>
              </w:rPr>
              <w:t>5</w:t>
            </w:r>
          </w:p>
        </w:tc>
        <w:tc>
          <w:tcPr>
            <w:tcW w:w="550" w:type="dxa"/>
            <w:shd w:val="clear" w:color="auto" w:fill="C4EFCE"/>
            <w:noWrap/>
            <w:vAlign w:val="center"/>
            <w:hideMark/>
          </w:tcPr>
          <w:p w14:paraId="461712A3" w14:textId="77777777" w:rsidR="00E040FD" w:rsidRDefault="00740D64">
            <w:pPr>
              <w:pStyle w:val="P68B1DB1-Normal8"/>
              <w:spacing w:after="0" w:line="240" w:lineRule="auto"/>
              <w:jc w:val="center"/>
              <w:rPr>
                <w:rFonts w:eastAsia="Times New Roman" w:cs="Calibri"/>
                <w:noProof/>
              </w:rPr>
            </w:pPr>
            <w:r>
              <w:rPr>
                <w:noProof/>
              </w:rPr>
              <w:t>KVARTAL 2</w:t>
            </w:r>
          </w:p>
        </w:tc>
        <w:tc>
          <w:tcPr>
            <w:tcW w:w="682" w:type="dxa"/>
            <w:shd w:val="clear" w:color="auto" w:fill="C4EFCE"/>
            <w:noWrap/>
            <w:vAlign w:val="center"/>
            <w:hideMark/>
          </w:tcPr>
          <w:p w14:paraId="7E32D4A6" w14:textId="77777777" w:rsidR="00E040FD" w:rsidRDefault="00740D64">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hideMark/>
          </w:tcPr>
          <w:p w14:paraId="7F14D18C" w14:textId="77777777" w:rsidR="00E040FD" w:rsidRDefault="00740D64">
            <w:pPr>
              <w:pStyle w:val="P68B1DB1-Normal8"/>
              <w:spacing w:after="0" w:line="240" w:lineRule="auto"/>
              <w:jc w:val="both"/>
              <w:rPr>
                <w:rFonts w:eastAsia="Times New Roman" w:cs="Calibri"/>
                <w:noProof/>
              </w:rPr>
            </w:pPr>
            <w:r>
              <w:rPr>
                <w:noProof/>
              </w:rPr>
              <w:t>Antal nya förenklade digitaliserade offentliga tjänster som görs tillgängliga för medborgare och företag</w:t>
            </w:r>
          </w:p>
        </w:tc>
      </w:tr>
      <w:tr w:rsidR="00E040FD" w14:paraId="4DDCEA50" w14:textId="77777777">
        <w:trPr>
          <w:trHeight w:val="290"/>
        </w:trPr>
        <w:tc>
          <w:tcPr>
            <w:tcW w:w="1082" w:type="dxa"/>
            <w:shd w:val="clear" w:color="auto" w:fill="C4EFCE"/>
            <w:vAlign w:val="center"/>
            <w:hideMark/>
          </w:tcPr>
          <w:p w14:paraId="155D0A6D" w14:textId="77777777" w:rsidR="00E040FD" w:rsidRDefault="00740D64">
            <w:pPr>
              <w:pStyle w:val="P68B1DB1-Normal7"/>
              <w:spacing w:after="0" w:line="240" w:lineRule="auto"/>
              <w:jc w:val="center"/>
              <w:rPr>
                <w:rFonts w:eastAsia="Times New Roman" w:cs="Calibri"/>
                <w:noProof/>
              </w:rPr>
            </w:pPr>
            <w:r>
              <w:rPr>
                <w:noProof/>
              </w:rPr>
              <w:t>19.17</w:t>
            </w:r>
          </w:p>
        </w:tc>
        <w:tc>
          <w:tcPr>
            <w:tcW w:w="1211" w:type="dxa"/>
            <w:shd w:val="clear" w:color="auto" w:fill="C4EFCE"/>
            <w:noWrap/>
            <w:vAlign w:val="center"/>
            <w:hideMark/>
          </w:tcPr>
          <w:p w14:paraId="2D65B27E" w14:textId="77777777" w:rsidR="00E040FD" w:rsidRDefault="00740D64">
            <w:pPr>
              <w:pStyle w:val="P68B1DB1-Normal8"/>
              <w:spacing w:after="0" w:line="240" w:lineRule="auto"/>
              <w:jc w:val="center"/>
              <w:rPr>
                <w:rFonts w:eastAsia="Times New Roman" w:cs="Calibri"/>
                <w:noProof/>
              </w:rPr>
            </w:pPr>
            <w:r>
              <w:rPr>
                <w:noProof/>
              </w:rPr>
              <w:t>TD-C19-i05-RAM</w:t>
            </w:r>
          </w:p>
        </w:tc>
        <w:tc>
          <w:tcPr>
            <w:tcW w:w="1080" w:type="dxa"/>
            <w:shd w:val="clear" w:color="auto" w:fill="C4EFCE"/>
            <w:noWrap/>
            <w:vAlign w:val="center"/>
            <w:hideMark/>
          </w:tcPr>
          <w:p w14:paraId="317D5CC6" w14:textId="77777777"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315CD8F8" w14:textId="77777777" w:rsidR="00E040FD" w:rsidRDefault="00740D64">
            <w:pPr>
              <w:pStyle w:val="P68B1DB1-Normal8"/>
              <w:spacing w:after="0" w:line="240" w:lineRule="auto"/>
              <w:jc w:val="center"/>
              <w:rPr>
                <w:rFonts w:eastAsia="Times New Roman" w:cs="Calibri"/>
                <w:noProof/>
              </w:rPr>
            </w:pPr>
            <w:r>
              <w:rPr>
                <w:noProof/>
              </w:rPr>
              <w:t>Modernisering av kritisk infrastruktur och datorarkitektur för offentliga tjänster inom ARM</w:t>
            </w:r>
          </w:p>
        </w:tc>
        <w:tc>
          <w:tcPr>
            <w:tcW w:w="1343" w:type="dxa"/>
            <w:shd w:val="clear" w:color="auto" w:fill="C4EFCE"/>
            <w:noWrap/>
            <w:vAlign w:val="center"/>
            <w:hideMark/>
          </w:tcPr>
          <w:p w14:paraId="51FC6F0B" w14:textId="77777777" w:rsidR="00E040FD" w:rsidRDefault="00740D64">
            <w:pPr>
              <w:pStyle w:val="P68B1DB1-Normal8"/>
              <w:spacing w:after="0" w:line="240" w:lineRule="auto"/>
              <w:jc w:val="center"/>
              <w:rPr>
                <w:rFonts w:eastAsia="Times New Roman" w:cs="Calibri"/>
                <w:noProof/>
              </w:rPr>
            </w:pPr>
            <w:r>
              <w:rPr>
                <w:noProof/>
              </w:rPr>
              <w:t>Modernisering av kritisk infrastruktur och datorarkitektur för offentliga tjänster inom ARM</w:t>
            </w:r>
          </w:p>
        </w:tc>
        <w:tc>
          <w:tcPr>
            <w:tcW w:w="1134" w:type="dxa"/>
            <w:shd w:val="clear" w:color="auto" w:fill="C4EFCE"/>
            <w:noWrap/>
            <w:vAlign w:val="center"/>
            <w:hideMark/>
          </w:tcPr>
          <w:p w14:paraId="5C3CE7BD" w14:textId="77777777" w:rsidR="00E040FD" w:rsidRDefault="00740D64">
            <w:pPr>
              <w:pStyle w:val="P68B1DB1-Normal8"/>
              <w:spacing w:after="0" w:line="240" w:lineRule="auto"/>
              <w:rPr>
                <w:rFonts w:eastAsia="Times New Roman" w:cs="Calibri"/>
                <w:noProof/>
              </w:rPr>
            </w:pPr>
            <w:r>
              <w:rPr>
                <w:noProof/>
              </w:rPr>
              <w:t> </w:t>
            </w:r>
          </w:p>
        </w:tc>
        <w:tc>
          <w:tcPr>
            <w:tcW w:w="947" w:type="dxa"/>
            <w:shd w:val="clear" w:color="auto" w:fill="C4EFCE"/>
            <w:noWrap/>
            <w:vAlign w:val="center"/>
            <w:hideMark/>
          </w:tcPr>
          <w:p w14:paraId="27932955" w14:textId="77777777" w:rsidR="00E040FD" w:rsidRDefault="00740D64">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53A57C64" w14:textId="77777777" w:rsidR="00E040FD" w:rsidRDefault="00740D64">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0EA1F25B" w14:textId="77777777" w:rsidR="00E040FD" w:rsidRDefault="00740D64">
            <w:pPr>
              <w:pStyle w:val="P68B1DB1-Normal8"/>
              <w:spacing w:after="0" w:line="240" w:lineRule="auto"/>
              <w:jc w:val="center"/>
              <w:rPr>
                <w:rFonts w:eastAsia="Times New Roman" w:cs="Calibri"/>
                <w:noProof/>
              </w:rPr>
            </w:pPr>
            <w:r>
              <w:rPr>
                <w:noProof/>
              </w:rPr>
              <w:t>KVARTAL 2</w:t>
            </w:r>
          </w:p>
        </w:tc>
        <w:tc>
          <w:tcPr>
            <w:tcW w:w="682" w:type="dxa"/>
            <w:shd w:val="clear" w:color="auto" w:fill="C4EFCE"/>
            <w:noWrap/>
            <w:vAlign w:val="center"/>
            <w:hideMark/>
          </w:tcPr>
          <w:p w14:paraId="75DB415B" w14:textId="77777777" w:rsidR="00E040FD" w:rsidRDefault="00740D64">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hideMark/>
          </w:tcPr>
          <w:p w14:paraId="639F5DC3" w14:textId="77777777" w:rsidR="00E040FD" w:rsidRDefault="00740D64">
            <w:pPr>
              <w:pStyle w:val="P68B1DB1-Normal12"/>
              <w:spacing w:after="0" w:line="240" w:lineRule="auto"/>
              <w:jc w:val="both"/>
              <w:rPr>
                <w:rFonts w:ascii="Times New Roman" w:eastAsia="Times New Roman" w:hAnsi="Times New Roman" w:cs="Times New Roman"/>
                <w:noProof/>
              </w:rPr>
            </w:pPr>
            <w:r>
              <w:rPr>
                <w:rFonts w:ascii="Calibri" w:hAnsi="Calibri"/>
                <w:noProof/>
              </w:rPr>
              <w:t>Slutförande av den digitala omställningen inom den offentliga förvaltningen av ARM, som omfattar följande:</w:t>
            </w:r>
            <w:r>
              <w:rPr>
                <w:rFonts w:ascii="Times New Roman" w:hAnsi="Times New Roman"/>
                <w:noProof/>
              </w:rPr>
              <w:t xml:space="preserve"> </w:t>
            </w:r>
          </w:p>
          <w:p w14:paraId="67185D7F" w14:textId="4DEDF20E" w:rsidR="00E040FD" w:rsidRDefault="00740D64">
            <w:pPr>
              <w:pStyle w:val="P68B1DB1-Normal8"/>
              <w:spacing w:after="0" w:line="240" w:lineRule="auto"/>
              <w:jc w:val="both"/>
              <w:rPr>
                <w:rFonts w:eastAsia="Times New Roman" w:cs="Calibri"/>
                <w:noProof/>
              </w:rPr>
            </w:pPr>
            <w:r>
              <w:rPr>
                <w:noProof/>
              </w:rPr>
              <w:t xml:space="preserve">Genomförande av ett privat 5G-nät </w:t>
            </w:r>
          </w:p>
          <w:p w14:paraId="55AFBD4F" w14:textId="77777777" w:rsidR="00E040FD" w:rsidRDefault="00740D64">
            <w:pPr>
              <w:pStyle w:val="P68B1DB1-Normal8"/>
              <w:spacing w:after="0" w:line="240" w:lineRule="auto"/>
              <w:jc w:val="both"/>
              <w:rPr>
                <w:rFonts w:eastAsia="Times New Roman" w:cs="Calibri"/>
                <w:noProof/>
              </w:rPr>
            </w:pPr>
            <w:r>
              <w:rPr>
                <w:noProof/>
              </w:rPr>
              <w:t xml:space="preserve">Mobil övervakningscentral för skogsbränder </w:t>
            </w:r>
          </w:p>
          <w:p w14:paraId="5710C4B7" w14:textId="77777777" w:rsidR="00E040FD" w:rsidRDefault="00740D64">
            <w:pPr>
              <w:pStyle w:val="P68B1DB1-Normal8"/>
              <w:spacing w:after="0" w:line="240" w:lineRule="auto"/>
              <w:jc w:val="both"/>
              <w:rPr>
                <w:rFonts w:eastAsia="Times New Roman" w:cs="Calibri"/>
                <w:noProof/>
              </w:rPr>
            </w:pPr>
            <w:r>
              <w:rPr>
                <w:noProof/>
              </w:rPr>
              <w:t xml:space="preserve">Centralisering och förnyelse av befintliga datacentraler inom den regionala offentliga förvaltningen </w:t>
            </w:r>
          </w:p>
          <w:p w14:paraId="2D032E34" w14:textId="77777777" w:rsidR="00E040FD" w:rsidRDefault="00740D64">
            <w:pPr>
              <w:pStyle w:val="P68B1DB1-Normal8"/>
              <w:spacing w:after="0" w:line="240" w:lineRule="auto"/>
              <w:jc w:val="both"/>
              <w:rPr>
                <w:rFonts w:eastAsia="Times New Roman" w:cs="Calibri"/>
                <w:noProof/>
              </w:rPr>
            </w:pPr>
            <w:r>
              <w:rPr>
                <w:noProof/>
              </w:rPr>
              <w:t xml:space="preserve">Genomförande av cybersäkerhetsarkitektur (se r34) </w:t>
            </w:r>
          </w:p>
          <w:p w14:paraId="67CCB2DC" w14:textId="7CD81F5F" w:rsidR="00E040FD" w:rsidRDefault="00740D64">
            <w:pPr>
              <w:pStyle w:val="P68B1DB1-Normal8"/>
              <w:spacing w:after="0" w:line="240" w:lineRule="auto"/>
              <w:jc w:val="both"/>
              <w:rPr>
                <w:rFonts w:eastAsia="Times New Roman" w:cs="Calibri"/>
                <w:noProof/>
              </w:rPr>
            </w:pPr>
            <w:r>
              <w:rPr>
                <w:noProof/>
              </w:rPr>
              <w:t xml:space="preserve">Konnektivitet i regionala byggnader Digitala mobilitetsverktyg för anställda inom den offentliga sektorn </w:t>
            </w:r>
          </w:p>
          <w:p w14:paraId="30F48F65" w14:textId="77777777" w:rsidR="00E040FD" w:rsidRDefault="00740D64">
            <w:pPr>
              <w:pStyle w:val="P68B1DB1-Normal8"/>
              <w:spacing w:after="0" w:line="240" w:lineRule="auto"/>
              <w:jc w:val="both"/>
              <w:rPr>
                <w:rFonts w:eastAsia="Times New Roman" w:cs="Calibri"/>
                <w:noProof/>
              </w:rPr>
            </w:pPr>
            <w:r>
              <w:rPr>
                <w:noProof/>
              </w:rPr>
              <w:t xml:space="preserve">Digital utbildning för offentliganställda </w:t>
            </w:r>
          </w:p>
          <w:p w14:paraId="03CB00E5" w14:textId="77777777" w:rsidR="00E040FD" w:rsidRDefault="00740D64">
            <w:pPr>
              <w:pStyle w:val="P68B1DB1-Normal8"/>
              <w:spacing w:after="0" w:line="240" w:lineRule="auto"/>
              <w:jc w:val="both"/>
              <w:rPr>
                <w:rFonts w:eastAsia="Times New Roman" w:cs="Calibri"/>
                <w:noProof/>
              </w:rPr>
            </w:pPr>
            <w:r>
              <w:rPr>
                <w:noProof/>
              </w:rPr>
              <w:t xml:space="preserve">Tillhandahållande av ett it-system för förvaltning av offentliga finanser </w:t>
            </w:r>
          </w:p>
          <w:p w14:paraId="596B0D1F" w14:textId="77777777" w:rsidR="00E040FD" w:rsidRDefault="00740D64">
            <w:pPr>
              <w:pStyle w:val="P68B1DB1-Normal8"/>
              <w:spacing w:after="0" w:line="240" w:lineRule="auto"/>
              <w:jc w:val="both"/>
              <w:rPr>
                <w:rFonts w:eastAsia="Times New Roman" w:cs="Calibri"/>
                <w:noProof/>
              </w:rPr>
            </w:pPr>
            <w:r>
              <w:rPr>
                <w:noProof/>
              </w:rPr>
              <w:t>Tillhandahållande av ett system för förvaltning av offentlig egendom</w:t>
            </w:r>
          </w:p>
          <w:p w14:paraId="5268118F" w14:textId="77777777" w:rsidR="00E040FD" w:rsidRDefault="00740D64">
            <w:pPr>
              <w:pStyle w:val="P68B1DB1-Normal8"/>
              <w:spacing w:after="0" w:line="240" w:lineRule="auto"/>
              <w:jc w:val="both"/>
              <w:rPr>
                <w:rFonts w:eastAsia="Times New Roman" w:cs="Calibri"/>
                <w:noProof/>
              </w:rPr>
            </w:pPr>
            <w:r>
              <w:rPr>
                <w:noProof/>
              </w:rPr>
              <w:t>ARM-rättssystemets interoperabilitet med de nationella it-systemen</w:t>
            </w:r>
          </w:p>
          <w:p w14:paraId="77673804" w14:textId="63E13982" w:rsidR="00E040FD" w:rsidRDefault="00740D64">
            <w:pPr>
              <w:pStyle w:val="P68B1DB1-Normal8"/>
              <w:spacing w:after="0" w:line="240" w:lineRule="auto"/>
              <w:jc w:val="both"/>
              <w:rPr>
                <w:rFonts w:eastAsia="Times New Roman" w:cs="Calibri"/>
                <w:noProof/>
              </w:rPr>
            </w:pPr>
            <w:r>
              <w:rPr>
                <w:noProof/>
              </w:rPr>
              <w:t>Projekt för smart AP-uppkoppling</w:t>
            </w:r>
          </w:p>
        </w:tc>
      </w:tr>
      <w:tr w:rsidR="00E040FD" w14:paraId="2A157D90" w14:textId="77777777">
        <w:trPr>
          <w:trHeight w:val="290"/>
        </w:trPr>
        <w:tc>
          <w:tcPr>
            <w:tcW w:w="1082" w:type="dxa"/>
            <w:shd w:val="clear" w:color="auto" w:fill="C4EFCE"/>
            <w:vAlign w:val="center"/>
          </w:tcPr>
          <w:p w14:paraId="1C82B8D6" w14:textId="5B16A76A" w:rsidR="00E040FD" w:rsidRDefault="00740D64">
            <w:pPr>
              <w:pStyle w:val="P68B1DB1-Normal7"/>
              <w:spacing w:after="0" w:line="240" w:lineRule="auto"/>
              <w:jc w:val="center"/>
              <w:rPr>
                <w:rFonts w:eastAsia="Times New Roman" w:cs="Calibri"/>
                <w:noProof/>
              </w:rPr>
            </w:pPr>
            <w:r>
              <w:rPr>
                <w:noProof/>
              </w:rPr>
              <w:t>19.29</w:t>
            </w:r>
          </w:p>
        </w:tc>
        <w:tc>
          <w:tcPr>
            <w:tcW w:w="1211" w:type="dxa"/>
            <w:shd w:val="clear" w:color="auto" w:fill="C4EFCE"/>
            <w:noWrap/>
            <w:vAlign w:val="center"/>
          </w:tcPr>
          <w:p w14:paraId="5DF9BA4A" w14:textId="0F2186BF" w:rsidR="00E040FD" w:rsidRDefault="00740D64">
            <w:pPr>
              <w:pStyle w:val="P68B1DB1-Normal8"/>
              <w:spacing w:after="0" w:line="240" w:lineRule="auto"/>
              <w:jc w:val="center"/>
              <w:rPr>
                <w:rFonts w:eastAsia="Times New Roman" w:cs="Calibri"/>
                <w:noProof/>
              </w:rPr>
            </w:pPr>
            <w:r>
              <w:rPr>
                <w:noProof/>
              </w:rPr>
              <w:t>TD-C19-i05-RAM</w:t>
            </w:r>
          </w:p>
        </w:tc>
        <w:tc>
          <w:tcPr>
            <w:tcW w:w="1080" w:type="dxa"/>
            <w:shd w:val="clear" w:color="auto" w:fill="C4EFCE"/>
            <w:noWrap/>
            <w:vAlign w:val="center"/>
          </w:tcPr>
          <w:p w14:paraId="506C8CD6" w14:textId="143AFCD2"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6F63D36B" w14:textId="3601B6F1" w:rsidR="00E040FD" w:rsidRDefault="00740D64">
            <w:pPr>
              <w:pStyle w:val="P68B1DB1-Normal8"/>
              <w:spacing w:before="120" w:after="0" w:line="240" w:lineRule="auto"/>
              <w:jc w:val="both"/>
              <w:rPr>
                <w:rFonts w:eastAsia="Calibri" w:cs="Calibri"/>
                <w:noProof/>
              </w:rPr>
            </w:pPr>
            <w:r>
              <w:rPr>
                <w:noProof/>
              </w:rPr>
              <w:t>Centraliserad datahanteringslösning</w:t>
            </w:r>
          </w:p>
        </w:tc>
        <w:tc>
          <w:tcPr>
            <w:tcW w:w="1343" w:type="dxa"/>
            <w:shd w:val="clear" w:color="auto" w:fill="C4EFCE"/>
            <w:noWrap/>
            <w:vAlign w:val="center"/>
          </w:tcPr>
          <w:p w14:paraId="63B29C5E" w14:textId="7AD40D4B" w:rsidR="00E040FD" w:rsidRDefault="00740D64">
            <w:pPr>
              <w:pStyle w:val="P68B1DB1-Normal8"/>
              <w:spacing w:after="0" w:line="240" w:lineRule="auto"/>
              <w:jc w:val="center"/>
              <w:rPr>
                <w:rFonts w:eastAsia="Calibri" w:cs="Calibri"/>
                <w:noProof/>
              </w:rPr>
            </w:pPr>
            <w:r>
              <w:rPr>
                <w:noProof/>
              </w:rPr>
              <w:t>Centraliserad datahanteringslösning operativ</w:t>
            </w:r>
          </w:p>
        </w:tc>
        <w:tc>
          <w:tcPr>
            <w:tcW w:w="1134" w:type="dxa"/>
            <w:shd w:val="clear" w:color="auto" w:fill="C4EFCE"/>
            <w:noWrap/>
            <w:vAlign w:val="center"/>
          </w:tcPr>
          <w:p w14:paraId="56259C96" w14:textId="77777777" w:rsidR="00E040FD" w:rsidRDefault="00E040FD">
            <w:pPr>
              <w:spacing w:after="0" w:line="240" w:lineRule="auto"/>
              <w:rPr>
                <w:rFonts w:ascii="Calibri" w:eastAsia="Times New Roman" w:hAnsi="Calibri" w:cs="Calibri"/>
                <w:noProof/>
                <w:sz w:val="16"/>
              </w:rPr>
            </w:pPr>
          </w:p>
        </w:tc>
        <w:tc>
          <w:tcPr>
            <w:tcW w:w="947" w:type="dxa"/>
            <w:shd w:val="clear" w:color="auto" w:fill="C4EFCE"/>
            <w:noWrap/>
            <w:vAlign w:val="center"/>
          </w:tcPr>
          <w:p w14:paraId="7BF5098B" w14:textId="77777777" w:rsidR="00E040FD" w:rsidRDefault="00E040FD">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027C1EA6" w14:textId="77777777" w:rsidR="00E040FD" w:rsidRDefault="00E040FD">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6EB0713C" w14:textId="340EFCF8" w:rsidR="00E040FD" w:rsidRDefault="00740D64">
            <w:pPr>
              <w:pStyle w:val="P68B1DB1-Normal8"/>
              <w:spacing w:after="0" w:line="240" w:lineRule="auto"/>
              <w:jc w:val="center"/>
              <w:rPr>
                <w:rFonts w:eastAsia="Times New Roman" w:cs="Calibri"/>
                <w:noProof/>
              </w:rPr>
            </w:pPr>
            <w:r>
              <w:rPr>
                <w:noProof/>
              </w:rPr>
              <w:t>KVARTAL 4</w:t>
            </w:r>
          </w:p>
        </w:tc>
        <w:tc>
          <w:tcPr>
            <w:tcW w:w="682" w:type="dxa"/>
            <w:shd w:val="clear" w:color="auto" w:fill="C4EFCE"/>
            <w:noWrap/>
            <w:vAlign w:val="center"/>
          </w:tcPr>
          <w:p w14:paraId="01F50E14" w14:textId="3E0B8059" w:rsidR="00E040FD" w:rsidRDefault="00740D64">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tcPr>
          <w:p w14:paraId="5A47B065" w14:textId="77777777" w:rsidR="00E040FD" w:rsidRDefault="00740D64">
            <w:pPr>
              <w:pStyle w:val="P68B1DB1-Normal8"/>
              <w:spacing w:after="0" w:line="240" w:lineRule="auto"/>
              <w:jc w:val="both"/>
              <w:rPr>
                <w:rFonts w:eastAsia="Calibri" w:cs="Calibri"/>
                <w:noProof/>
              </w:rPr>
            </w:pPr>
            <w:r>
              <w:rPr>
                <w:noProof/>
              </w:rPr>
              <w:t>Lansering av den centraliserade datahanteringslösningen. Det ska:</w:t>
            </w:r>
          </w:p>
          <w:p w14:paraId="0B46F946" w14:textId="77777777" w:rsidR="00E040FD" w:rsidRDefault="00740D64">
            <w:pPr>
              <w:pStyle w:val="P68B1DB1-Normal8"/>
              <w:tabs>
                <w:tab w:val="left" w:pos="710"/>
                <w:tab w:val="right" w:pos="1963"/>
              </w:tabs>
              <w:spacing w:after="0" w:line="240" w:lineRule="auto"/>
              <w:jc w:val="both"/>
              <w:rPr>
                <w:rFonts w:eastAsia="Times New Roman" w:cs="Calibri"/>
                <w:noProof/>
              </w:rPr>
            </w:pPr>
            <w:r>
              <w:rPr>
                <w:noProof/>
              </w:rPr>
              <w:t>— Skapa verktyg för att identifiera ineffektivitet, bedrägerier och andra riskområden med AI-algoritmer,</w:t>
            </w:r>
          </w:p>
          <w:p w14:paraId="3CD59918" w14:textId="548FE233" w:rsidR="00E040FD" w:rsidRDefault="00740D64">
            <w:pPr>
              <w:pStyle w:val="P68B1DB1-Normal8"/>
              <w:spacing w:after="0" w:line="240" w:lineRule="auto"/>
              <w:jc w:val="both"/>
              <w:rPr>
                <w:rFonts w:eastAsia="Times New Roman" w:cs="Calibri"/>
                <w:noProof/>
              </w:rPr>
            </w:pPr>
            <w:r>
              <w:rPr>
                <w:noProof/>
              </w:rPr>
              <w:t xml:space="preserve">— Göra AI-tjänster tillgängliga för olika områden inom den offentliga förvaltningen. </w:t>
            </w:r>
          </w:p>
          <w:p w14:paraId="3129C273" w14:textId="27DC1D7B" w:rsidR="00E040FD" w:rsidRDefault="00740D64">
            <w:pPr>
              <w:pStyle w:val="P68B1DB1-Normal8"/>
              <w:spacing w:after="0" w:line="240" w:lineRule="auto"/>
              <w:jc w:val="both"/>
              <w:rPr>
                <w:rFonts w:eastAsia="Times New Roman" w:cs="Calibri"/>
                <w:noProof/>
              </w:rPr>
            </w:pPr>
            <w:r>
              <w:rPr>
                <w:noProof/>
              </w:rPr>
              <w:t>— Automatisera beslutsfattandet inom olika områden av den offentliga förvaltningen.</w:t>
            </w:r>
          </w:p>
        </w:tc>
      </w:tr>
      <w:tr w:rsidR="00E040FD" w14:paraId="466B5AF3" w14:textId="77777777">
        <w:trPr>
          <w:trHeight w:val="290"/>
        </w:trPr>
        <w:tc>
          <w:tcPr>
            <w:tcW w:w="1082" w:type="dxa"/>
            <w:shd w:val="clear" w:color="auto" w:fill="C4EFCE"/>
            <w:vAlign w:val="center"/>
          </w:tcPr>
          <w:p w14:paraId="7C2288AD" w14:textId="6CE5E3E0" w:rsidR="00E040FD" w:rsidRDefault="00740D64">
            <w:pPr>
              <w:pStyle w:val="P68B1DB1-Normal7"/>
              <w:spacing w:after="0" w:line="240" w:lineRule="auto"/>
              <w:jc w:val="center"/>
              <w:rPr>
                <w:rFonts w:eastAsia="Times New Roman" w:cs="Calibri"/>
                <w:noProof/>
              </w:rPr>
            </w:pPr>
            <w:r>
              <w:rPr>
                <w:noProof/>
              </w:rPr>
              <w:t>19.18</w:t>
            </w:r>
          </w:p>
        </w:tc>
        <w:tc>
          <w:tcPr>
            <w:tcW w:w="1211" w:type="dxa"/>
            <w:shd w:val="clear" w:color="auto" w:fill="C4EFCE"/>
            <w:noWrap/>
            <w:vAlign w:val="center"/>
          </w:tcPr>
          <w:p w14:paraId="53E2405E" w14:textId="254C07E6" w:rsidR="00E040FD" w:rsidRDefault="00740D64">
            <w:pPr>
              <w:pStyle w:val="P68B1DB1-Normal8"/>
              <w:spacing w:after="0" w:line="240" w:lineRule="auto"/>
              <w:jc w:val="center"/>
              <w:rPr>
                <w:rFonts w:eastAsia="Times New Roman" w:cs="Calibri"/>
                <w:noProof/>
              </w:rPr>
            </w:pPr>
            <w:r>
              <w:rPr>
                <w:noProof/>
              </w:rPr>
              <w:t>TD-C19-i06-RAA</w:t>
            </w:r>
          </w:p>
        </w:tc>
        <w:tc>
          <w:tcPr>
            <w:tcW w:w="1080" w:type="dxa"/>
            <w:shd w:val="clear" w:color="auto" w:fill="C4EFCE"/>
            <w:noWrap/>
            <w:vAlign w:val="center"/>
          </w:tcPr>
          <w:p w14:paraId="29CC492A" w14:textId="79FE0E99"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1D1FA322" w14:textId="428C6462" w:rsidR="00E040FD" w:rsidRDefault="00740D64">
            <w:pPr>
              <w:pStyle w:val="P68B1DB1-Normal8"/>
              <w:spacing w:before="120" w:after="0" w:line="240" w:lineRule="auto"/>
              <w:jc w:val="both"/>
              <w:rPr>
                <w:rFonts w:eastAsia="Calibri" w:cs="Calibri"/>
                <w:noProof/>
                <w:highlight w:val="cyan"/>
              </w:rPr>
            </w:pPr>
            <w:r>
              <w:rPr>
                <w:noProof/>
              </w:rPr>
              <w:t>Digitalisering av ARA:s regionala offentliga förvaltning</w:t>
            </w:r>
          </w:p>
        </w:tc>
        <w:tc>
          <w:tcPr>
            <w:tcW w:w="1343" w:type="dxa"/>
            <w:shd w:val="clear" w:color="auto" w:fill="C4EFCE"/>
            <w:noWrap/>
            <w:vAlign w:val="center"/>
          </w:tcPr>
          <w:p w14:paraId="61C1FEC8" w14:textId="112CCC73" w:rsidR="00E040FD" w:rsidRDefault="00740D64">
            <w:pPr>
              <w:pStyle w:val="P68B1DB1-Normal8"/>
              <w:spacing w:after="0" w:line="240" w:lineRule="auto"/>
              <w:jc w:val="center"/>
              <w:rPr>
                <w:rFonts w:eastAsia="Times New Roman" w:cs="Calibri"/>
                <w:noProof/>
              </w:rPr>
            </w:pPr>
            <w:r>
              <w:rPr>
                <w:noProof/>
              </w:rPr>
              <w:t>Digitalisering av ARA:s regionala offentliga förvaltning</w:t>
            </w:r>
          </w:p>
        </w:tc>
        <w:tc>
          <w:tcPr>
            <w:tcW w:w="1134" w:type="dxa"/>
            <w:shd w:val="clear" w:color="auto" w:fill="C4EFCE"/>
            <w:noWrap/>
            <w:vAlign w:val="center"/>
          </w:tcPr>
          <w:p w14:paraId="6A5817AB" w14:textId="77777777" w:rsidR="00E040FD" w:rsidRDefault="00E040FD">
            <w:pPr>
              <w:spacing w:after="0" w:line="240" w:lineRule="auto"/>
              <w:rPr>
                <w:rFonts w:ascii="Calibri" w:eastAsia="Times New Roman" w:hAnsi="Calibri" w:cs="Calibri"/>
                <w:noProof/>
                <w:sz w:val="16"/>
              </w:rPr>
            </w:pPr>
          </w:p>
        </w:tc>
        <w:tc>
          <w:tcPr>
            <w:tcW w:w="947" w:type="dxa"/>
            <w:shd w:val="clear" w:color="auto" w:fill="C4EFCE"/>
            <w:noWrap/>
            <w:vAlign w:val="center"/>
          </w:tcPr>
          <w:p w14:paraId="5090F33B" w14:textId="77777777" w:rsidR="00E040FD" w:rsidRDefault="00E040FD">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63CFFECA" w14:textId="77777777" w:rsidR="00E040FD" w:rsidRDefault="00E040FD">
            <w:pPr>
              <w:spacing w:after="0" w:line="240" w:lineRule="auto"/>
              <w:jc w:val="center"/>
              <w:rPr>
                <w:rFonts w:ascii="Calibri" w:eastAsia="Times New Roman" w:hAnsi="Calibri" w:cs="Calibri"/>
                <w:noProof/>
                <w:sz w:val="16"/>
              </w:rPr>
            </w:pPr>
          </w:p>
        </w:tc>
        <w:tc>
          <w:tcPr>
            <w:tcW w:w="550" w:type="dxa"/>
            <w:shd w:val="clear" w:color="auto" w:fill="C4EFCE"/>
            <w:noWrap/>
            <w:vAlign w:val="center"/>
          </w:tcPr>
          <w:p w14:paraId="3D6E7BDA" w14:textId="5384AC54" w:rsidR="00E040FD" w:rsidRDefault="00740D64">
            <w:pPr>
              <w:pStyle w:val="P68B1DB1-Normal8"/>
              <w:spacing w:after="0" w:line="240" w:lineRule="auto"/>
              <w:jc w:val="center"/>
              <w:rPr>
                <w:rFonts w:eastAsia="Times New Roman" w:cs="Calibri"/>
                <w:noProof/>
              </w:rPr>
            </w:pPr>
            <w:r>
              <w:rPr>
                <w:noProof/>
              </w:rPr>
              <w:t>KVARTAL 4</w:t>
            </w:r>
          </w:p>
        </w:tc>
        <w:tc>
          <w:tcPr>
            <w:tcW w:w="682" w:type="dxa"/>
            <w:shd w:val="clear" w:color="auto" w:fill="C4EFCE"/>
            <w:noWrap/>
            <w:vAlign w:val="center"/>
          </w:tcPr>
          <w:p w14:paraId="52922652" w14:textId="077714E2" w:rsidR="00E040FD" w:rsidRDefault="00740D64">
            <w:pPr>
              <w:pStyle w:val="P68B1DB1-Normal8"/>
              <w:spacing w:after="0" w:line="240" w:lineRule="auto"/>
              <w:jc w:val="center"/>
              <w:rPr>
                <w:rFonts w:eastAsia="Times New Roman" w:cs="Calibri"/>
                <w:noProof/>
              </w:rPr>
            </w:pPr>
            <w:r>
              <w:rPr>
                <w:noProof/>
              </w:rPr>
              <w:t>2025</w:t>
            </w:r>
          </w:p>
        </w:tc>
        <w:tc>
          <w:tcPr>
            <w:tcW w:w="4458" w:type="dxa"/>
            <w:shd w:val="clear" w:color="auto" w:fill="C4EFCE"/>
            <w:vAlign w:val="center"/>
          </w:tcPr>
          <w:p w14:paraId="3D491425" w14:textId="77777777" w:rsidR="00E040FD" w:rsidRDefault="00740D64">
            <w:pPr>
              <w:pStyle w:val="P68B1DB1-Normal8"/>
              <w:tabs>
                <w:tab w:val="left" w:pos="710"/>
                <w:tab w:val="right" w:pos="1963"/>
              </w:tabs>
              <w:spacing w:after="0" w:line="288" w:lineRule="auto"/>
              <w:jc w:val="both"/>
              <w:rPr>
                <w:rFonts w:eastAsia="Times New Roman" w:cs="Calibri"/>
                <w:noProof/>
              </w:rPr>
            </w:pPr>
            <w:r>
              <w:rPr>
                <w:noProof/>
              </w:rPr>
              <w:t xml:space="preserve">Slutförande av fem projekt: </w:t>
            </w:r>
          </w:p>
          <w:p w14:paraId="5A78D913" w14:textId="77777777" w:rsidR="00E040FD" w:rsidRDefault="00740D64">
            <w:pPr>
              <w:pStyle w:val="P68B1DB1-Normal8"/>
              <w:tabs>
                <w:tab w:val="left" w:pos="710"/>
                <w:tab w:val="right" w:pos="1963"/>
              </w:tabs>
              <w:spacing w:after="0" w:line="288" w:lineRule="auto"/>
              <w:jc w:val="both"/>
              <w:rPr>
                <w:rFonts w:eastAsia="Times New Roman" w:cs="Calibri"/>
                <w:noProof/>
              </w:rPr>
            </w:pPr>
            <w:r>
              <w:rPr>
                <w:noProof/>
              </w:rPr>
              <w:t xml:space="preserve">APR + tillgänglig, inkluderande och öppen offentlig förvaltning </w:t>
            </w:r>
          </w:p>
          <w:p w14:paraId="3074EF7C" w14:textId="77777777" w:rsidR="00E040FD" w:rsidRDefault="00740D64">
            <w:pPr>
              <w:pStyle w:val="P68B1DB1-Normal8"/>
              <w:tabs>
                <w:tab w:val="left" w:pos="710"/>
                <w:tab w:val="right" w:pos="1963"/>
              </w:tabs>
              <w:spacing w:after="0" w:line="288" w:lineRule="auto"/>
              <w:jc w:val="both"/>
              <w:rPr>
                <w:rFonts w:eastAsia="Times New Roman" w:cs="Calibri"/>
                <w:noProof/>
              </w:rPr>
            </w:pPr>
            <w:r>
              <w:rPr>
                <w:noProof/>
              </w:rPr>
              <w:t>APR + smidigare offentliga tjänster och system för kontroll och förvaltning av de offentliga finanserna.</w:t>
            </w:r>
          </w:p>
          <w:p w14:paraId="18AA1A5C" w14:textId="351449F8" w:rsidR="00E040FD" w:rsidRDefault="00740D64">
            <w:pPr>
              <w:pStyle w:val="P68B1DB1-Normal8"/>
              <w:tabs>
                <w:tab w:val="left" w:pos="710"/>
                <w:tab w:val="right" w:pos="1963"/>
              </w:tabs>
              <w:spacing w:after="0" w:line="288" w:lineRule="auto"/>
              <w:jc w:val="both"/>
              <w:rPr>
                <w:rFonts w:eastAsia="Times New Roman" w:cs="Calibri"/>
                <w:noProof/>
              </w:rPr>
            </w:pPr>
            <w:r>
              <w:rPr>
                <w:noProof/>
              </w:rPr>
              <w:t xml:space="preserve">APR + Proactiva </w:t>
            </w:r>
          </w:p>
          <w:p w14:paraId="4BD5069C" w14:textId="6355AD50" w:rsidR="00E040FD" w:rsidRDefault="00740D64">
            <w:pPr>
              <w:pStyle w:val="P68B1DB1-Normal8"/>
              <w:tabs>
                <w:tab w:val="left" w:pos="710"/>
                <w:tab w:val="right" w:pos="1963"/>
              </w:tabs>
              <w:spacing w:after="0" w:line="288" w:lineRule="auto"/>
              <w:jc w:val="both"/>
              <w:rPr>
                <w:rFonts w:ascii="Arial" w:eastAsia="Arial" w:hAnsi="Arial" w:cs="Arial"/>
                <w:noProof/>
                <w:sz w:val="15"/>
              </w:rPr>
            </w:pPr>
            <w:r>
              <w:rPr>
                <w:noProof/>
              </w:rPr>
              <w:t>Mobil portal för regional offentlig förvaltning – APR + redo för framtiden</w:t>
            </w:r>
          </w:p>
        </w:tc>
      </w:tr>
      <w:tr w:rsidR="00E040FD" w14:paraId="700CCFFC" w14:textId="77777777">
        <w:trPr>
          <w:trHeight w:val="430"/>
        </w:trPr>
        <w:tc>
          <w:tcPr>
            <w:tcW w:w="1082" w:type="dxa"/>
            <w:shd w:val="clear" w:color="auto" w:fill="C4EFCE"/>
            <w:vAlign w:val="center"/>
            <w:hideMark/>
          </w:tcPr>
          <w:p w14:paraId="6F89E376" w14:textId="77777777" w:rsidR="00E040FD" w:rsidRDefault="00740D64">
            <w:pPr>
              <w:pStyle w:val="P68B1DB1-Normal7"/>
              <w:spacing w:after="0" w:line="240" w:lineRule="auto"/>
              <w:jc w:val="center"/>
              <w:rPr>
                <w:rFonts w:eastAsia="Times New Roman" w:cs="Calibri"/>
                <w:noProof/>
              </w:rPr>
            </w:pPr>
            <w:r>
              <w:rPr>
                <w:noProof/>
              </w:rPr>
              <w:t>19.19</w:t>
            </w:r>
          </w:p>
        </w:tc>
        <w:tc>
          <w:tcPr>
            <w:tcW w:w="1211" w:type="dxa"/>
            <w:shd w:val="clear" w:color="auto" w:fill="C4EFCE"/>
            <w:noWrap/>
            <w:vAlign w:val="center"/>
            <w:hideMark/>
          </w:tcPr>
          <w:p w14:paraId="17E815D0" w14:textId="77777777" w:rsidR="00E040FD" w:rsidRDefault="00740D64">
            <w:pPr>
              <w:pStyle w:val="P68B1DB1-Normal8"/>
              <w:spacing w:after="0" w:line="240" w:lineRule="auto"/>
              <w:jc w:val="center"/>
              <w:rPr>
                <w:rFonts w:eastAsia="Times New Roman" w:cs="Calibri"/>
                <w:noProof/>
              </w:rPr>
            </w:pPr>
            <w:r>
              <w:rPr>
                <w:noProof/>
              </w:rPr>
              <w:t>TD-C19-i07</w:t>
            </w:r>
          </w:p>
        </w:tc>
        <w:tc>
          <w:tcPr>
            <w:tcW w:w="1080" w:type="dxa"/>
            <w:shd w:val="clear" w:color="auto" w:fill="C4EFCE"/>
            <w:noWrap/>
            <w:vAlign w:val="center"/>
            <w:hideMark/>
          </w:tcPr>
          <w:p w14:paraId="3D998E6D" w14:textId="77777777"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46F9B879" w14:textId="77777777" w:rsidR="00E040FD" w:rsidRDefault="00740D64">
            <w:pPr>
              <w:pStyle w:val="P68B1DB1-Normal8"/>
              <w:spacing w:after="0" w:line="240" w:lineRule="auto"/>
              <w:jc w:val="center"/>
              <w:rPr>
                <w:rFonts w:eastAsia="Times New Roman" w:cs="Calibri"/>
                <w:noProof/>
              </w:rPr>
            </w:pPr>
            <w:r>
              <w:rPr>
                <w:noProof/>
              </w:rPr>
              <w:t>Praktikprogram för utexaminerade</w:t>
            </w:r>
          </w:p>
        </w:tc>
        <w:tc>
          <w:tcPr>
            <w:tcW w:w="1343" w:type="dxa"/>
            <w:shd w:val="clear" w:color="auto" w:fill="C4EFCE"/>
            <w:noWrap/>
            <w:vAlign w:val="center"/>
            <w:hideMark/>
          </w:tcPr>
          <w:p w14:paraId="7526E1BB" w14:textId="77777777" w:rsidR="00E040FD" w:rsidRDefault="00740D64">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6FAEB2B9" w14:textId="77777777" w:rsidR="00E040FD" w:rsidRDefault="00740D64">
            <w:pPr>
              <w:pStyle w:val="P68B1DB1-Normal8"/>
              <w:spacing w:after="0" w:line="240" w:lineRule="auto"/>
              <w:jc w:val="center"/>
              <w:rPr>
                <w:rFonts w:eastAsia="Times New Roman" w:cs="Calibri"/>
                <w:noProof/>
              </w:rPr>
            </w:pPr>
            <w:r>
              <w:rPr>
                <w:noProof/>
              </w:rPr>
              <w:t>Antal</w:t>
            </w:r>
          </w:p>
        </w:tc>
        <w:tc>
          <w:tcPr>
            <w:tcW w:w="947" w:type="dxa"/>
            <w:shd w:val="clear" w:color="auto" w:fill="C4EFCE"/>
            <w:noWrap/>
            <w:vAlign w:val="center"/>
            <w:hideMark/>
          </w:tcPr>
          <w:p w14:paraId="1C0B63B6" w14:textId="77777777" w:rsidR="00E040FD" w:rsidRDefault="00740D64">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7BFD045F" w14:textId="77777777" w:rsidR="00E040FD" w:rsidRDefault="00740D64">
            <w:pPr>
              <w:pStyle w:val="P68B1DB1-Normal8"/>
              <w:spacing w:after="0" w:line="240" w:lineRule="auto"/>
              <w:jc w:val="center"/>
              <w:rPr>
                <w:rFonts w:eastAsia="Times New Roman" w:cs="Calibri"/>
                <w:noProof/>
              </w:rPr>
            </w:pPr>
            <w:r>
              <w:rPr>
                <w:noProof/>
              </w:rPr>
              <w:t>1 500</w:t>
            </w:r>
          </w:p>
        </w:tc>
        <w:tc>
          <w:tcPr>
            <w:tcW w:w="550" w:type="dxa"/>
            <w:shd w:val="clear" w:color="auto" w:fill="C4EFCE"/>
            <w:noWrap/>
            <w:vAlign w:val="center"/>
            <w:hideMark/>
          </w:tcPr>
          <w:p w14:paraId="349DA6C0" w14:textId="77777777" w:rsidR="00E040FD" w:rsidRDefault="00740D64">
            <w:pPr>
              <w:pStyle w:val="P68B1DB1-Normal8"/>
              <w:spacing w:after="0" w:line="240" w:lineRule="auto"/>
              <w:jc w:val="center"/>
              <w:rPr>
                <w:rFonts w:eastAsia="Times New Roman" w:cs="Calibri"/>
                <w:noProof/>
              </w:rPr>
            </w:pPr>
            <w:r>
              <w:rPr>
                <w:noProof/>
              </w:rPr>
              <w:t>KVARTAL 4</w:t>
            </w:r>
          </w:p>
        </w:tc>
        <w:tc>
          <w:tcPr>
            <w:tcW w:w="682" w:type="dxa"/>
            <w:shd w:val="clear" w:color="auto" w:fill="C4EFCE"/>
            <w:noWrap/>
            <w:vAlign w:val="center"/>
            <w:hideMark/>
          </w:tcPr>
          <w:p w14:paraId="1F12DF81" w14:textId="77777777" w:rsidR="00E040FD" w:rsidRDefault="00740D64">
            <w:pPr>
              <w:pStyle w:val="P68B1DB1-Normal8"/>
              <w:spacing w:after="0" w:line="240" w:lineRule="auto"/>
              <w:jc w:val="center"/>
              <w:rPr>
                <w:rFonts w:eastAsia="Times New Roman" w:cs="Calibri"/>
                <w:noProof/>
              </w:rPr>
            </w:pPr>
            <w:r>
              <w:rPr>
                <w:noProof/>
              </w:rPr>
              <w:t>2023</w:t>
            </w:r>
          </w:p>
        </w:tc>
        <w:tc>
          <w:tcPr>
            <w:tcW w:w="4458" w:type="dxa"/>
            <w:shd w:val="clear" w:color="auto" w:fill="C4EFCE"/>
            <w:vAlign w:val="center"/>
            <w:hideMark/>
          </w:tcPr>
          <w:p w14:paraId="321523D7" w14:textId="77777777" w:rsidR="00E040FD" w:rsidRDefault="00740D64">
            <w:pPr>
              <w:pStyle w:val="P68B1DB1-Normal8"/>
              <w:spacing w:after="0" w:line="240" w:lineRule="auto"/>
              <w:jc w:val="both"/>
              <w:rPr>
                <w:rFonts w:eastAsia="Times New Roman" w:cs="Calibri"/>
                <w:noProof/>
              </w:rPr>
            </w:pPr>
            <w:r>
              <w:rPr>
                <w:noProof/>
              </w:rPr>
              <w:t xml:space="preserve">Antal utexaminerade som har besökt det praktikprogram för offentlig förvaltning som inrättats inom ramen för </w:t>
            </w:r>
            <w:r>
              <w:rPr>
                <w:i/>
                <w:noProof/>
              </w:rPr>
              <w:t>Resolução do Conselho de Ministros nr 11/2021</w:t>
            </w:r>
            <w:r>
              <w:rPr>
                <w:noProof/>
              </w:rPr>
              <w:t xml:space="preserve">  </w:t>
            </w:r>
          </w:p>
        </w:tc>
      </w:tr>
      <w:tr w:rsidR="00E040FD" w14:paraId="7C101E4F" w14:textId="77777777">
        <w:trPr>
          <w:trHeight w:val="845"/>
        </w:trPr>
        <w:tc>
          <w:tcPr>
            <w:tcW w:w="1082" w:type="dxa"/>
            <w:shd w:val="clear" w:color="auto" w:fill="C4EFCE"/>
            <w:vAlign w:val="center"/>
            <w:hideMark/>
          </w:tcPr>
          <w:p w14:paraId="3693F16E" w14:textId="77777777" w:rsidR="00E040FD" w:rsidRDefault="00740D64">
            <w:pPr>
              <w:pStyle w:val="P68B1DB1-Normal7"/>
              <w:spacing w:after="0" w:line="240" w:lineRule="auto"/>
              <w:jc w:val="center"/>
              <w:rPr>
                <w:rFonts w:eastAsia="Times New Roman" w:cs="Calibri"/>
                <w:noProof/>
              </w:rPr>
            </w:pPr>
            <w:r>
              <w:rPr>
                <w:noProof/>
              </w:rPr>
              <w:t>19.20</w:t>
            </w:r>
          </w:p>
        </w:tc>
        <w:tc>
          <w:tcPr>
            <w:tcW w:w="1211" w:type="dxa"/>
            <w:shd w:val="clear" w:color="auto" w:fill="C4EFCE"/>
            <w:noWrap/>
            <w:vAlign w:val="center"/>
            <w:hideMark/>
          </w:tcPr>
          <w:p w14:paraId="64A1DE9A" w14:textId="77777777" w:rsidR="00E040FD" w:rsidRDefault="00740D64">
            <w:pPr>
              <w:pStyle w:val="P68B1DB1-Normal8"/>
              <w:spacing w:after="0" w:line="240" w:lineRule="auto"/>
              <w:jc w:val="center"/>
              <w:rPr>
                <w:rFonts w:eastAsia="Times New Roman" w:cs="Calibri"/>
                <w:noProof/>
              </w:rPr>
            </w:pPr>
            <w:r>
              <w:rPr>
                <w:noProof/>
              </w:rPr>
              <w:t>TD-C19-i07</w:t>
            </w:r>
          </w:p>
        </w:tc>
        <w:tc>
          <w:tcPr>
            <w:tcW w:w="1080" w:type="dxa"/>
            <w:shd w:val="clear" w:color="auto" w:fill="C4EFCE"/>
            <w:noWrap/>
            <w:vAlign w:val="center"/>
            <w:hideMark/>
          </w:tcPr>
          <w:p w14:paraId="30E5AB63" w14:textId="77777777"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75ECCEF3" w14:textId="77777777" w:rsidR="00E040FD" w:rsidRDefault="00740D64">
            <w:pPr>
              <w:pStyle w:val="P68B1DB1-Normal8"/>
              <w:spacing w:after="0" w:line="240" w:lineRule="auto"/>
              <w:jc w:val="center"/>
              <w:rPr>
                <w:rFonts w:eastAsia="Times New Roman" w:cs="Calibri"/>
                <w:noProof/>
              </w:rPr>
            </w:pPr>
            <w:r>
              <w:rPr>
                <w:noProof/>
              </w:rPr>
              <w:t xml:space="preserve">Offentliganställda som arbetar på distans </w:t>
            </w:r>
          </w:p>
        </w:tc>
        <w:tc>
          <w:tcPr>
            <w:tcW w:w="1343" w:type="dxa"/>
            <w:shd w:val="clear" w:color="auto" w:fill="C4EFCE"/>
            <w:noWrap/>
            <w:vAlign w:val="center"/>
            <w:hideMark/>
          </w:tcPr>
          <w:p w14:paraId="18CC4640" w14:textId="77777777" w:rsidR="00E040FD" w:rsidRDefault="00740D64">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6FAFD665" w14:textId="77777777" w:rsidR="00E040FD" w:rsidRDefault="00740D64">
            <w:pPr>
              <w:pStyle w:val="P68B1DB1-Normal8"/>
              <w:spacing w:after="0" w:line="240" w:lineRule="auto"/>
              <w:jc w:val="center"/>
              <w:rPr>
                <w:rFonts w:eastAsia="Times New Roman" w:cs="Calibri"/>
                <w:noProof/>
              </w:rPr>
            </w:pPr>
            <w:r>
              <w:rPr>
                <w:noProof/>
              </w:rPr>
              <w:t>%</w:t>
            </w:r>
          </w:p>
        </w:tc>
        <w:tc>
          <w:tcPr>
            <w:tcW w:w="947" w:type="dxa"/>
            <w:shd w:val="clear" w:color="auto" w:fill="C4EFCE"/>
            <w:noWrap/>
            <w:vAlign w:val="center"/>
            <w:hideMark/>
          </w:tcPr>
          <w:p w14:paraId="47C0D607" w14:textId="77777777" w:rsidR="00E040FD" w:rsidRDefault="00740D64">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4BDFB5C4" w14:textId="77777777" w:rsidR="00E040FD" w:rsidRDefault="00740D64">
            <w:pPr>
              <w:pStyle w:val="P68B1DB1-Normal8"/>
              <w:spacing w:after="0" w:line="240" w:lineRule="auto"/>
              <w:jc w:val="center"/>
              <w:rPr>
                <w:rFonts w:eastAsia="Times New Roman" w:cs="Calibri"/>
                <w:noProof/>
              </w:rPr>
            </w:pPr>
            <w:r>
              <w:rPr>
                <w:noProof/>
              </w:rPr>
              <w:t>25</w:t>
            </w:r>
          </w:p>
        </w:tc>
        <w:tc>
          <w:tcPr>
            <w:tcW w:w="550" w:type="dxa"/>
            <w:shd w:val="clear" w:color="auto" w:fill="C4EFCE"/>
            <w:noWrap/>
            <w:vAlign w:val="center"/>
            <w:hideMark/>
          </w:tcPr>
          <w:p w14:paraId="604CF745" w14:textId="77777777" w:rsidR="00E040FD" w:rsidRDefault="00740D64">
            <w:pPr>
              <w:pStyle w:val="P68B1DB1-Normal8"/>
              <w:spacing w:after="0" w:line="240" w:lineRule="auto"/>
              <w:jc w:val="center"/>
              <w:rPr>
                <w:rFonts w:eastAsia="Times New Roman" w:cs="Calibri"/>
                <w:noProof/>
              </w:rPr>
            </w:pPr>
            <w:r>
              <w:rPr>
                <w:noProof/>
              </w:rPr>
              <w:t>KVARTAL 4</w:t>
            </w:r>
          </w:p>
        </w:tc>
        <w:tc>
          <w:tcPr>
            <w:tcW w:w="682" w:type="dxa"/>
            <w:shd w:val="clear" w:color="auto" w:fill="C4EFCE"/>
            <w:noWrap/>
            <w:vAlign w:val="center"/>
            <w:hideMark/>
          </w:tcPr>
          <w:p w14:paraId="03B6EE75" w14:textId="77777777" w:rsidR="00E040FD" w:rsidRDefault="00740D64">
            <w:pPr>
              <w:pStyle w:val="P68B1DB1-Normal8"/>
              <w:spacing w:after="0" w:line="240" w:lineRule="auto"/>
              <w:jc w:val="center"/>
              <w:rPr>
                <w:rFonts w:eastAsia="Times New Roman" w:cs="Calibri"/>
                <w:noProof/>
              </w:rPr>
            </w:pPr>
            <w:r>
              <w:rPr>
                <w:noProof/>
              </w:rPr>
              <w:t>2023</w:t>
            </w:r>
          </w:p>
        </w:tc>
        <w:tc>
          <w:tcPr>
            <w:tcW w:w="4458" w:type="dxa"/>
            <w:shd w:val="clear" w:color="auto" w:fill="C4EFCE"/>
            <w:vAlign w:val="center"/>
            <w:hideMark/>
          </w:tcPr>
          <w:p w14:paraId="1BE6B08F" w14:textId="77777777" w:rsidR="00E040FD" w:rsidRDefault="00740D64">
            <w:pPr>
              <w:pStyle w:val="P68B1DB1-Normal8"/>
              <w:spacing w:after="0" w:line="240" w:lineRule="auto"/>
              <w:jc w:val="both"/>
              <w:rPr>
                <w:rFonts w:eastAsia="Times New Roman" w:cs="Calibri"/>
                <w:noProof/>
              </w:rPr>
            </w:pPr>
            <w:r>
              <w:rPr>
                <w:noProof/>
              </w:rPr>
              <w:t>Procentandel arbetstagare med funktioner som är förenliga med distansarbete och som arbetar effektivt med distansarbete</w:t>
            </w:r>
          </w:p>
        </w:tc>
      </w:tr>
      <w:tr w:rsidR="00E040FD" w14:paraId="257C5019" w14:textId="77777777">
        <w:trPr>
          <w:trHeight w:val="290"/>
        </w:trPr>
        <w:tc>
          <w:tcPr>
            <w:tcW w:w="1082" w:type="dxa"/>
            <w:shd w:val="clear" w:color="auto" w:fill="C4EFCE"/>
            <w:vAlign w:val="center"/>
            <w:hideMark/>
          </w:tcPr>
          <w:p w14:paraId="1167BE07" w14:textId="77777777" w:rsidR="00E040FD" w:rsidRDefault="00740D64">
            <w:pPr>
              <w:pStyle w:val="P68B1DB1-Normal7"/>
              <w:spacing w:after="0" w:line="240" w:lineRule="auto"/>
              <w:jc w:val="center"/>
              <w:rPr>
                <w:rFonts w:eastAsia="Times New Roman" w:cs="Calibri"/>
                <w:noProof/>
              </w:rPr>
            </w:pPr>
            <w:r>
              <w:rPr>
                <w:noProof/>
              </w:rPr>
              <w:t>19.21</w:t>
            </w:r>
          </w:p>
        </w:tc>
        <w:tc>
          <w:tcPr>
            <w:tcW w:w="1211" w:type="dxa"/>
            <w:shd w:val="clear" w:color="auto" w:fill="C4EFCE"/>
            <w:noWrap/>
            <w:vAlign w:val="center"/>
            <w:hideMark/>
          </w:tcPr>
          <w:p w14:paraId="53F1D9CD" w14:textId="77777777" w:rsidR="00E040FD" w:rsidRDefault="00740D64">
            <w:pPr>
              <w:pStyle w:val="P68B1DB1-Normal8"/>
              <w:spacing w:after="0" w:line="240" w:lineRule="auto"/>
              <w:jc w:val="center"/>
              <w:rPr>
                <w:rFonts w:eastAsia="Times New Roman" w:cs="Calibri"/>
                <w:noProof/>
              </w:rPr>
            </w:pPr>
            <w:r>
              <w:rPr>
                <w:noProof/>
              </w:rPr>
              <w:t>TD-C19-i07</w:t>
            </w:r>
          </w:p>
        </w:tc>
        <w:tc>
          <w:tcPr>
            <w:tcW w:w="1080" w:type="dxa"/>
            <w:shd w:val="clear" w:color="auto" w:fill="C4EFCE"/>
            <w:noWrap/>
            <w:vAlign w:val="center"/>
            <w:hideMark/>
          </w:tcPr>
          <w:p w14:paraId="003D5D5A" w14:textId="77777777" w:rsidR="00E040FD" w:rsidRDefault="00740D64">
            <w:pPr>
              <w:pStyle w:val="P68B1DB1-Normal8"/>
              <w:spacing w:after="0" w:line="240" w:lineRule="auto"/>
              <w:jc w:val="center"/>
              <w:rPr>
                <w:rFonts w:eastAsia="Times New Roman" w:cs="Calibri"/>
                <w:noProof/>
              </w:rPr>
            </w:pPr>
            <w:r>
              <w:rPr>
                <w:noProof/>
              </w:rPr>
              <w:t>T</w:t>
            </w:r>
          </w:p>
        </w:tc>
        <w:tc>
          <w:tcPr>
            <w:tcW w:w="1609" w:type="dxa"/>
            <w:shd w:val="clear" w:color="auto" w:fill="C4EFCE"/>
            <w:noWrap/>
            <w:vAlign w:val="center"/>
            <w:hideMark/>
          </w:tcPr>
          <w:p w14:paraId="4D32EAEF" w14:textId="77777777" w:rsidR="00E040FD" w:rsidRDefault="00740D64">
            <w:pPr>
              <w:pStyle w:val="P68B1DB1-Normal8"/>
              <w:spacing w:after="0" w:line="240" w:lineRule="auto"/>
              <w:jc w:val="center"/>
              <w:rPr>
                <w:rFonts w:eastAsia="Times New Roman" w:cs="Calibri"/>
                <w:noProof/>
              </w:rPr>
            </w:pPr>
            <w:r>
              <w:rPr>
                <w:noProof/>
              </w:rPr>
              <w:t>Utbildning för offentliganställda</w:t>
            </w:r>
          </w:p>
        </w:tc>
        <w:tc>
          <w:tcPr>
            <w:tcW w:w="1343" w:type="dxa"/>
            <w:shd w:val="clear" w:color="auto" w:fill="C4EFCE"/>
            <w:noWrap/>
            <w:vAlign w:val="center"/>
            <w:hideMark/>
          </w:tcPr>
          <w:p w14:paraId="356BB73B" w14:textId="77777777" w:rsidR="00E040FD" w:rsidRDefault="00740D64">
            <w:pPr>
              <w:pStyle w:val="P68B1DB1-Normal8"/>
              <w:spacing w:after="0" w:line="240" w:lineRule="auto"/>
              <w:jc w:val="center"/>
              <w:rPr>
                <w:rFonts w:eastAsia="Times New Roman" w:cs="Calibri"/>
                <w:noProof/>
              </w:rPr>
            </w:pPr>
            <w:r>
              <w:rPr>
                <w:noProof/>
              </w:rPr>
              <w:t> </w:t>
            </w:r>
          </w:p>
        </w:tc>
        <w:tc>
          <w:tcPr>
            <w:tcW w:w="1134" w:type="dxa"/>
            <w:shd w:val="clear" w:color="auto" w:fill="C4EFCE"/>
            <w:noWrap/>
            <w:vAlign w:val="center"/>
            <w:hideMark/>
          </w:tcPr>
          <w:p w14:paraId="00612396" w14:textId="77777777" w:rsidR="00E040FD" w:rsidRDefault="00740D64">
            <w:pPr>
              <w:pStyle w:val="P68B1DB1-Normal8"/>
              <w:spacing w:after="0" w:line="240" w:lineRule="auto"/>
              <w:jc w:val="center"/>
              <w:rPr>
                <w:rFonts w:eastAsia="Times New Roman" w:cs="Calibri"/>
                <w:noProof/>
              </w:rPr>
            </w:pPr>
            <w:r>
              <w:rPr>
                <w:noProof/>
              </w:rPr>
              <w:t>Antal</w:t>
            </w:r>
          </w:p>
        </w:tc>
        <w:tc>
          <w:tcPr>
            <w:tcW w:w="947" w:type="dxa"/>
            <w:shd w:val="clear" w:color="auto" w:fill="C4EFCE"/>
            <w:noWrap/>
            <w:vAlign w:val="center"/>
            <w:hideMark/>
          </w:tcPr>
          <w:p w14:paraId="299EDA1B" w14:textId="77777777" w:rsidR="00E040FD" w:rsidRDefault="00740D64">
            <w:pPr>
              <w:pStyle w:val="P68B1DB1-Normal8"/>
              <w:spacing w:after="0" w:line="240" w:lineRule="auto"/>
              <w:jc w:val="center"/>
              <w:rPr>
                <w:rFonts w:eastAsia="Times New Roman" w:cs="Calibri"/>
                <w:noProof/>
              </w:rPr>
            </w:pPr>
            <w:r>
              <w:rPr>
                <w:noProof/>
              </w:rPr>
              <w:t>0</w:t>
            </w:r>
          </w:p>
        </w:tc>
        <w:tc>
          <w:tcPr>
            <w:tcW w:w="682" w:type="dxa"/>
            <w:shd w:val="clear" w:color="auto" w:fill="C4EFCE"/>
            <w:noWrap/>
            <w:vAlign w:val="center"/>
            <w:hideMark/>
          </w:tcPr>
          <w:p w14:paraId="4E220285" w14:textId="3C6BE53E" w:rsidR="00E040FD" w:rsidRDefault="00740D64">
            <w:pPr>
              <w:pStyle w:val="P68B1DB1-Normal8"/>
              <w:spacing w:after="0" w:line="240" w:lineRule="auto"/>
              <w:jc w:val="center"/>
              <w:rPr>
                <w:rFonts w:eastAsia="Times New Roman" w:cs="Calibri"/>
                <w:noProof/>
              </w:rPr>
            </w:pPr>
            <w:r>
              <w:rPr>
                <w:noProof/>
              </w:rPr>
              <w:t>96 400</w:t>
            </w:r>
          </w:p>
        </w:tc>
        <w:tc>
          <w:tcPr>
            <w:tcW w:w="550" w:type="dxa"/>
            <w:shd w:val="clear" w:color="auto" w:fill="C4EFCE"/>
            <w:noWrap/>
            <w:vAlign w:val="center"/>
            <w:hideMark/>
          </w:tcPr>
          <w:p w14:paraId="09C77FD6" w14:textId="77777777" w:rsidR="00E040FD" w:rsidRDefault="00740D64">
            <w:pPr>
              <w:pStyle w:val="P68B1DB1-Normal8"/>
              <w:spacing w:after="0" w:line="240" w:lineRule="auto"/>
              <w:jc w:val="center"/>
              <w:rPr>
                <w:rFonts w:eastAsia="Times New Roman" w:cs="Calibri"/>
                <w:noProof/>
              </w:rPr>
            </w:pPr>
            <w:r>
              <w:rPr>
                <w:noProof/>
              </w:rPr>
              <w:t>KVARTAL 1</w:t>
            </w:r>
          </w:p>
        </w:tc>
        <w:tc>
          <w:tcPr>
            <w:tcW w:w="682" w:type="dxa"/>
            <w:shd w:val="clear" w:color="auto" w:fill="C4EFCE"/>
            <w:noWrap/>
            <w:vAlign w:val="center"/>
            <w:hideMark/>
          </w:tcPr>
          <w:p w14:paraId="457FEE36" w14:textId="77777777" w:rsidR="00E040FD" w:rsidRDefault="00740D64">
            <w:pPr>
              <w:pStyle w:val="P68B1DB1-Normal8"/>
              <w:spacing w:after="0" w:line="240" w:lineRule="auto"/>
              <w:jc w:val="center"/>
              <w:rPr>
                <w:rFonts w:eastAsia="Times New Roman" w:cs="Calibri"/>
                <w:noProof/>
              </w:rPr>
            </w:pPr>
            <w:r>
              <w:rPr>
                <w:noProof/>
              </w:rPr>
              <w:t>2026</w:t>
            </w:r>
          </w:p>
        </w:tc>
        <w:tc>
          <w:tcPr>
            <w:tcW w:w="4458" w:type="dxa"/>
            <w:shd w:val="clear" w:color="auto" w:fill="C4EFCE"/>
            <w:vAlign w:val="center"/>
            <w:hideMark/>
          </w:tcPr>
          <w:p w14:paraId="5E2A4ED8" w14:textId="77777777" w:rsidR="00E040FD" w:rsidRDefault="00740D64">
            <w:pPr>
              <w:pStyle w:val="P68B1DB1-Normal8"/>
              <w:spacing w:after="0" w:line="240" w:lineRule="auto"/>
              <w:jc w:val="both"/>
              <w:rPr>
                <w:rFonts w:eastAsia="Times New Roman" w:cs="Calibri"/>
                <w:noProof/>
              </w:rPr>
            </w:pPr>
            <w:r>
              <w:rPr>
                <w:noProof/>
              </w:rPr>
              <w:t>Antal deltagare i utbildning i följande kapacitetsuppbyggnadsprogram:</w:t>
            </w:r>
          </w:p>
          <w:p w14:paraId="3545F647" w14:textId="77777777" w:rsidR="00E040FD" w:rsidRDefault="00740D64">
            <w:pPr>
              <w:pStyle w:val="P68B1DB1-Normal8"/>
              <w:spacing w:after="0" w:line="240" w:lineRule="auto"/>
              <w:jc w:val="both"/>
              <w:rPr>
                <w:rFonts w:eastAsia="Times New Roman" w:cs="Calibri"/>
                <w:noProof/>
              </w:rPr>
            </w:pPr>
            <w:r>
              <w:rPr>
                <w:i/>
                <w:noProof/>
              </w:rPr>
              <w:t>Programa de capacitação digital</w:t>
            </w:r>
            <w:r>
              <w:rPr>
                <w:noProof/>
              </w:rPr>
              <w:t xml:space="preserve"> </w:t>
            </w:r>
          </w:p>
          <w:p w14:paraId="4161D919" w14:textId="77777777" w:rsidR="00E040FD" w:rsidRDefault="00740D64">
            <w:pPr>
              <w:pStyle w:val="P68B1DB1-Normal8"/>
              <w:spacing w:after="0" w:line="240" w:lineRule="auto"/>
              <w:jc w:val="both"/>
              <w:rPr>
                <w:rFonts w:eastAsia="Times New Roman" w:cs="Calibri"/>
                <w:noProof/>
              </w:rPr>
            </w:pPr>
            <w:r>
              <w:rPr>
                <w:noProof/>
              </w:rPr>
              <w:t xml:space="preserve">Avancerad och högre utbildning inom förvaltning </w:t>
            </w:r>
          </w:p>
          <w:p w14:paraId="6D3A99C1" w14:textId="77777777" w:rsidR="00E040FD" w:rsidRDefault="00740D64">
            <w:pPr>
              <w:pStyle w:val="P68B1DB1-Normal8"/>
              <w:spacing w:after="0" w:line="240" w:lineRule="auto"/>
              <w:jc w:val="both"/>
              <w:rPr>
                <w:rFonts w:eastAsia="Times New Roman" w:cs="Calibri"/>
                <w:i/>
                <w:noProof/>
              </w:rPr>
            </w:pPr>
            <w:r>
              <w:rPr>
                <w:noProof/>
              </w:rPr>
              <w:t xml:space="preserve">Utbildning för </w:t>
            </w:r>
            <w:r>
              <w:rPr>
                <w:i/>
                <w:noProof/>
              </w:rPr>
              <w:t xml:space="preserve">Lojas do Cidadão/Espaços Cidadão </w:t>
            </w:r>
          </w:p>
          <w:p w14:paraId="0F98079D" w14:textId="77777777" w:rsidR="00E040FD" w:rsidRDefault="00740D64">
            <w:pPr>
              <w:pStyle w:val="P68B1DB1-Normal8"/>
              <w:spacing w:after="0" w:line="240" w:lineRule="auto"/>
              <w:jc w:val="both"/>
              <w:rPr>
                <w:rFonts w:eastAsia="Times New Roman" w:cs="Calibri"/>
                <w:noProof/>
              </w:rPr>
            </w:pPr>
            <w:r>
              <w:rPr>
                <w:i/>
                <w:noProof/>
              </w:rPr>
              <w:t>APA-programmet Qualifica</w:t>
            </w:r>
            <w:r>
              <w:rPr>
                <w:noProof/>
              </w:rPr>
              <w:t xml:space="preserve"> </w:t>
            </w:r>
          </w:p>
          <w:p w14:paraId="6471EAAE" w14:textId="77777777" w:rsidR="00E040FD" w:rsidRDefault="00740D64">
            <w:pPr>
              <w:pStyle w:val="P68B1DB1-Normal8"/>
              <w:spacing w:after="0" w:line="240" w:lineRule="auto"/>
              <w:jc w:val="both"/>
              <w:rPr>
                <w:rFonts w:eastAsia="Times New Roman" w:cs="Calibri"/>
                <w:noProof/>
              </w:rPr>
            </w:pPr>
            <w:r>
              <w:rPr>
                <w:noProof/>
              </w:rPr>
              <w:t>PlanAPP – projekt för planering och framsynthet</w:t>
            </w:r>
          </w:p>
          <w:p w14:paraId="57E273AB" w14:textId="2AC231AE" w:rsidR="00E040FD" w:rsidRDefault="00740D64">
            <w:pPr>
              <w:pStyle w:val="P68B1DB1-Normal8"/>
              <w:spacing w:after="0" w:line="240" w:lineRule="auto"/>
              <w:jc w:val="both"/>
              <w:rPr>
                <w:rFonts w:eastAsia="Times New Roman" w:cs="Calibri"/>
                <w:noProof/>
              </w:rPr>
            </w:pPr>
            <w:r>
              <w:rPr>
                <w:noProof/>
              </w:rPr>
              <w:t>SIADAP</w:t>
            </w:r>
          </w:p>
        </w:tc>
      </w:tr>
      <w:tr w:rsidR="00E040FD" w14:paraId="7FBC13AB" w14:textId="77777777">
        <w:trPr>
          <w:trHeight w:val="290"/>
        </w:trPr>
        <w:tc>
          <w:tcPr>
            <w:tcW w:w="1082" w:type="dxa"/>
            <w:shd w:val="clear" w:color="auto" w:fill="C4EFCE"/>
            <w:vAlign w:val="center"/>
          </w:tcPr>
          <w:p w14:paraId="58D022BD" w14:textId="64345F0E" w:rsidR="00E040FD" w:rsidRDefault="00740D64">
            <w:pPr>
              <w:pStyle w:val="P68B1DB1-Normal7"/>
              <w:spacing w:after="0" w:line="240" w:lineRule="auto"/>
              <w:jc w:val="center"/>
              <w:rPr>
                <w:rFonts w:eastAsia="Times New Roman" w:cs="Calibri"/>
                <w:noProof/>
              </w:rPr>
            </w:pPr>
            <w:r>
              <w:rPr>
                <w:noProof/>
              </w:rPr>
              <w:t>19.22</w:t>
            </w:r>
          </w:p>
        </w:tc>
        <w:tc>
          <w:tcPr>
            <w:tcW w:w="1211" w:type="dxa"/>
            <w:shd w:val="clear" w:color="auto" w:fill="C4EFCE"/>
            <w:noWrap/>
            <w:vAlign w:val="center"/>
          </w:tcPr>
          <w:p w14:paraId="43D1A15C" w14:textId="13068CEA" w:rsidR="00E040FD" w:rsidRDefault="00740D64">
            <w:pPr>
              <w:pStyle w:val="P68B1DB1-Normal8"/>
              <w:spacing w:after="0" w:line="240" w:lineRule="auto"/>
              <w:jc w:val="center"/>
              <w:rPr>
                <w:rFonts w:eastAsia="Times New Roman" w:cs="Calibri"/>
                <w:noProof/>
              </w:rPr>
            </w:pPr>
            <w:r>
              <w:rPr>
                <w:noProof/>
              </w:rPr>
              <w:t>TD-C19-r34</w:t>
            </w:r>
          </w:p>
        </w:tc>
        <w:tc>
          <w:tcPr>
            <w:tcW w:w="1080" w:type="dxa"/>
            <w:shd w:val="clear" w:color="auto" w:fill="C4EFCE"/>
            <w:noWrap/>
            <w:vAlign w:val="center"/>
          </w:tcPr>
          <w:p w14:paraId="5C282FC5" w14:textId="21349B74"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tcPr>
          <w:p w14:paraId="0CBD813F" w14:textId="660102B3" w:rsidR="00E040FD" w:rsidRDefault="00740D64">
            <w:pPr>
              <w:pStyle w:val="P68B1DB1-Normal8"/>
              <w:spacing w:after="0" w:line="240" w:lineRule="auto"/>
              <w:jc w:val="center"/>
              <w:rPr>
                <w:rFonts w:eastAsia="Times New Roman" w:cs="Calibri"/>
                <w:noProof/>
              </w:rPr>
            </w:pPr>
            <w:r>
              <w:rPr>
                <w:noProof/>
              </w:rPr>
              <w:t>Ikraftträdande av den rättsliga ramen för den digitala omvandlingen av den offentliga förvaltningen</w:t>
            </w:r>
          </w:p>
        </w:tc>
        <w:tc>
          <w:tcPr>
            <w:tcW w:w="1343" w:type="dxa"/>
            <w:shd w:val="clear" w:color="auto" w:fill="C4EFCE"/>
            <w:noWrap/>
            <w:vAlign w:val="center"/>
          </w:tcPr>
          <w:p w14:paraId="5D13F7D8" w14:textId="7CE7177C" w:rsidR="00E040FD" w:rsidRDefault="00740D64">
            <w:pPr>
              <w:pStyle w:val="P68B1DB1-Normal8"/>
              <w:spacing w:after="0" w:line="240" w:lineRule="auto"/>
              <w:jc w:val="center"/>
              <w:rPr>
                <w:rFonts w:eastAsia="Times New Roman" w:cs="Calibri"/>
                <w:noProof/>
              </w:rPr>
            </w:pPr>
            <w:r>
              <w:rPr>
                <w:noProof/>
              </w:rPr>
              <w:t>Ikraftträdande av den rättsliga ramen för den digitala omvandlingen av den offentliga förvaltningen</w:t>
            </w:r>
          </w:p>
        </w:tc>
        <w:tc>
          <w:tcPr>
            <w:tcW w:w="1134" w:type="dxa"/>
            <w:shd w:val="clear" w:color="auto" w:fill="C4EFCE"/>
            <w:noWrap/>
            <w:vAlign w:val="center"/>
          </w:tcPr>
          <w:p w14:paraId="62180EE1" w14:textId="77777777" w:rsidR="00E040FD" w:rsidRDefault="00E040FD">
            <w:pPr>
              <w:spacing w:after="0" w:line="240" w:lineRule="auto"/>
              <w:jc w:val="center"/>
              <w:rPr>
                <w:rFonts w:ascii="Calibri" w:eastAsia="Times New Roman" w:hAnsi="Calibri" w:cs="Calibri"/>
                <w:noProof/>
                <w:sz w:val="16"/>
              </w:rPr>
            </w:pPr>
          </w:p>
        </w:tc>
        <w:tc>
          <w:tcPr>
            <w:tcW w:w="947" w:type="dxa"/>
            <w:shd w:val="clear" w:color="auto" w:fill="C4EFCE"/>
            <w:noWrap/>
            <w:vAlign w:val="center"/>
          </w:tcPr>
          <w:p w14:paraId="4FFFBFC7" w14:textId="77777777" w:rsidR="00E040FD" w:rsidRDefault="00E040FD">
            <w:pPr>
              <w:spacing w:after="0" w:line="240" w:lineRule="auto"/>
              <w:jc w:val="center"/>
              <w:rPr>
                <w:rFonts w:ascii="Calibri" w:eastAsia="Times New Roman" w:hAnsi="Calibri" w:cs="Calibri"/>
                <w:noProof/>
                <w:sz w:val="16"/>
              </w:rPr>
            </w:pPr>
          </w:p>
        </w:tc>
        <w:tc>
          <w:tcPr>
            <w:tcW w:w="682" w:type="dxa"/>
            <w:shd w:val="clear" w:color="auto" w:fill="C4EFCE"/>
            <w:noWrap/>
            <w:vAlign w:val="center"/>
          </w:tcPr>
          <w:p w14:paraId="216D20AB" w14:textId="77777777" w:rsidR="00E040FD" w:rsidRDefault="00E040FD">
            <w:pPr>
              <w:spacing w:after="0" w:line="240" w:lineRule="auto"/>
              <w:jc w:val="center"/>
              <w:rPr>
                <w:rFonts w:ascii="Calibri" w:eastAsia="Times New Roman" w:hAnsi="Calibri" w:cs="Calibri"/>
                <w:noProof/>
                <w:sz w:val="16"/>
                <w:highlight w:val="yellow"/>
              </w:rPr>
            </w:pPr>
          </w:p>
        </w:tc>
        <w:tc>
          <w:tcPr>
            <w:tcW w:w="550" w:type="dxa"/>
            <w:shd w:val="clear" w:color="auto" w:fill="C4EFCE"/>
            <w:noWrap/>
            <w:vAlign w:val="center"/>
          </w:tcPr>
          <w:p w14:paraId="728AFEC2" w14:textId="63AE4ED8" w:rsidR="00E040FD" w:rsidRDefault="00740D64">
            <w:pPr>
              <w:pStyle w:val="P68B1DB1-Normal8"/>
              <w:spacing w:after="0" w:line="240" w:lineRule="auto"/>
              <w:jc w:val="center"/>
              <w:rPr>
                <w:rFonts w:eastAsia="Times New Roman" w:cs="Calibri"/>
                <w:noProof/>
              </w:rPr>
            </w:pPr>
            <w:r>
              <w:rPr>
                <w:noProof/>
              </w:rPr>
              <w:t>KVARTAL 3</w:t>
            </w:r>
          </w:p>
        </w:tc>
        <w:tc>
          <w:tcPr>
            <w:tcW w:w="682" w:type="dxa"/>
            <w:shd w:val="clear" w:color="auto" w:fill="C4EFCE"/>
            <w:noWrap/>
            <w:vAlign w:val="center"/>
          </w:tcPr>
          <w:p w14:paraId="595C52FC" w14:textId="2C811559" w:rsidR="00E040FD" w:rsidRDefault="00740D64">
            <w:pPr>
              <w:pStyle w:val="P68B1DB1-Normal8"/>
              <w:spacing w:after="0" w:line="240" w:lineRule="auto"/>
              <w:jc w:val="center"/>
              <w:rPr>
                <w:rFonts w:eastAsia="Times New Roman" w:cs="Calibri"/>
                <w:noProof/>
              </w:rPr>
            </w:pPr>
            <w:r>
              <w:rPr>
                <w:noProof/>
              </w:rPr>
              <w:t>2021</w:t>
            </w:r>
          </w:p>
        </w:tc>
        <w:tc>
          <w:tcPr>
            <w:tcW w:w="4458" w:type="dxa"/>
            <w:shd w:val="clear" w:color="auto" w:fill="C4EFCE"/>
            <w:vAlign w:val="center"/>
          </w:tcPr>
          <w:p w14:paraId="1CD11544" w14:textId="77777777" w:rsidR="00E040FD" w:rsidRDefault="00740D64">
            <w:pPr>
              <w:pStyle w:val="P68B1DB1-Normal8"/>
              <w:spacing w:after="0" w:line="240" w:lineRule="auto"/>
              <w:jc w:val="both"/>
              <w:rPr>
                <w:rFonts w:eastAsia="Times New Roman" w:cs="Calibri"/>
                <w:noProof/>
              </w:rPr>
            </w:pPr>
            <w:r>
              <w:rPr>
                <w:noProof/>
              </w:rPr>
              <w:t xml:space="preserve">Ikraftträdande av den rättsliga ramen för den digitala omvandlingen av den offentliga förvaltningen: </w:t>
            </w:r>
          </w:p>
          <w:p w14:paraId="42F64203" w14:textId="77777777" w:rsidR="00E040FD" w:rsidRDefault="00740D64">
            <w:pPr>
              <w:pStyle w:val="P68B1DB1-Normal8"/>
              <w:spacing w:after="0" w:line="240" w:lineRule="auto"/>
              <w:jc w:val="both"/>
              <w:rPr>
                <w:rFonts w:eastAsia="Times New Roman" w:cs="Calibri"/>
                <w:noProof/>
              </w:rPr>
            </w:pPr>
            <w:r>
              <w:rPr>
                <w:noProof/>
              </w:rPr>
              <w:t xml:space="preserve">i) Strategin och den övergripande handlingsplanen för den digitala omvandlingen av den offentliga förvaltningen och </w:t>
            </w:r>
          </w:p>
          <w:p w14:paraId="45E866C9" w14:textId="2B06E7C5" w:rsidR="00E040FD" w:rsidRDefault="00740D64">
            <w:pPr>
              <w:pStyle w:val="P68B1DB1-Normal8"/>
              <w:spacing w:after="0" w:line="240" w:lineRule="auto"/>
              <w:jc w:val="both"/>
              <w:rPr>
                <w:rFonts w:eastAsia="Times New Roman" w:cs="Calibri"/>
                <w:noProof/>
              </w:rPr>
            </w:pPr>
            <w:r>
              <w:rPr>
                <w:noProof/>
              </w:rPr>
              <w:t xml:space="preserve">II) Lagstiftningspaketet (inklusive förordningen om CNCS) om den nationella ramen för cybersäkerhet, som bygger på lag 46/2018  </w:t>
            </w:r>
          </w:p>
        </w:tc>
      </w:tr>
      <w:tr w:rsidR="00E040FD" w14:paraId="6ACE826A" w14:textId="77777777">
        <w:trPr>
          <w:trHeight w:val="640"/>
        </w:trPr>
        <w:tc>
          <w:tcPr>
            <w:tcW w:w="1082" w:type="dxa"/>
            <w:shd w:val="clear" w:color="auto" w:fill="C4EFCE"/>
            <w:vAlign w:val="center"/>
            <w:hideMark/>
          </w:tcPr>
          <w:p w14:paraId="5C1ED785" w14:textId="77777777" w:rsidR="00E040FD" w:rsidRDefault="00740D64">
            <w:pPr>
              <w:pStyle w:val="P68B1DB1-Normal7"/>
              <w:spacing w:after="0" w:line="240" w:lineRule="auto"/>
              <w:jc w:val="center"/>
              <w:rPr>
                <w:rFonts w:eastAsia="Times New Roman" w:cs="Calibri"/>
                <w:noProof/>
              </w:rPr>
            </w:pPr>
            <w:r>
              <w:rPr>
                <w:noProof/>
              </w:rPr>
              <w:t>19.23</w:t>
            </w:r>
          </w:p>
        </w:tc>
        <w:tc>
          <w:tcPr>
            <w:tcW w:w="1211" w:type="dxa"/>
            <w:shd w:val="clear" w:color="auto" w:fill="C4EFCE"/>
            <w:noWrap/>
            <w:vAlign w:val="center"/>
            <w:hideMark/>
          </w:tcPr>
          <w:p w14:paraId="263EFDAF" w14:textId="77777777" w:rsidR="00E040FD" w:rsidRDefault="00740D64">
            <w:pPr>
              <w:pStyle w:val="P68B1DB1-Normal8"/>
              <w:spacing w:after="0" w:line="240" w:lineRule="auto"/>
              <w:jc w:val="center"/>
              <w:rPr>
                <w:rFonts w:eastAsia="Times New Roman" w:cs="Calibri"/>
                <w:noProof/>
              </w:rPr>
            </w:pPr>
            <w:r>
              <w:rPr>
                <w:noProof/>
              </w:rPr>
              <w:t>TD-C19-r35</w:t>
            </w:r>
          </w:p>
        </w:tc>
        <w:tc>
          <w:tcPr>
            <w:tcW w:w="1080" w:type="dxa"/>
            <w:shd w:val="clear" w:color="auto" w:fill="C4EFCE"/>
            <w:noWrap/>
            <w:vAlign w:val="center"/>
            <w:hideMark/>
          </w:tcPr>
          <w:p w14:paraId="5996D96C" w14:textId="77777777"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0B1FDC94" w14:textId="77777777" w:rsidR="00E040FD" w:rsidRDefault="00740D64">
            <w:pPr>
              <w:pStyle w:val="P68B1DB1-Normal8"/>
              <w:spacing w:after="0" w:line="240" w:lineRule="auto"/>
              <w:jc w:val="center"/>
              <w:rPr>
                <w:rFonts w:eastAsia="Times New Roman" w:cs="Calibri"/>
                <w:noProof/>
              </w:rPr>
            </w:pPr>
            <w:r>
              <w:rPr>
                <w:noProof/>
              </w:rPr>
              <w:t>Ikraftträdande av lagstiftningspaketet för omorganisation av den offentliga förvaltningen</w:t>
            </w:r>
          </w:p>
        </w:tc>
        <w:tc>
          <w:tcPr>
            <w:tcW w:w="1343" w:type="dxa"/>
            <w:shd w:val="clear" w:color="auto" w:fill="C4EFCE"/>
            <w:noWrap/>
            <w:vAlign w:val="center"/>
            <w:hideMark/>
          </w:tcPr>
          <w:p w14:paraId="605DD329" w14:textId="77777777" w:rsidR="00E040FD" w:rsidRDefault="00740D64">
            <w:pPr>
              <w:pStyle w:val="P68B1DB1-Normal8"/>
              <w:spacing w:after="0" w:line="240" w:lineRule="auto"/>
              <w:jc w:val="center"/>
              <w:rPr>
                <w:rFonts w:eastAsia="Times New Roman" w:cs="Calibri"/>
                <w:noProof/>
              </w:rPr>
            </w:pPr>
            <w:r>
              <w:rPr>
                <w:noProof/>
              </w:rPr>
              <w:t>Ikraftträdande av lagstiftningspaketet för omorganisation av den offentliga förvaltningen</w:t>
            </w:r>
          </w:p>
        </w:tc>
        <w:tc>
          <w:tcPr>
            <w:tcW w:w="1134" w:type="dxa"/>
            <w:shd w:val="clear" w:color="auto" w:fill="C4EFCE"/>
            <w:noWrap/>
            <w:vAlign w:val="center"/>
            <w:hideMark/>
          </w:tcPr>
          <w:p w14:paraId="0A7AAAFB" w14:textId="77777777" w:rsidR="00E040FD" w:rsidRDefault="00740D64">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1EFE25EB" w14:textId="77777777" w:rsidR="00E040FD" w:rsidRDefault="00740D64">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17016DD5" w14:textId="77777777" w:rsidR="00E040FD" w:rsidRDefault="00740D64">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2CDF4678" w14:textId="77777777" w:rsidR="00E040FD" w:rsidRDefault="00740D64">
            <w:pPr>
              <w:pStyle w:val="P68B1DB1-Normal8"/>
              <w:spacing w:after="0" w:line="240" w:lineRule="auto"/>
              <w:jc w:val="center"/>
              <w:rPr>
                <w:rFonts w:eastAsia="Times New Roman" w:cs="Calibri"/>
                <w:noProof/>
              </w:rPr>
            </w:pPr>
            <w:r>
              <w:rPr>
                <w:noProof/>
              </w:rPr>
              <w:t>KVARTAL 4</w:t>
            </w:r>
          </w:p>
        </w:tc>
        <w:tc>
          <w:tcPr>
            <w:tcW w:w="682" w:type="dxa"/>
            <w:shd w:val="clear" w:color="auto" w:fill="C4EFCE"/>
            <w:noWrap/>
            <w:vAlign w:val="center"/>
            <w:hideMark/>
          </w:tcPr>
          <w:p w14:paraId="0C9F2504" w14:textId="77777777" w:rsidR="00E040FD" w:rsidRDefault="00740D64">
            <w:pPr>
              <w:pStyle w:val="P68B1DB1-Normal8"/>
              <w:spacing w:after="0" w:line="240" w:lineRule="auto"/>
              <w:jc w:val="center"/>
              <w:rPr>
                <w:rFonts w:eastAsia="Times New Roman" w:cs="Calibri"/>
                <w:noProof/>
              </w:rPr>
            </w:pPr>
            <w:r>
              <w:rPr>
                <w:noProof/>
              </w:rPr>
              <w:t>2023</w:t>
            </w:r>
          </w:p>
        </w:tc>
        <w:tc>
          <w:tcPr>
            <w:tcW w:w="4458" w:type="dxa"/>
            <w:shd w:val="clear" w:color="auto" w:fill="C4EFCE"/>
            <w:vAlign w:val="center"/>
            <w:hideMark/>
          </w:tcPr>
          <w:p w14:paraId="505BBF80" w14:textId="77777777" w:rsidR="00E040FD" w:rsidRDefault="00740D64">
            <w:pPr>
              <w:pStyle w:val="P68B1DB1-Normal8"/>
              <w:spacing w:after="0" w:line="240" w:lineRule="auto"/>
              <w:jc w:val="both"/>
              <w:rPr>
                <w:rFonts w:eastAsia="Times New Roman" w:cs="Calibri"/>
                <w:noProof/>
              </w:rPr>
            </w:pPr>
            <w:r>
              <w:rPr>
                <w:noProof/>
              </w:rPr>
              <w:t xml:space="preserve">Ikraftträdande av lagstiftning som är nödvändig för att genomföra de funktionella och organisatoriska förändringarna i den centrala offentliga förvaltningen på grundval av rapporten </w:t>
            </w:r>
            <w:r>
              <w:rPr>
                <w:i/>
                <w:noProof/>
              </w:rPr>
              <w:t>från Estrutura de</w:t>
            </w:r>
            <w:r>
              <w:rPr>
                <w:noProof/>
              </w:rPr>
              <w:t xml:space="preserve"> missão som inrättats genom ministerrådets resolution </w:t>
            </w:r>
          </w:p>
        </w:tc>
      </w:tr>
      <w:tr w:rsidR="00E040FD" w14:paraId="3BEC967D" w14:textId="77777777">
        <w:trPr>
          <w:trHeight w:val="430"/>
        </w:trPr>
        <w:tc>
          <w:tcPr>
            <w:tcW w:w="1082" w:type="dxa"/>
            <w:shd w:val="clear" w:color="auto" w:fill="C4EFCE"/>
            <w:vAlign w:val="center"/>
            <w:hideMark/>
          </w:tcPr>
          <w:p w14:paraId="0F6E1273" w14:textId="77777777" w:rsidR="00E040FD" w:rsidRDefault="00740D64">
            <w:pPr>
              <w:pStyle w:val="P68B1DB1-Normal7"/>
              <w:spacing w:after="0" w:line="240" w:lineRule="auto"/>
              <w:jc w:val="center"/>
              <w:rPr>
                <w:rFonts w:eastAsia="Times New Roman" w:cs="Calibri"/>
                <w:noProof/>
              </w:rPr>
            </w:pPr>
            <w:r>
              <w:rPr>
                <w:noProof/>
              </w:rPr>
              <w:t>19.24</w:t>
            </w:r>
          </w:p>
        </w:tc>
        <w:tc>
          <w:tcPr>
            <w:tcW w:w="1211" w:type="dxa"/>
            <w:shd w:val="clear" w:color="auto" w:fill="C4EFCE"/>
            <w:noWrap/>
            <w:vAlign w:val="center"/>
            <w:hideMark/>
          </w:tcPr>
          <w:p w14:paraId="0CC675A9" w14:textId="77777777" w:rsidR="00E040FD" w:rsidRDefault="00740D64">
            <w:pPr>
              <w:pStyle w:val="P68B1DB1-Normal8"/>
              <w:spacing w:after="0" w:line="240" w:lineRule="auto"/>
              <w:jc w:val="center"/>
              <w:rPr>
                <w:rFonts w:eastAsia="Times New Roman" w:cs="Calibri"/>
                <w:noProof/>
              </w:rPr>
            </w:pPr>
            <w:r>
              <w:rPr>
                <w:noProof/>
              </w:rPr>
              <w:t>TD-C19-r36</w:t>
            </w:r>
          </w:p>
        </w:tc>
        <w:tc>
          <w:tcPr>
            <w:tcW w:w="1080" w:type="dxa"/>
            <w:shd w:val="clear" w:color="auto" w:fill="C4EFCE"/>
            <w:noWrap/>
            <w:vAlign w:val="center"/>
            <w:hideMark/>
          </w:tcPr>
          <w:p w14:paraId="349C8A7E" w14:textId="77777777" w:rsidR="00E040FD" w:rsidRDefault="00740D64">
            <w:pPr>
              <w:pStyle w:val="P68B1DB1-Normal8"/>
              <w:spacing w:after="0" w:line="240" w:lineRule="auto"/>
              <w:jc w:val="center"/>
              <w:rPr>
                <w:rFonts w:eastAsia="Times New Roman" w:cs="Calibri"/>
                <w:noProof/>
              </w:rPr>
            </w:pPr>
            <w:r>
              <w:rPr>
                <w:noProof/>
              </w:rPr>
              <w:t>M</w:t>
            </w:r>
          </w:p>
        </w:tc>
        <w:tc>
          <w:tcPr>
            <w:tcW w:w="1609" w:type="dxa"/>
            <w:shd w:val="clear" w:color="auto" w:fill="C4EFCE"/>
            <w:noWrap/>
            <w:vAlign w:val="center"/>
            <w:hideMark/>
          </w:tcPr>
          <w:p w14:paraId="7479E327" w14:textId="77777777" w:rsidR="00E040FD" w:rsidRDefault="00740D64">
            <w:pPr>
              <w:pStyle w:val="P68B1DB1-Normal8"/>
              <w:spacing w:after="0" w:line="240" w:lineRule="auto"/>
              <w:jc w:val="center"/>
              <w:rPr>
                <w:rFonts w:eastAsia="Times New Roman" w:cs="Calibri"/>
                <w:noProof/>
              </w:rPr>
            </w:pPr>
            <w:r>
              <w:rPr>
                <w:noProof/>
              </w:rPr>
              <w:t xml:space="preserve"> Inrättande av det nationella förvaltningsinstitutet, I.P.</w:t>
            </w:r>
          </w:p>
        </w:tc>
        <w:tc>
          <w:tcPr>
            <w:tcW w:w="1343" w:type="dxa"/>
            <w:shd w:val="clear" w:color="auto" w:fill="C4EFCE"/>
            <w:noWrap/>
            <w:vAlign w:val="center"/>
            <w:hideMark/>
          </w:tcPr>
          <w:p w14:paraId="030C5824" w14:textId="77777777" w:rsidR="00E040FD" w:rsidRDefault="00740D64">
            <w:pPr>
              <w:pStyle w:val="P68B1DB1-Normal8"/>
              <w:spacing w:after="0" w:line="240" w:lineRule="auto"/>
              <w:jc w:val="center"/>
              <w:rPr>
                <w:rFonts w:eastAsia="Times New Roman" w:cs="Calibri"/>
                <w:noProof/>
              </w:rPr>
            </w:pPr>
            <w:r>
              <w:rPr>
                <w:noProof/>
              </w:rPr>
              <w:t>Inrättande av det nationella förvaltningsinstitutet, I.P. genom rättsakt</w:t>
            </w:r>
          </w:p>
        </w:tc>
        <w:tc>
          <w:tcPr>
            <w:tcW w:w="1134" w:type="dxa"/>
            <w:shd w:val="clear" w:color="auto" w:fill="C4EFCE"/>
            <w:noWrap/>
            <w:vAlign w:val="center"/>
            <w:hideMark/>
          </w:tcPr>
          <w:p w14:paraId="0B9E120E" w14:textId="77777777" w:rsidR="00E040FD" w:rsidRDefault="00740D64">
            <w:pPr>
              <w:pStyle w:val="P68B1DB1-Normal8"/>
              <w:spacing w:after="0" w:line="240" w:lineRule="auto"/>
              <w:jc w:val="center"/>
              <w:rPr>
                <w:rFonts w:eastAsia="Times New Roman" w:cs="Calibri"/>
                <w:noProof/>
              </w:rPr>
            </w:pPr>
            <w:r>
              <w:rPr>
                <w:noProof/>
              </w:rPr>
              <w:t> </w:t>
            </w:r>
          </w:p>
        </w:tc>
        <w:tc>
          <w:tcPr>
            <w:tcW w:w="947" w:type="dxa"/>
            <w:shd w:val="clear" w:color="auto" w:fill="C4EFCE"/>
            <w:noWrap/>
            <w:vAlign w:val="center"/>
            <w:hideMark/>
          </w:tcPr>
          <w:p w14:paraId="4A2766AC" w14:textId="77777777" w:rsidR="00E040FD" w:rsidRDefault="00740D64">
            <w:pPr>
              <w:pStyle w:val="P68B1DB1-Normal8"/>
              <w:spacing w:after="0" w:line="240" w:lineRule="auto"/>
              <w:jc w:val="center"/>
              <w:rPr>
                <w:rFonts w:eastAsia="Times New Roman" w:cs="Calibri"/>
                <w:noProof/>
              </w:rPr>
            </w:pPr>
            <w:r>
              <w:rPr>
                <w:noProof/>
              </w:rPr>
              <w:t> </w:t>
            </w:r>
          </w:p>
        </w:tc>
        <w:tc>
          <w:tcPr>
            <w:tcW w:w="682" w:type="dxa"/>
            <w:shd w:val="clear" w:color="auto" w:fill="C4EFCE"/>
            <w:noWrap/>
            <w:vAlign w:val="center"/>
            <w:hideMark/>
          </w:tcPr>
          <w:p w14:paraId="649ABF2C" w14:textId="77777777" w:rsidR="00E040FD" w:rsidRDefault="00740D64">
            <w:pPr>
              <w:pStyle w:val="P68B1DB1-Normal8"/>
              <w:spacing w:after="0" w:line="240" w:lineRule="auto"/>
              <w:jc w:val="center"/>
              <w:rPr>
                <w:rFonts w:eastAsia="Times New Roman" w:cs="Calibri"/>
                <w:noProof/>
              </w:rPr>
            </w:pPr>
            <w:r>
              <w:rPr>
                <w:noProof/>
              </w:rPr>
              <w:t> </w:t>
            </w:r>
          </w:p>
        </w:tc>
        <w:tc>
          <w:tcPr>
            <w:tcW w:w="550" w:type="dxa"/>
            <w:shd w:val="clear" w:color="auto" w:fill="C4EFCE"/>
            <w:noWrap/>
            <w:vAlign w:val="center"/>
            <w:hideMark/>
          </w:tcPr>
          <w:p w14:paraId="1FA4DEB7" w14:textId="77777777" w:rsidR="00E040FD" w:rsidRDefault="00740D64">
            <w:pPr>
              <w:pStyle w:val="P68B1DB1-Normal8"/>
              <w:spacing w:after="0" w:line="240" w:lineRule="auto"/>
              <w:jc w:val="center"/>
              <w:rPr>
                <w:rFonts w:eastAsia="Times New Roman" w:cs="Calibri"/>
                <w:noProof/>
              </w:rPr>
            </w:pPr>
            <w:r>
              <w:rPr>
                <w:noProof/>
              </w:rPr>
              <w:t>KVARTAL 2</w:t>
            </w:r>
          </w:p>
        </w:tc>
        <w:tc>
          <w:tcPr>
            <w:tcW w:w="682" w:type="dxa"/>
            <w:shd w:val="clear" w:color="auto" w:fill="C4EFCE"/>
            <w:noWrap/>
            <w:vAlign w:val="center"/>
            <w:hideMark/>
          </w:tcPr>
          <w:p w14:paraId="1300E342" w14:textId="77777777" w:rsidR="00E040FD" w:rsidRDefault="00740D64">
            <w:pPr>
              <w:pStyle w:val="P68B1DB1-Normal8"/>
              <w:spacing w:after="0" w:line="240" w:lineRule="auto"/>
              <w:jc w:val="center"/>
              <w:rPr>
                <w:rFonts w:eastAsia="Times New Roman" w:cs="Calibri"/>
                <w:noProof/>
              </w:rPr>
            </w:pPr>
            <w:r>
              <w:rPr>
                <w:noProof/>
              </w:rPr>
              <w:t>2021</w:t>
            </w:r>
          </w:p>
        </w:tc>
        <w:tc>
          <w:tcPr>
            <w:tcW w:w="4458" w:type="dxa"/>
            <w:shd w:val="clear" w:color="auto" w:fill="C4EFCE"/>
            <w:vAlign w:val="center"/>
            <w:hideMark/>
          </w:tcPr>
          <w:p w14:paraId="241B071D" w14:textId="77777777" w:rsidR="00E040FD" w:rsidRDefault="00740D64">
            <w:pPr>
              <w:pStyle w:val="P68B1DB1-Normal8"/>
              <w:spacing w:after="0" w:line="240" w:lineRule="auto"/>
              <w:jc w:val="both"/>
              <w:rPr>
                <w:rFonts w:eastAsia="Times New Roman" w:cs="Calibri"/>
                <w:noProof/>
              </w:rPr>
            </w:pPr>
            <w:r>
              <w:rPr>
                <w:noProof/>
              </w:rPr>
              <w:t xml:space="preserve">Inrättande genom en rättsakt av </w:t>
            </w:r>
            <w:r>
              <w:rPr>
                <w:i/>
                <w:noProof/>
              </w:rPr>
              <w:t>Instituto Nacional de Administração, IP</w:t>
            </w:r>
            <w:r>
              <w:rPr>
                <w:noProof/>
              </w:rPr>
              <w:t>, som möjliggör utbildningsverksamhet för den offentliga förvaltningen</w:t>
            </w:r>
          </w:p>
        </w:tc>
      </w:tr>
      <w:tr w:rsidR="00E040FD" w14:paraId="7E83CB0B" w14:textId="77777777">
        <w:trPr>
          <w:trHeight w:val="430"/>
        </w:trPr>
        <w:tc>
          <w:tcPr>
            <w:tcW w:w="1082" w:type="dxa"/>
            <w:shd w:val="clear" w:color="auto" w:fill="C4EFCE"/>
            <w:vAlign w:val="center"/>
          </w:tcPr>
          <w:p w14:paraId="18E9975D" w14:textId="11D15DFC" w:rsidR="00E040FD" w:rsidRDefault="00740D64">
            <w:pPr>
              <w:pStyle w:val="P68B1DB1-Normal11"/>
              <w:spacing w:after="0" w:line="240" w:lineRule="auto"/>
              <w:jc w:val="center"/>
              <w:rPr>
                <w:rFonts w:eastAsia="Times New Roman" w:cstheme="minorHAnsi"/>
                <w:noProof/>
              </w:rPr>
            </w:pPr>
            <w:r>
              <w:rPr>
                <w:noProof/>
              </w:rPr>
              <w:t>19.30</w:t>
            </w:r>
          </w:p>
        </w:tc>
        <w:tc>
          <w:tcPr>
            <w:tcW w:w="1211" w:type="dxa"/>
            <w:shd w:val="clear" w:color="auto" w:fill="C4EFCE"/>
            <w:noWrap/>
            <w:vAlign w:val="center"/>
          </w:tcPr>
          <w:p w14:paraId="5460871A" w14:textId="02F65AC9" w:rsidR="00E040FD" w:rsidRDefault="00740D64">
            <w:pPr>
              <w:pStyle w:val="P68B1DB1-Normal12"/>
              <w:spacing w:after="0" w:line="240" w:lineRule="auto"/>
              <w:jc w:val="center"/>
              <w:rPr>
                <w:rFonts w:eastAsia="Times New Roman" w:cstheme="minorHAnsi"/>
                <w:noProof/>
              </w:rPr>
            </w:pPr>
            <w:r>
              <w:rPr>
                <w:noProof/>
              </w:rPr>
              <w:t>TD-C19-r41</w:t>
            </w:r>
          </w:p>
        </w:tc>
        <w:tc>
          <w:tcPr>
            <w:tcW w:w="1080" w:type="dxa"/>
            <w:shd w:val="clear" w:color="auto" w:fill="C4EFCE"/>
            <w:noWrap/>
            <w:vAlign w:val="center"/>
          </w:tcPr>
          <w:p w14:paraId="162BD2C1" w14:textId="67F68A48" w:rsidR="00E040FD" w:rsidRDefault="00740D64">
            <w:pPr>
              <w:pStyle w:val="P68B1DB1-Normal12"/>
              <w:spacing w:after="0" w:line="240" w:lineRule="auto"/>
              <w:jc w:val="center"/>
              <w:rPr>
                <w:rFonts w:eastAsia="Times New Roman" w:cstheme="minorHAnsi"/>
                <w:noProof/>
              </w:rPr>
            </w:pPr>
            <w:r>
              <w:rPr>
                <w:noProof/>
              </w:rPr>
              <w:t>M</w:t>
            </w:r>
          </w:p>
        </w:tc>
        <w:tc>
          <w:tcPr>
            <w:tcW w:w="1609" w:type="dxa"/>
            <w:shd w:val="clear" w:color="auto" w:fill="C4EFCE"/>
            <w:noWrap/>
            <w:vAlign w:val="center"/>
          </w:tcPr>
          <w:p w14:paraId="2A40F594" w14:textId="7823E16A" w:rsidR="00E040FD" w:rsidRDefault="00740D64">
            <w:pPr>
              <w:pStyle w:val="P68B1DB1-Normal12"/>
              <w:spacing w:after="0" w:line="240" w:lineRule="auto"/>
              <w:jc w:val="center"/>
              <w:rPr>
                <w:rFonts w:eastAsia="Times New Roman" w:cstheme="minorHAnsi"/>
                <w:noProof/>
              </w:rPr>
            </w:pPr>
            <w:r>
              <w:rPr>
                <w:noProof/>
              </w:rPr>
              <w:t>Ikraftträdande av lagstiftningsakten om tillgång till offentliga tjänster</w:t>
            </w:r>
          </w:p>
        </w:tc>
        <w:tc>
          <w:tcPr>
            <w:tcW w:w="1343" w:type="dxa"/>
            <w:shd w:val="clear" w:color="auto" w:fill="C4EFCE"/>
            <w:noWrap/>
            <w:vAlign w:val="center"/>
          </w:tcPr>
          <w:p w14:paraId="191A02D6" w14:textId="280F4306" w:rsidR="00E040FD" w:rsidRDefault="00740D64">
            <w:pPr>
              <w:pStyle w:val="P68B1DB1-Normal12"/>
              <w:spacing w:after="0" w:line="240" w:lineRule="auto"/>
              <w:jc w:val="center"/>
              <w:rPr>
                <w:rFonts w:eastAsia="Times New Roman" w:cstheme="minorHAnsi"/>
                <w:noProof/>
              </w:rPr>
            </w:pPr>
            <w:r>
              <w:rPr>
                <w:noProof/>
              </w:rPr>
              <w:t xml:space="preserve">Bestämmelse i lagstiftningen som anger lagstiftningens ikraftträdande </w:t>
            </w:r>
          </w:p>
        </w:tc>
        <w:tc>
          <w:tcPr>
            <w:tcW w:w="1134" w:type="dxa"/>
            <w:shd w:val="clear" w:color="auto" w:fill="C4EFCE"/>
            <w:noWrap/>
            <w:vAlign w:val="center"/>
          </w:tcPr>
          <w:p w14:paraId="15EB9DF1" w14:textId="77777777" w:rsidR="00E040FD" w:rsidRDefault="00E040FD">
            <w:pPr>
              <w:spacing w:after="0" w:line="240" w:lineRule="auto"/>
              <w:jc w:val="center"/>
              <w:rPr>
                <w:rFonts w:eastAsia="Times New Roman" w:cstheme="minorHAnsi"/>
                <w:noProof/>
                <w:sz w:val="16"/>
              </w:rPr>
            </w:pPr>
          </w:p>
        </w:tc>
        <w:tc>
          <w:tcPr>
            <w:tcW w:w="947" w:type="dxa"/>
            <w:shd w:val="clear" w:color="auto" w:fill="C4EFCE"/>
            <w:noWrap/>
            <w:vAlign w:val="center"/>
          </w:tcPr>
          <w:p w14:paraId="0B16E3FF" w14:textId="77777777" w:rsidR="00E040FD" w:rsidRDefault="00E040FD">
            <w:pPr>
              <w:spacing w:after="0" w:line="240" w:lineRule="auto"/>
              <w:jc w:val="center"/>
              <w:rPr>
                <w:rFonts w:eastAsia="Times New Roman" w:cstheme="minorHAnsi"/>
                <w:noProof/>
                <w:sz w:val="16"/>
              </w:rPr>
            </w:pPr>
          </w:p>
        </w:tc>
        <w:tc>
          <w:tcPr>
            <w:tcW w:w="682" w:type="dxa"/>
            <w:shd w:val="clear" w:color="auto" w:fill="C4EFCE"/>
            <w:noWrap/>
            <w:vAlign w:val="center"/>
          </w:tcPr>
          <w:p w14:paraId="08355F05" w14:textId="77777777" w:rsidR="00E040FD" w:rsidRDefault="00E040FD">
            <w:pPr>
              <w:spacing w:after="0" w:line="240" w:lineRule="auto"/>
              <w:jc w:val="center"/>
              <w:rPr>
                <w:rFonts w:eastAsia="Times New Roman" w:cstheme="minorHAnsi"/>
                <w:noProof/>
                <w:sz w:val="16"/>
              </w:rPr>
            </w:pPr>
          </w:p>
        </w:tc>
        <w:tc>
          <w:tcPr>
            <w:tcW w:w="550" w:type="dxa"/>
            <w:shd w:val="clear" w:color="auto" w:fill="C4EFCE"/>
            <w:noWrap/>
            <w:vAlign w:val="center"/>
          </w:tcPr>
          <w:p w14:paraId="028AEAD5" w14:textId="7004A912" w:rsidR="00E040FD" w:rsidRDefault="00740D64">
            <w:pPr>
              <w:pStyle w:val="P68B1DB1-Normal12"/>
              <w:spacing w:after="0" w:line="240" w:lineRule="auto"/>
              <w:jc w:val="center"/>
              <w:rPr>
                <w:rFonts w:eastAsia="Times New Roman" w:cstheme="minorHAnsi"/>
                <w:noProof/>
              </w:rPr>
            </w:pPr>
            <w:r>
              <w:rPr>
                <w:noProof/>
              </w:rPr>
              <w:t>KVARTAL 3</w:t>
            </w:r>
          </w:p>
        </w:tc>
        <w:tc>
          <w:tcPr>
            <w:tcW w:w="682" w:type="dxa"/>
            <w:shd w:val="clear" w:color="auto" w:fill="C4EFCE"/>
            <w:noWrap/>
            <w:vAlign w:val="center"/>
          </w:tcPr>
          <w:p w14:paraId="265FA0B5" w14:textId="7DD6FBCA" w:rsidR="00E040FD" w:rsidRDefault="00740D64">
            <w:pPr>
              <w:pStyle w:val="P68B1DB1-Normal12"/>
              <w:spacing w:after="0" w:line="240" w:lineRule="auto"/>
              <w:jc w:val="center"/>
              <w:rPr>
                <w:rFonts w:eastAsia="Times New Roman" w:cstheme="minorHAnsi"/>
                <w:noProof/>
              </w:rPr>
            </w:pPr>
            <w:r>
              <w:rPr>
                <w:noProof/>
              </w:rPr>
              <w:t>2025</w:t>
            </w:r>
          </w:p>
        </w:tc>
        <w:tc>
          <w:tcPr>
            <w:tcW w:w="4458" w:type="dxa"/>
            <w:shd w:val="clear" w:color="auto" w:fill="C4EFCE"/>
            <w:vAlign w:val="center"/>
          </w:tcPr>
          <w:p w14:paraId="3DA5037E" w14:textId="298CCB37" w:rsidR="00E040FD" w:rsidRDefault="00740D64">
            <w:pPr>
              <w:pStyle w:val="P68B1DB1-Normal12"/>
              <w:spacing w:after="0" w:line="240" w:lineRule="auto"/>
              <w:jc w:val="both"/>
              <w:rPr>
                <w:rFonts w:eastAsia="Times New Roman" w:cstheme="minorHAnsi"/>
                <w:noProof/>
              </w:rPr>
            </w:pPr>
            <w:r>
              <w:rPr>
                <w:noProof/>
              </w:rPr>
              <w:t xml:space="preserve">Ikraftträdande av den lagstiftningsakt som ska harmonisera och konsolidera tillgången till offentliga tjänster på plats och online samt utöka antalet tillgängliga tjänster i den gemensamma portalen för offentliga tjänster.   </w:t>
            </w:r>
          </w:p>
        </w:tc>
      </w:tr>
      <w:tr w:rsidR="00E040FD" w14:paraId="70FA8B5F" w14:textId="77777777">
        <w:trPr>
          <w:trHeight w:val="430"/>
        </w:trPr>
        <w:tc>
          <w:tcPr>
            <w:tcW w:w="1082" w:type="dxa"/>
            <w:shd w:val="clear" w:color="auto" w:fill="C4EFCE"/>
            <w:vAlign w:val="center"/>
          </w:tcPr>
          <w:p w14:paraId="5D5EB9E9" w14:textId="2177C7F7" w:rsidR="00E040FD" w:rsidRDefault="00740D64">
            <w:pPr>
              <w:pStyle w:val="P68B1DB1-Normal11"/>
              <w:spacing w:after="0" w:line="240" w:lineRule="auto"/>
              <w:jc w:val="center"/>
              <w:rPr>
                <w:rFonts w:eastAsia="Times New Roman" w:cstheme="minorHAnsi"/>
                <w:noProof/>
              </w:rPr>
            </w:pPr>
            <w:r>
              <w:rPr>
                <w:noProof/>
              </w:rPr>
              <w:t>19.31</w:t>
            </w:r>
          </w:p>
        </w:tc>
        <w:tc>
          <w:tcPr>
            <w:tcW w:w="1211" w:type="dxa"/>
            <w:shd w:val="clear" w:color="auto" w:fill="C4EFCE"/>
            <w:noWrap/>
            <w:vAlign w:val="center"/>
          </w:tcPr>
          <w:p w14:paraId="160F0E2B" w14:textId="668FB811" w:rsidR="00E040FD" w:rsidRDefault="00740D64">
            <w:pPr>
              <w:pStyle w:val="P68B1DB1-Bodytext1013"/>
              <w:spacing w:after="0"/>
              <w:jc w:val="center"/>
              <w:rPr>
                <w:rFonts w:cstheme="minorHAnsi"/>
                <w:noProof/>
              </w:rPr>
            </w:pPr>
            <w:r>
              <w:rPr>
                <w:noProof/>
              </w:rPr>
              <w:t>TD-C19-r42</w:t>
            </w:r>
          </w:p>
        </w:tc>
        <w:tc>
          <w:tcPr>
            <w:tcW w:w="1080" w:type="dxa"/>
            <w:shd w:val="clear" w:color="auto" w:fill="C4EFCE"/>
            <w:noWrap/>
            <w:vAlign w:val="center"/>
          </w:tcPr>
          <w:p w14:paraId="5A9F3806" w14:textId="793E38CA" w:rsidR="00E040FD" w:rsidRDefault="00740D64">
            <w:pPr>
              <w:pStyle w:val="P68B1DB1-Normal12"/>
              <w:spacing w:after="0" w:line="240" w:lineRule="auto"/>
              <w:jc w:val="center"/>
              <w:rPr>
                <w:rFonts w:eastAsia="Times New Roman" w:cstheme="minorHAnsi"/>
                <w:noProof/>
              </w:rPr>
            </w:pPr>
            <w:r>
              <w:rPr>
                <w:noProof/>
              </w:rPr>
              <w:t xml:space="preserve"> M</w:t>
            </w:r>
          </w:p>
        </w:tc>
        <w:tc>
          <w:tcPr>
            <w:tcW w:w="1609" w:type="dxa"/>
            <w:shd w:val="clear" w:color="auto" w:fill="C4EFCE"/>
            <w:noWrap/>
            <w:vAlign w:val="center"/>
          </w:tcPr>
          <w:p w14:paraId="2935250F" w14:textId="2D44B127" w:rsidR="00E040FD" w:rsidRDefault="00740D64">
            <w:pPr>
              <w:pStyle w:val="P68B1DB1-Bodytext1013"/>
              <w:jc w:val="center"/>
              <w:rPr>
                <w:rFonts w:cstheme="minorHAnsi"/>
                <w:noProof/>
              </w:rPr>
            </w:pPr>
            <w:r>
              <w:rPr>
                <w:noProof/>
              </w:rPr>
              <w:t>Ikraftträdande av den rättsakt som reviderar SIADAP</w:t>
            </w:r>
          </w:p>
        </w:tc>
        <w:tc>
          <w:tcPr>
            <w:tcW w:w="1343" w:type="dxa"/>
            <w:shd w:val="clear" w:color="auto" w:fill="C4EFCE"/>
            <w:noWrap/>
            <w:vAlign w:val="center"/>
          </w:tcPr>
          <w:p w14:paraId="76DB72FC" w14:textId="202A9E7E" w:rsidR="00E040FD" w:rsidRDefault="00740D64">
            <w:pPr>
              <w:pStyle w:val="P68B1DB1-Normal12"/>
              <w:spacing w:after="0" w:line="240" w:lineRule="auto"/>
              <w:jc w:val="center"/>
              <w:rPr>
                <w:rFonts w:eastAsia="Times New Roman" w:cstheme="minorHAnsi"/>
                <w:noProof/>
              </w:rPr>
            </w:pPr>
            <w:r>
              <w:rPr>
                <w:noProof/>
              </w:rPr>
              <w:t xml:space="preserve">Bestämmelse i lagstiftningsakten som anger när lagstiftningsakten träder i kraft </w:t>
            </w:r>
          </w:p>
        </w:tc>
        <w:tc>
          <w:tcPr>
            <w:tcW w:w="1134" w:type="dxa"/>
            <w:shd w:val="clear" w:color="auto" w:fill="C4EFCE"/>
            <w:noWrap/>
            <w:vAlign w:val="center"/>
          </w:tcPr>
          <w:p w14:paraId="5BD712C6" w14:textId="68D529B9" w:rsidR="00E040FD" w:rsidRDefault="00740D64">
            <w:pPr>
              <w:pStyle w:val="P68B1DB1-Normal12"/>
              <w:spacing w:after="0" w:line="240" w:lineRule="auto"/>
              <w:jc w:val="center"/>
              <w:rPr>
                <w:rFonts w:eastAsia="Times New Roman" w:cstheme="minorHAnsi"/>
                <w:noProof/>
              </w:rPr>
            </w:pPr>
            <w:r>
              <w:rPr>
                <w:noProof/>
              </w:rPr>
              <w:t xml:space="preserve"> </w:t>
            </w:r>
          </w:p>
        </w:tc>
        <w:tc>
          <w:tcPr>
            <w:tcW w:w="947" w:type="dxa"/>
            <w:shd w:val="clear" w:color="auto" w:fill="C4EFCE"/>
            <w:noWrap/>
            <w:vAlign w:val="center"/>
          </w:tcPr>
          <w:p w14:paraId="64F81F0D" w14:textId="54AE8BAD" w:rsidR="00E040FD" w:rsidRDefault="00740D64">
            <w:pPr>
              <w:pStyle w:val="P68B1DB1-Normal12"/>
              <w:spacing w:after="0" w:line="240" w:lineRule="auto"/>
              <w:jc w:val="center"/>
              <w:rPr>
                <w:rFonts w:eastAsia="Times New Roman" w:cstheme="minorHAnsi"/>
                <w:noProof/>
              </w:rPr>
            </w:pPr>
            <w:r>
              <w:rPr>
                <w:noProof/>
              </w:rPr>
              <w:t xml:space="preserve"> </w:t>
            </w:r>
          </w:p>
        </w:tc>
        <w:tc>
          <w:tcPr>
            <w:tcW w:w="682" w:type="dxa"/>
            <w:shd w:val="clear" w:color="auto" w:fill="C4EFCE"/>
            <w:noWrap/>
            <w:vAlign w:val="center"/>
          </w:tcPr>
          <w:p w14:paraId="1DCC2FDC" w14:textId="47315426" w:rsidR="00E040FD" w:rsidRDefault="00740D64">
            <w:pPr>
              <w:pStyle w:val="P68B1DB1-Normal12"/>
              <w:spacing w:after="0" w:line="240" w:lineRule="auto"/>
              <w:jc w:val="center"/>
              <w:rPr>
                <w:rFonts w:eastAsia="Times New Roman" w:cstheme="minorHAnsi"/>
                <w:noProof/>
              </w:rPr>
            </w:pPr>
            <w:r>
              <w:rPr>
                <w:noProof/>
              </w:rPr>
              <w:t xml:space="preserve"> </w:t>
            </w:r>
          </w:p>
        </w:tc>
        <w:tc>
          <w:tcPr>
            <w:tcW w:w="550" w:type="dxa"/>
            <w:shd w:val="clear" w:color="auto" w:fill="C4EFCE"/>
            <w:noWrap/>
            <w:vAlign w:val="center"/>
          </w:tcPr>
          <w:p w14:paraId="3D54C13F" w14:textId="4A7609A6" w:rsidR="00E040FD" w:rsidRDefault="00740D64">
            <w:pPr>
              <w:pStyle w:val="P68B1DB1-Normal12"/>
              <w:spacing w:after="0" w:line="240" w:lineRule="auto"/>
              <w:jc w:val="center"/>
              <w:rPr>
                <w:rFonts w:eastAsia="Times New Roman" w:cstheme="minorHAnsi"/>
                <w:noProof/>
              </w:rPr>
            </w:pPr>
            <w:r>
              <w:rPr>
                <w:noProof/>
              </w:rPr>
              <w:t xml:space="preserve">KVARTAL 1 </w:t>
            </w:r>
          </w:p>
        </w:tc>
        <w:tc>
          <w:tcPr>
            <w:tcW w:w="682" w:type="dxa"/>
            <w:shd w:val="clear" w:color="auto" w:fill="C4EFCE"/>
            <w:noWrap/>
            <w:vAlign w:val="center"/>
          </w:tcPr>
          <w:p w14:paraId="77865BCF" w14:textId="2D5D08F6" w:rsidR="00E040FD" w:rsidRDefault="00740D64">
            <w:pPr>
              <w:pStyle w:val="P68B1DB1-Normal12"/>
              <w:spacing w:after="0" w:line="240" w:lineRule="auto"/>
              <w:jc w:val="center"/>
              <w:rPr>
                <w:rFonts w:eastAsia="Times New Roman" w:cstheme="minorHAnsi"/>
                <w:noProof/>
              </w:rPr>
            </w:pPr>
            <w:r>
              <w:rPr>
                <w:noProof/>
              </w:rPr>
              <w:t xml:space="preserve"> 2024</w:t>
            </w:r>
          </w:p>
        </w:tc>
        <w:tc>
          <w:tcPr>
            <w:tcW w:w="4458" w:type="dxa"/>
            <w:shd w:val="clear" w:color="auto" w:fill="C4EFCE"/>
            <w:vAlign w:val="center"/>
          </w:tcPr>
          <w:p w14:paraId="787D10CD" w14:textId="30D960C1" w:rsidR="00E040FD" w:rsidRDefault="00740D64">
            <w:pPr>
              <w:pStyle w:val="P68B1DB1-Normal12"/>
              <w:spacing w:after="0" w:line="240" w:lineRule="auto"/>
              <w:jc w:val="both"/>
              <w:rPr>
                <w:rFonts w:eastAsia="Times New Roman" w:cstheme="minorHAnsi"/>
                <w:noProof/>
              </w:rPr>
            </w:pPr>
            <w:r>
              <w:rPr>
                <w:noProof/>
              </w:rPr>
              <w:t xml:space="preserve">Ikraftträdande av den rättsakt som ska se över det integrerade systemet för att hantera och utvärdera resultaten inom offentlig förvaltning (SIADAP) i enlighet med de egenskaper som beskrivs i åtgärdsbeskrivningen. </w:t>
            </w:r>
          </w:p>
        </w:tc>
      </w:tr>
      <w:tr w:rsidR="00E040FD" w14:paraId="595052CD" w14:textId="77777777">
        <w:trPr>
          <w:trHeight w:val="430"/>
        </w:trPr>
        <w:tc>
          <w:tcPr>
            <w:tcW w:w="1082" w:type="dxa"/>
            <w:shd w:val="clear" w:color="auto" w:fill="C4EFCE"/>
            <w:vAlign w:val="center"/>
          </w:tcPr>
          <w:p w14:paraId="6673DA96" w14:textId="12B6BD26" w:rsidR="00E040FD" w:rsidRDefault="00740D64">
            <w:pPr>
              <w:pStyle w:val="P68B1DB1-Normal11"/>
              <w:spacing w:after="0" w:line="240" w:lineRule="auto"/>
              <w:jc w:val="center"/>
              <w:rPr>
                <w:rFonts w:eastAsia="Times New Roman" w:cstheme="minorHAnsi"/>
                <w:noProof/>
              </w:rPr>
            </w:pPr>
            <w:r>
              <w:rPr>
                <w:noProof/>
              </w:rPr>
              <w:t>19.32</w:t>
            </w:r>
          </w:p>
        </w:tc>
        <w:tc>
          <w:tcPr>
            <w:tcW w:w="1211" w:type="dxa"/>
            <w:shd w:val="clear" w:color="auto" w:fill="C4EFCE"/>
            <w:noWrap/>
            <w:vAlign w:val="center"/>
          </w:tcPr>
          <w:p w14:paraId="0595A2A8" w14:textId="3B184232" w:rsidR="00E040FD" w:rsidRDefault="00740D64">
            <w:pPr>
              <w:pStyle w:val="P68B1DB1-Normal12"/>
              <w:spacing w:after="0" w:line="240" w:lineRule="auto"/>
              <w:jc w:val="center"/>
              <w:rPr>
                <w:rFonts w:eastAsia="Times New Roman" w:cstheme="minorHAnsi"/>
                <w:noProof/>
              </w:rPr>
            </w:pPr>
            <w:r>
              <w:rPr>
                <w:noProof/>
              </w:rPr>
              <w:t>TD-C19-r42</w:t>
            </w:r>
          </w:p>
        </w:tc>
        <w:tc>
          <w:tcPr>
            <w:tcW w:w="1080" w:type="dxa"/>
            <w:shd w:val="clear" w:color="auto" w:fill="C4EFCE"/>
            <w:noWrap/>
            <w:vAlign w:val="center"/>
          </w:tcPr>
          <w:p w14:paraId="588DCBAA" w14:textId="2DD3035E" w:rsidR="00E040FD" w:rsidRDefault="00740D64">
            <w:pPr>
              <w:pStyle w:val="P68B1DB1-Normal12"/>
              <w:spacing w:after="0" w:line="240" w:lineRule="auto"/>
              <w:jc w:val="center"/>
              <w:rPr>
                <w:rFonts w:eastAsia="Times New Roman" w:cstheme="minorHAnsi"/>
                <w:noProof/>
              </w:rPr>
            </w:pPr>
            <w:r>
              <w:rPr>
                <w:noProof/>
              </w:rPr>
              <w:t>M</w:t>
            </w:r>
          </w:p>
        </w:tc>
        <w:tc>
          <w:tcPr>
            <w:tcW w:w="1609" w:type="dxa"/>
            <w:shd w:val="clear" w:color="auto" w:fill="C4EFCE"/>
            <w:noWrap/>
            <w:vAlign w:val="center"/>
          </w:tcPr>
          <w:p w14:paraId="52CB2148" w14:textId="13350A36" w:rsidR="00E040FD" w:rsidRDefault="00740D64">
            <w:pPr>
              <w:pStyle w:val="P68B1DB1-Normal12"/>
              <w:spacing w:after="0" w:line="240" w:lineRule="auto"/>
              <w:jc w:val="center"/>
              <w:rPr>
                <w:rFonts w:eastAsia="Times New Roman" w:cstheme="minorHAnsi"/>
                <w:noProof/>
              </w:rPr>
            </w:pPr>
            <w:r>
              <w:rPr>
                <w:noProof/>
              </w:rPr>
              <w:t>Ikraftträdande av den rättsakt som reviderar den offentliga förvaltningens kompetensprofil</w:t>
            </w:r>
          </w:p>
        </w:tc>
        <w:tc>
          <w:tcPr>
            <w:tcW w:w="1343" w:type="dxa"/>
            <w:shd w:val="clear" w:color="auto" w:fill="C4EFCE"/>
            <w:noWrap/>
            <w:vAlign w:val="center"/>
          </w:tcPr>
          <w:p w14:paraId="55C8AFE8" w14:textId="078306F1" w:rsidR="00E040FD" w:rsidRDefault="00740D64">
            <w:pPr>
              <w:pStyle w:val="P68B1DB1-Normal12"/>
              <w:spacing w:after="0" w:line="240" w:lineRule="auto"/>
              <w:jc w:val="center"/>
              <w:rPr>
                <w:rFonts w:eastAsia="Times New Roman" w:cstheme="minorHAnsi"/>
                <w:noProof/>
              </w:rPr>
            </w:pPr>
            <w:r>
              <w:rPr>
                <w:noProof/>
              </w:rPr>
              <w:t xml:space="preserve">Bestämmelse i lagstiftningsakten som anger när lagstiftningsakten träder i kraft </w:t>
            </w:r>
          </w:p>
        </w:tc>
        <w:tc>
          <w:tcPr>
            <w:tcW w:w="1134" w:type="dxa"/>
            <w:shd w:val="clear" w:color="auto" w:fill="C4EFCE"/>
            <w:noWrap/>
            <w:vAlign w:val="center"/>
          </w:tcPr>
          <w:p w14:paraId="0F112E93" w14:textId="3E369BD1" w:rsidR="00E040FD" w:rsidRDefault="00740D64">
            <w:pPr>
              <w:pStyle w:val="P68B1DB1-Normal12"/>
              <w:spacing w:after="0" w:line="240" w:lineRule="auto"/>
              <w:jc w:val="center"/>
              <w:rPr>
                <w:rFonts w:eastAsia="Times New Roman" w:cstheme="minorHAnsi"/>
                <w:noProof/>
              </w:rPr>
            </w:pPr>
            <w:r>
              <w:rPr>
                <w:noProof/>
              </w:rPr>
              <w:t xml:space="preserve"> </w:t>
            </w:r>
          </w:p>
        </w:tc>
        <w:tc>
          <w:tcPr>
            <w:tcW w:w="947" w:type="dxa"/>
            <w:shd w:val="clear" w:color="auto" w:fill="C4EFCE"/>
            <w:noWrap/>
            <w:vAlign w:val="center"/>
          </w:tcPr>
          <w:p w14:paraId="21348855" w14:textId="50047F43" w:rsidR="00E040FD" w:rsidRDefault="00740D64">
            <w:pPr>
              <w:pStyle w:val="P68B1DB1-Normal12"/>
              <w:spacing w:after="0" w:line="240" w:lineRule="auto"/>
              <w:jc w:val="center"/>
              <w:rPr>
                <w:rFonts w:eastAsia="Times New Roman" w:cstheme="minorHAnsi"/>
                <w:noProof/>
              </w:rPr>
            </w:pPr>
            <w:r>
              <w:rPr>
                <w:noProof/>
              </w:rPr>
              <w:t xml:space="preserve"> </w:t>
            </w:r>
          </w:p>
        </w:tc>
        <w:tc>
          <w:tcPr>
            <w:tcW w:w="682" w:type="dxa"/>
            <w:shd w:val="clear" w:color="auto" w:fill="C4EFCE"/>
            <w:noWrap/>
            <w:vAlign w:val="center"/>
          </w:tcPr>
          <w:p w14:paraId="775EF0EE" w14:textId="5792FB1D" w:rsidR="00E040FD" w:rsidRDefault="00740D64">
            <w:pPr>
              <w:pStyle w:val="P68B1DB1-Normal12"/>
              <w:spacing w:after="0" w:line="240" w:lineRule="auto"/>
              <w:jc w:val="center"/>
              <w:rPr>
                <w:rFonts w:eastAsia="Times New Roman" w:cstheme="minorHAnsi"/>
                <w:noProof/>
              </w:rPr>
            </w:pPr>
            <w:r>
              <w:rPr>
                <w:noProof/>
              </w:rPr>
              <w:t xml:space="preserve"> </w:t>
            </w:r>
          </w:p>
        </w:tc>
        <w:tc>
          <w:tcPr>
            <w:tcW w:w="550" w:type="dxa"/>
            <w:shd w:val="clear" w:color="auto" w:fill="C4EFCE"/>
            <w:noWrap/>
            <w:vAlign w:val="center"/>
          </w:tcPr>
          <w:p w14:paraId="104DC251" w14:textId="3CB87634" w:rsidR="00E040FD" w:rsidRDefault="00740D64">
            <w:pPr>
              <w:pStyle w:val="P68B1DB1-Normal12"/>
              <w:spacing w:after="0" w:line="240" w:lineRule="auto"/>
              <w:jc w:val="center"/>
              <w:rPr>
                <w:rFonts w:eastAsia="Times New Roman" w:cstheme="minorHAnsi"/>
                <w:noProof/>
              </w:rPr>
            </w:pPr>
            <w:r>
              <w:rPr>
                <w:noProof/>
              </w:rPr>
              <w:t>KVARTAL 1</w:t>
            </w:r>
          </w:p>
        </w:tc>
        <w:tc>
          <w:tcPr>
            <w:tcW w:w="682" w:type="dxa"/>
            <w:shd w:val="clear" w:color="auto" w:fill="C4EFCE"/>
            <w:noWrap/>
            <w:vAlign w:val="center"/>
          </w:tcPr>
          <w:p w14:paraId="1224479D" w14:textId="0B9B8D99" w:rsidR="00E040FD" w:rsidRDefault="00740D64">
            <w:pPr>
              <w:pStyle w:val="P68B1DB1-Normal12"/>
              <w:spacing w:after="0" w:line="240" w:lineRule="auto"/>
              <w:jc w:val="center"/>
              <w:rPr>
                <w:rFonts w:eastAsia="Times New Roman" w:cstheme="minorHAnsi"/>
                <w:noProof/>
              </w:rPr>
            </w:pPr>
            <w:r>
              <w:rPr>
                <w:noProof/>
              </w:rPr>
              <w:t>2024</w:t>
            </w:r>
          </w:p>
        </w:tc>
        <w:tc>
          <w:tcPr>
            <w:tcW w:w="4458" w:type="dxa"/>
            <w:shd w:val="clear" w:color="auto" w:fill="C4EFCE"/>
            <w:vAlign w:val="center"/>
          </w:tcPr>
          <w:p w14:paraId="14DC0FA1" w14:textId="48ADFE80" w:rsidR="00E040FD" w:rsidRDefault="00740D64">
            <w:pPr>
              <w:pStyle w:val="P68B1DB1-Normal12"/>
              <w:spacing w:after="0" w:line="240" w:lineRule="auto"/>
              <w:jc w:val="both"/>
              <w:rPr>
                <w:rFonts w:eastAsia="Times New Roman" w:cstheme="minorHAnsi"/>
                <w:noProof/>
              </w:rPr>
            </w:pPr>
            <w:r>
              <w:rPr>
                <w:noProof/>
              </w:rPr>
              <w:t xml:space="preserve">Den reviderade kompetensprofilen för offentlig förvaltning träder i kraft. </w:t>
            </w:r>
          </w:p>
        </w:tc>
      </w:tr>
      <w:tr w:rsidR="00E040FD" w14:paraId="68DA236C" w14:textId="77777777">
        <w:trPr>
          <w:trHeight w:val="430"/>
        </w:trPr>
        <w:tc>
          <w:tcPr>
            <w:tcW w:w="1082" w:type="dxa"/>
            <w:shd w:val="clear" w:color="auto" w:fill="C4EFCE"/>
            <w:vAlign w:val="center"/>
          </w:tcPr>
          <w:p w14:paraId="21E8FF8C" w14:textId="4DFC5787" w:rsidR="00E040FD" w:rsidRDefault="00740D64">
            <w:pPr>
              <w:pStyle w:val="P68B1DB1-Normal11"/>
              <w:spacing w:after="0" w:line="240" w:lineRule="auto"/>
              <w:jc w:val="center"/>
              <w:rPr>
                <w:rFonts w:eastAsia="Times New Roman" w:cstheme="minorHAnsi"/>
                <w:noProof/>
              </w:rPr>
            </w:pPr>
            <w:r>
              <w:rPr>
                <w:noProof/>
              </w:rPr>
              <w:t>19.33</w:t>
            </w:r>
          </w:p>
        </w:tc>
        <w:tc>
          <w:tcPr>
            <w:tcW w:w="1211" w:type="dxa"/>
            <w:shd w:val="clear" w:color="auto" w:fill="C4EFCE"/>
            <w:noWrap/>
            <w:vAlign w:val="center"/>
          </w:tcPr>
          <w:p w14:paraId="02A0505D" w14:textId="6C5C6A0A" w:rsidR="00E040FD" w:rsidRDefault="00740D64">
            <w:pPr>
              <w:pStyle w:val="P68B1DB1-Normal12"/>
              <w:spacing w:after="0" w:line="240" w:lineRule="auto"/>
              <w:jc w:val="center"/>
              <w:rPr>
                <w:rFonts w:eastAsia="Times New Roman" w:cstheme="minorHAnsi"/>
                <w:noProof/>
              </w:rPr>
            </w:pPr>
            <w:r>
              <w:rPr>
                <w:noProof/>
              </w:rPr>
              <w:t>TD-C19-r42</w:t>
            </w:r>
          </w:p>
        </w:tc>
        <w:tc>
          <w:tcPr>
            <w:tcW w:w="1080" w:type="dxa"/>
            <w:shd w:val="clear" w:color="auto" w:fill="C4EFCE"/>
            <w:noWrap/>
            <w:vAlign w:val="center"/>
          </w:tcPr>
          <w:p w14:paraId="5B37C398" w14:textId="29DD42DF" w:rsidR="00E040FD" w:rsidRDefault="00740D64">
            <w:pPr>
              <w:pStyle w:val="P68B1DB1-Normal12"/>
              <w:spacing w:after="0" w:line="240" w:lineRule="auto"/>
              <w:jc w:val="center"/>
              <w:rPr>
                <w:rFonts w:eastAsia="Times New Roman" w:cstheme="minorHAnsi"/>
                <w:noProof/>
              </w:rPr>
            </w:pPr>
            <w:r>
              <w:rPr>
                <w:noProof/>
              </w:rPr>
              <w:t>T</w:t>
            </w:r>
          </w:p>
        </w:tc>
        <w:tc>
          <w:tcPr>
            <w:tcW w:w="1609" w:type="dxa"/>
            <w:shd w:val="clear" w:color="auto" w:fill="C4EFCE"/>
            <w:noWrap/>
            <w:vAlign w:val="center"/>
          </w:tcPr>
          <w:p w14:paraId="055786D3" w14:textId="285B3590" w:rsidR="00E040FD" w:rsidRDefault="00740D64">
            <w:pPr>
              <w:pStyle w:val="P68B1DB1-Normal12"/>
              <w:spacing w:after="0" w:line="240" w:lineRule="auto"/>
              <w:jc w:val="center"/>
              <w:rPr>
                <w:rFonts w:eastAsia="Times New Roman" w:cstheme="minorHAnsi"/>
                <w:noProof/>
              </w:rPr>
            </w:pPr>
            <w:r>
              <w:rPr>
                <w:noProof/>
              </w:rPr>
              <w:t>Idrifttagande av det nya SIADAP-systemet</w:t>
            </w:r>
          </w:p>
        </w:tc>
        <w:tc>
          <w:tcPr>
            <w:tcW w:w="1343" w:type="dxa"/>
            <w:shd w:val="clear" w:color="auto" w:fill="C4EFCE"/>
            <w:noWrap/>
            <w:vAlign w:val="center"/>
          </w:tcPr>
          <w:p w14:paraId="09DC06A7" w14:textId="64B6C469" w:rsidR="00E040FD" w:rsidRDefault="00740D64">
            <w:pPr>
              <w:pStyle w:val="P68B1DB1-Normal12"/>
              <w:spacing w:after="0" w:line="240" w:lineRule="auto"/>
              <w:jc w:val="center"/>
              <w:rPr>
                <w:rFonts w:eastAsia="Times New Roman" w:cstheme="minorHAnsi"/>
                <w:noProof/>
              </w:rPr>
            </w:pPr>
            <w:r>
              <w:rPr>
                <w:noProof/>
              </w:rPr>
              <w:t xml:space="preserve">Idrifttagande av det nya SIADAP-systemet </w:t>
            </w:r>
          </w:p>
        </w:tc>
        <w:tc>
          <w:tcPr>
            <w:tcW w:w="1134" w:type="dxa"/>
            <w:shd w:val="clear" w:color="auto" w:fill="C4EFCE"/>
            <w:noWrap/>
            <w:vAlign w:val="center"/>
          </w:tcPr>
          <w:p w14:paraId="58F7D868" w14:textId="1F6A8D99" w:rsidR="00E040FD" w:rsidRDefault="00740D64">
            <w:pPr>
              <w:pStyle w:val="P68B1DB1-Normal12"/>
              <w:spacing w:after="0" w:line="240" w:lineRule="auto"/>
              <w:jc w:val="center"/>
              <w:rPr>
                <w:rFonts w:eastAsia="Times New Roman" w:cstheme="minorHAnsi"/>
                <w:noProof/>
              </w:rPr>
            </w:pPr>
            <w:r>
              <w:rPr>
                <w:noProof/>
              </w:rPr>
              <w:t xml:space="preserve"> </w:t>
            </w:r>
          </w:p>
        </w:tc>
        <w:tc>
          <w:tcPr>
            <w:tcW w:w="947" w:type="dxa"/>
            <w:shd w:val="clear" w:color="auto" w:fill="C4EFCE"/>
            <w:noWrap/>
            <w:vAlign w:val="center"/>
          </w:tcPr>
          <w:p w14:paraId="37360046" w14:textId="55C6ECB7" w:rsidR="00E040FD" w:rsidRDefault="00740D64">
            <w:pPr>
              <w:pStyle w:val="P68B1DB1-Normal12"/>
              <w:spacing w:after="0" w:line="240" w:lineRule="auto"/>
              <w:jc w:val="center"/>
              <w:rPr>
                <w:rFonts w:eastAsia="Times New Roman" w:cstheme="minorHAnsi"/>
                <w:noProof/>
              </w:rPr>
            </w:pPr>
            <w:r>
              <w:rPr>
                <w:noProof/>
              </w:rPr>
              <w:t xml:space="preserve"> </w:t>
            </w:r>
          </w:p>
        </w:tc>
        <w:tc>
          <w:tcPr>
            <w:tcW w:w="682" w:type="dxa"/>
            <w:shd w:val="clear" w:color="auto" w:fill="C4EFCE"/>
            <w:noWrap/>
            <w:vAlign w:val="center"/>
          </w:tcPr>
          <w:p w14:paraId="2DB545E3" w14:textId="4B7402EB" w:rsidR="00E040FD" w:rsidRDefault="00740D64">
            <w:pPr>
              <w:pStyle w:val="P68B1DB1-Normal12"/>
              <w:spacing w:after="0" w:line="240" w:lineRule="auto"/>
              <w:jc w:val="center"/>
              <w:rPr>
                <w:rFonts w:eastAsia="Times New Roman" w:cstheme="minorHAnsi"/>
                <w:noProof/>
              </w:rPr>
            </w:pPr>
            <w:r>
              <w:rPr>
                <w:noProof/>
              </w:rPr>
              <w:t xml:space="preserve"> </w:t>
            </w:r>
          </w:p>
        </w:tc>
        <w:tc>
          <w:tcPr>
            <w:tcW w:w="550" w:type="dxa"/>
            <w:shd w:val="clear" w:color="auto" w:fill="C4EFCE"/>
            <w:noWrap/>
            <w:vAlign w:val="center"/>
          </w:tcPr>
          <w:p w14:paraId="1E46E1BF" w14:textId="3CA0D46D" w:rsidR="00E040FD" w:rsidRDefault="00740D64">
            <w:pPr>
              <w:pStyle w:val="P68B1DB1-Normal12"/>
              <w:spacing w:after="0" w:line="240" w:lineRule="auto"/>
              <w:jc w:val="center"/>
              <w:rPr>
                <w:rFonts w:eastAsia="Times New Roman" w:cstheme="minorHAnsi"/>
                <w:noProof/>
              </w:rPr>
            </w:pPr>
            <w:r>
              <w:rPr>
                <w:noProof/>
              </w:rPr>
              <w:t>KVARTAL 1</w:t>
            </w:r>
          </w:p>
        </w:tc>
        <w:tc>
          <w:tcPr>
            <w:tcW w:w="682" w:type="dxa"/>
            <w:shd w:val="clear" w:color="auto" w:fill="C4EFCE"/>
            <w:noWrap/>
            <w:vAlign w:val="center"/>
          </w:tcPr>
          <w:p w14:paraId="204F0C6B" w14:textId="01023863" w:rsidR="00E040FD" w:rsidRDefault="00740D64">
            <w:pPr>
              <w:pStyle w:val="P68B1DB1-Normal12"/>
              <w:spacing w:after="0" w:line="240" w:lineRule="auto"/>
              <w:jc w:val="center"/>
              <w:rPr>
                <w:rFonts w:eastAsia="Times New Roman" w:cstheme="minorHAnsi"/>
                <w:noProof/>
              </w:rPr>
            </w:pPr>
            <w:r>
              <w:rPr>
                <w:noProof/>
              </w:rPr>
              <w:t>2025</w:t>
            </w:r>
          </w:p>
        </w:tc>
        <w:tc>
          <w:tcPr>
            <w:tcW w:w="4458" w:type="dxa"/>
            <w:shd w:val="clear" w:color="auto" w:fill="C4EFCE"/>
            <w:vAlign w:val="center"/>
          </w:tcPr>
          <w:p w14:paraId="139C28E9" w14:textId="7E6818C1" w:rsidR="00E040FD" w:rsidRDefault="00740D64">
            <w:pPr>
              <w:pStyle w:val="P68B1DB1-Bodytext1013"/>
              <w:spacing w:line="240" w:lineRule="auto"/>
              <w:jc w:val="both"/>
              <w:rPr>
                <w:rFonts w:eastAsia="MS Mincho" w:cstheme="minorHAnsi"/>
                <w:noProof/>
              </w:rPr>
            </w:pPr>
            <w:r>
              <w:rPr>
                <w:noProof/>
              </w:rPr>
              <w:t>Idrifttagande av det nya Siadap-systemet, inklusive respektive it-plattform. Särskild utbildning för att lära sig att använda it-plattformen ska vara tillgänglig för användarna av Siadap-systemet.</w:t>
            </w:r>
          </w:p>
        </w:tc>
      </w:tr>
      <w:tr w:rsidR="00E040FD" w14:paraId="3BD666CA" w14:textId="77777777">
        <w:trPr>
          <w:trHeight w:val="430"/>
        </w:trPr>
        <w:tc>
          <w:tcPr>
            <w:tcW w:w="1082" w:type="dxa"/>
            <w:shd w:val="clear" w:color="auto" w:fill="C4EFCE"/>
            <w:vAlign w:val="center"/>
          </w:tcPr>
          <w:p w14:paraId="1A621731" w14:textId="4130020B" w:rsidR="00E040FD" w:rsidRDefault="00740D64">
            <w:pPr>
              <w:pStyle w:val="P68B1DB1-Normal11"/>
              <w:spacing w:after="0" w:line="240" w:lineRule="auto"/>
              <w:jc w:val="center"/>
              <w:rPr>
                <w:rFonts w:cstheme="minorHAnsi"/>
                <w:noProof/>
              </w:rPr>
            </w:pPr>
            <w:r>
              <w:rPr>
                <w:noProof/>
              </w:rPr>
              <w:t>19.34</w:t>
            </w:r>
          </w:p>
        </w:tc>
        <w:tc>
          <w:tcPr>
            <w:tcW w:w="1211" w:type="dxa"/>
            <w:shd w:val="clear" w:color="auto" w:fill="C4EFCE"/>
            <w:noWrap/>
            <w:vAlign w:val="center"/>
          </w:tcPr>
          <w:p w14:paraId="40206F7E" w14:textId="2D382AD0" w:rsidR="00E040FD" w:rsidRDefault="00740D64">
            <w:pPr>
              <w:pStyle w:val="P68B1DB1-Normal12"/>
              <w:spacing w:after="0" w:line="240" w:lineRule="auto"/>
              <w:jc w:val="center"/>
              <w:rPr>
                <w:rFonts w:cstheme="minorHAnsi"/>
                <w:noProof/>
              </w:rPr>
            </w:pPr>
            <w:r>
              <w:rPr>
                <w:noProof/>
              </w:rPr>
              <w:t>TD-C19-i08</w:t>
            </w:r>
          </w:p>
        </w:tc>
        <w:tc>
          <w:tcPr>
            <w:tcW w:w="1080" w:type="dxa"/>
            <w:shd w:val="clear" w:color="auto" w:fill="C4EFCE"/>
            <w:noWrap/>
            <w:vAlign w:val="center"/>
          </w:tcPr>
          <w:p w14:paraId="3762138F" w14:textId="70675931" w:rsidR="00E040FD" w:rsidRDefault="00740D64">
            <w:pPr>
              <w:pStyle w:val="P68B1DB1-Normal12"/>
              <w:spacing w:after="0" w:line="240" w:lineRule="auto"/>
              <w:jc w:val="center"/>
              <w:rPr>
                <w:rFonts w:cstheme="minorHAnsi"/>
                <w:noProof/>
              </w:rPr>
            </w:pPr>
            <w:r>
              <w:rPr>
                <w:noProof/>
              </w:rPr>
              <w:t xml:space="preserve"> M</w:t>
            </w:r>
          </w:p>
        </w:tc>
        <w:tc>
          <w:tcPr>
            <w:tcW w:w="1609" w:type="dxa"/>
            <w:shd w:val="clear" w:color="auto" w:fill="C4EFCE"/>
            <w:noWrap/>
            <w:vAlign w:val="center"/>
          </w:tcPr>
          <w:p w14:paraId="4895262C" w14:textId="47D5ADE7" w:rsidR="00E040FD" w:rsidRDefault="00740D64">
            <w:pPr>
              <w:pStyle w:val="P68B1DB1-Normal12"/>
              <w:spacing w:after="0" w:line="240" w:lineRule="auto"/>
              <w:jc w:val="center"/>
              <w:rPr>
                <w:rFonts w:cstheme="minorHAnsi"/>
                <w:noProof/>
              </w:rPr>
            </w:pPr>
            <w:r>
              <w:rPr>
                <w:noProof/>
              </w:rPr>
              <w:t>Lansering av portalen för smarta territorier</w:t>
            </w:r>
          </w:p>
        </w:tc>
        <w:tc>
          <w:tcPr>
            <w:tcW w:w="1343" w:type="dxa"/>
            <w:shd w:val="clear" w:color="auto" w:fill="C4EFCE"/>
            <w:noWrap/>
            <w:vAlign w:val="center"/>
          </w:tcPr>
          <w:p w14:paraId="1CE63BEE" w14:textId="6B7D4F8E" w:rsidR="00E040FD" w:rsidRDefault="00740D64">
            <w:pPr>
              <w:pStyle w:val="P68B1DB1-Normal12"/>
              <w:spacing w:after="0" w:line="240" w:lineRule="auto"/>
              <w:jc w:val="center"/>
              <w:rPr>
                <w:rFonts w:cstheme="minorHAnsi"/>
                <w:noProof/>
              </w:rPr>
            </w:pPr>
            <w:r>
              <w:rPr>
                <w:noProof/>
              </w:rPr>
              <w:t xml:space="preserve">Lansering av portalen för smarta territorier  </w:t>
            </w:r>
          </w:p>
        </w:tc>
        <w:tc>
          <w:tcPr>
            <w:tcW w:w="1134" w:type="dxa"/>
            <w:shd w:val="clear" w:color="auto" w:fill="C4EFCE"/>
            <w:noWrap/>
            <w:vAlign w:val="center"/>
          </w:tcPr>
          <w:p w14:paraId="4795DA0D" w14:textId="4161F638" w:rsidR="00E040FD" w:rsidRDefault="00740D64">
            <w:pPr>
              <w:pStyle w:val="P68B1DB1-Normal12"/>
              <w:spacing w:after="0" w:line="240" w:lineRule="auto"/>
              <w:jc w:val="center"/>
              <w:rPr>
                <w:rFonts w:cstheme="minorHAnsi"/>
                <w:noProof/>
              </w:rPr>
            </w:pPr>
            <w:r>
              <w:rPr>
                <w:noProof/>
              </w:rPr>
              <w:t xml:space="preserve"> </w:t>
            </w:r>
          </w:p>
        </w:tc>
        <w:tc>
          <w:tcPr>
            <w:tcW w:w="947" w:type="dxa"/>
            <w:shd w:val="clear" w:color="auto" w:fill="C4EFCE"/>
            <w:noWrap/>
            <w:vAlign w:val="center"/>
          </w:tcPr>
          <w:p w14:paraId="5ADAEE3A" w14:textId="662F9117" w:rsidR="00E040FD" w:rsidRDefault="00740D64">
            <w:pPr>
              <w:pStyle w:val="P68B1DB1-Normal12"/>
              <w:spacing w:after="0" w:line="240" w:lineRule="auto"/>
              <w:jc w:val="center"/>
              <w:rPr>
                <w:rFonts w:cstheme="minorHAnsi"/>
                <w:noProof/>
              </w:rPr>
            </w:pPr>
            <w:r>
              <w:rPr>
                <w:noProof/>
              </w:rPr>
              <w:t xml:space="preserve"> </w:t>
            </w:r>
          </w:p>
        </w:tc>
        <w:tc>
          <w:tcPr>
            <w:tcW w:w="682" w:type="dxa"/>
            <w:shd w:val="clear" w:color="auto" w:fill="C4EFCE"/>
            <w:noWrap/>
            <w:vAlign w:val="center"/>
          </w:tcPr>
          <w:p w14:paraId="1BF2082E" w14:textId="49DE1BE3" w:rsidR="00E040FD" w:rsidRDefault="00740D64">
            <w:pPr>
              <w:pStyle w:val="P68B1DB1-Normal12"/>
              <w:spacing w:after="0" w:line="240" w:lineRule="auto"/>
              <w:jc w:val="center"/>
              <w:rPr>
                <w:rFonts w:cstheme="minorHAnsi"/>
                <w:noProof/>
              </w:rPr>
            </w:pPr>
            <w:r>
              <w:rPr>
                <w:noProof/>
              </w:rPr>
              <w:t xml:space="preserve"> </w:t>
            </w:r>
          </w:p>
        </w:tc>
        <w:tc>
          <w:tcPr>
            <w:tcW w:w="550" w:type="dxa"/>
            <w:shd w:val="clear" w:color="auto" w:fill="C4EFCE"/>
            <w:noWrap/>
            <w:vAlign w:val="center"/>
          </w:tcPr>
          <w:p w14:paraId="2F308FC6" w14:textId="68E0A8F5" w:rsidR="00E040FD" w:rsidRDefault="00740D64">
            <w:pPr>
              <w:pStyle w:val="P68B1DB1-Normal12"/>
              <w:spacing w:after="0" w:line="240" w:lineRule="auto"/>
              <w:jc w:val="center"/>
              <w:rPr>
                <w:rFonts w:cstheme="minorHAnsi"/>
                <w:noProof/>
              </w:rPr>
            </w:pPr>
            <w:r>
              <w:rPr>
                <w:noProof/>
              </w:rPr>
              <w:t>KVARTAL 1</w:t>
            </w:r>
          </w:p>
        </w:tc>
        <w:tc>
          <w:tcPr>
            <w:tcW w:w="682" w:type="dxa"/>
            <w:shd w:val="clear" w:color="auto" w:fill="C4EFCE"/>
            <w:noWrap/>
            <w:vAlign w:val="center"/>
          </w:tcPr>
          <w:p w14:paraId="75086835" w14:textId="0DBEA283" w:rsidR="00E040FD" w:rsidRDefault="00740D64">
            <w:pPr>
              <w:pStyle w:val="P68B1DB1-Normal12"/>
              <w:spacing w:after="0" w:line="240" w:lineRule="auto"/>
              <w:jc w:val="center"/>
              <w:rPr>
                <w:rFonts w:cstheme="minorHAnsi"/>
                <w:noProof/>
              </w:rPr>
            </w:pPr>
            <w:r>
              <w:rPr>
                <w:noProof/>
              </w:rPr>
              <w:t>2025</w:t>
            </w:r>
          </w:p>
        </w:tc>
        <w:tc>
          <w:tcPr>
            <w:tcW w:w="4458" w:type="dxa"/>
            <w:shd w:val="clear" w:color="auto" w:fill="C4EFCE"/>
            <w:vAlign w:val="center"/>
          </w:tcPr>
          <w:p w14:paraId="5E92ABD1" w14:textId="47D500D2" w:rsidR="00E040FD" w:rsidRDefault="00740D64">
            <w:pPr>
              <w:pStyle w:val="P68B1DB1-Bodytext1013"/>
              <w:spacing w:after="0" w:line="240" w:lineRule="auto"/>
              <w:jc w:val="both"/>
              <w:rPr>
                <w:rFonts w:cstheme="minorHAnsi"/>
                <w:noProof/>
              </w:rPr>
            </w:pPr>
            <w:r>
              <w:rPr>
                <w:noProof/>
              </w:rPr>
              <w:t xml:space="preserve">Lansering av en webbplats (dvs. en portal) som tillhandahåller ett online-arkiv med information på lokal, regional och nationell nivå.  </w:t>
            </w:r>
          </w:p>
        </w:tc>
      </w:tr>
      <w:tr w:rsidR="00E040FD" w14:paraId="561E4208" w14:textId="77777777">
        <w:trPr>
          <w:trHeight w:val="430"/>
        </w:trPr>
        <w:tc>
          <w:tcPr>
            <w:tcW w:w="1082" w:type="dxa"/>
            <w:shd w:val="clear" w:color="auto" w:fill="C4EFCE"/>
            <w:vAlign w:val="center"/>
          </w:tcPr>
          <w:p w14:paraId="1C29C0D2" w14:textId="68CA64B4" w:rsidR="00E040FD" w:rsidRDefault="00740D64">
            <w:pPr>
              <w:pStyle w:val="P68B1DB1-Normal11"/>
              <w:spacing w:after="0" w:line="240" w:lineRule="auto"/>
              <w:jc w:val="center"/>
              <w:rPr>
                <w:rFonts w:cstheme="minorHAnsi"/>
                <w:noProof/>
              </w:rPr>
            </w:pPr>
            <w:r>
              <w:rPr>
                <w:noProof/>
              </w:rPr>
              <w:t>19.35</w:t>
            </w:r>
          </w:p>
        </w:tc>
        <w:tc>
          <w:tcPr>
            <w:tcW w:w="1211" w:type="dxa"/>
            <w:shd w:val="clear" w:color="auto" w:fill="C4EFCE"/>
            <w:noWrap/>
            <w:vAlign w:val="center"/>
          </w:tcPr>
          <w:p w14:paraId="08D6F6EF" w14:textId="5FBF4181" w:rsidR="00E040FD" w:rsidRDefault="00740D64">
            <w:pPr>
              <w:pStyle w:val="P68B1DB1-Bodytext1013"/>
              <w:spacing w:after="0"/>
              <w:jc w:val="center"/>
              <w:rPr>
                <w:rFonts w:cstheme="minorHAnsi"/>
                <w:noProof/>
              </w:rPr>
            </w:pPr>
            <w:r>
              <w:rPr>
                <w:noProof/>
              </w:rPr>
              <w:t>TD-C19-i08</w:t>
            </w:r>
          </w:p>
        </w:tc>
        <w:tc>
          <w:tcPr>
            <w:tcW w:w="1080" w:type="dxa"/>
            <w:shd w:val="clear" w:color="auto" w:fill="C4EFCE"/>
            <w:noWrap/>
            <w:vAlign w:val="center"/>
          </w:tcPr>
          <w:p w14:paraId="39CBDC9B" w14:textId="028DD878" w:rsidR="00E040FD" w:rsidRDefault="00740D64">
            <w:pPr>
              <w:pStyle w:val="P68B1DB1-Normal12"/>
              <w:spacing w:after="0" w:line="240" w:lineRule="auto"/>
              <w:jc w:val="center"/>
              <w:rPr>
                <w:noProof/>
              </w:rPr>
            </w:pPr>
            <w:r>
              <w:rPr>
                <w:noProof/>
              </w:rPr>
              <w:t>M</w:t>
            </w:r>
          </w:p>
        </w:tc>
        <w:tc>
          <w:tcPr>
            <w:tcW w:w="1609" w:type="dxa"/>
            <w:shd w:val="clear" w:color="auto" w:fill="C4EFCE"/>
            <w:noWrap/>
            <w:vAlign w:val="center"/>
          </w:tcPr>
          <w:p w14:paraId="5CDAFF79" w14:textId="16B612FE" w:rsidR="00E040FD" w:rsidRDefault="00740D64">
            <w:pPr>
              <w:pStyle w:val="P68B1DB1-Normal12"/>
              <w:spacing w:after="0" w:line="240" w:lineRule="auto"/>
              <w:jc w:val="center"/>
              <w:rPr>
                <w:noProof/>
              </w:rPr>
            </w:pPr>
            <w:r>
              <w:rPr>
                <w:noProof/>
              </w:rPr>
              <w:t>Intelligenta territorier: Plattformar för stadsförvaltning, digitala tvillingar och offentlig politik</w:t>
            </w:r>
          </w:p>
        </w:tc>
        <w:tc>
          <w:tcPr>
            <w:tcW w:w="1343" w:type="dxa"/>
            <w:shd w:val="clear" w:color="auto" w:fill="C4EFCE"/>
            <w:noWrap/>
            <w:vAlign w:val="center"/>
          </w:tcPr>
          <w:p w14:paraId="5887A4A4" w14:textId="04AD0981" w:rsidR="00E040FD" w:rsidRDefault="00740D64">
            <w:pPr>
              <w:pStyle w:val="P68B1DB1-Normal8"/>
              <w:spacing w:after="0" w:line="240" w:lineRule="auto"/>
              <w:jc w:val="center"/>
              <w:rPr>
                <w:rFonts w:eastAsia="Calibri" w:cs="Calibri"/>
                <w:noProof/>
              </w:rPr>
            </w:pPr>
            <w:r>
              <w:rPr>
                <w:noProof/>
              </w:rPr>
              <w:t>Kommuner med plattformar för stadsförvaltning, skapande av digitala tvillingar och lansering av resultattavlan för offentlig politik</w:t>
            </w:r>
          </w:p>
        </w:tc>
        <w:tc>
          <w:tcPr>
            <w:tcW w:w="1134" w:type="dxa"/>
            <w:shd w:val="clear" w:color="auto" w:fill="C4EFCE"/>
            <w:noWrap/>
            <w:vAlign w:val="center"/>
          </w:tcPr>
          <w:p w14:paraId="66C3FFB1" w14:textId="620351DF" w:rsidR="00E040FD" w:rsidRDefault="00E040FD">
            <w:pPr>
              <w:spacing w:after="0" w:line="240" w:lineRule="auto"/>
              <w:jc w:val="center"/>
              <w:rPr>
                <w:rFonts w:cstheme="minorHAnsi"/>
                <w:noProof/>
                <w:sz w:val="16"/>
              </w:rPr>
            </w:pPr>
          </w:p>
        </w:tc>
        <w:tc>
          <w:tcPr>
            <w:tcW w:w="947" w:type="dxa"/>
            <w:shd w:val="clear" w:color="auto" w:fill="C4EFCE"/>
            <w:noWrap/>
            <w:vAlign w:val="center"/>
          </w:tcPr>
          <w:p w14:paraId="08351A85" w14:textId="3468C050" w:rsidR="00E040FD" w:rsidRDefault="00E040FD">
            <w:pPr>
              <w:spacing w:after="0" w:line="240" w:lineRule="auto"/>
              <w:jc w:val="center"/>
              <w:rPr>
                <w:noProof/>
                <w:sz w:val="16"/>
              </w:rPr>
            </w:pPr>
          </w:p>
        </w:tc>
        <w:tc>
          <w:tcPr>
            <w:tcW w:w="682" w:type="dxa"/>
            <w:shd w:val="clear" w:color="auto" w:fill="C4EFCE"/>
            <w:noWrap/>
            <w:vAlign w:val="center"/>
          </w:tcPr>
          <w:p w14:paraId="78472566" w14:textId="31A690E9" w:rsidR="00E040FD" w:rsidRDefault="00E040FD">
            <w:pPr>
              <w:spacing w:after="0" w:line="240" w:lineRule="auto"/>
              <w:jc w:val="center"/>
              <w:rPr>
                <w:noProof/>
                <w:sz w:val="16"/>
              </w:rPr>
            </w:pPr>
          </w:p>
        </w:tc>
        <w:tc>
          <w:tcPr>
            <w:tcW w:w="550" w:type="dxa"/>
            <w:shd w:val="clear" w:color="auto" w:fill="C4EFCE"/>
            <w:noWrap/>
            <w:vAlign w:val="center"/>
          </w:tcPr>
          <w:p w14:paraId="5C72A606" w14:textId="5E11F7EF" w:rsidR="00E040FD" w:rsidRDefault="00740D64">
            <w:pPr>
              <w:pStyle w:val="P68B1DB1-Normal12"/>
              <w:spacing w:after="0" w:line="240" w:lineRule="auto"/>
              <w:jc w:val="center"/>
              <w:rPr>
                <w:noProof/>
              </w:rPr>
            </w:pPr>
            <w:r>
              <w:rPr>
                <w:noProof/>
              </w:rPr>
              <w:t>KVARTAL 1</w:t>
            </w:r>
          </w:p>
        </w:tc>
        <w:tc>
          <w:tcPr>
            <w:tcW w:w="682" w:type="dxa"/>
            <w:shd w:val="clear" w:color="auto" w:fill="C4EFCE"/>
            <w:noWrap/>
            <w:vAlign w:val="center"/>
          </w:tcPr>
          <w:p w14:paraId="35582AA4" w14:textId="7E5EFB41" w:rsidR="00E040FD" w:rsidRDefault="00740D64">
            <w:pPr>
              <w:pStyle w:val="P68B1DB1-Normal12"/>
              <w:spacing w:after="0" w:line="240" w:lineRule="auto"/>
              <w:jc w:val="center"/>
              <w:rPr>
                <w:rFonts w:cstheme="minorHAnsi"/>
                <w:noProof/>
              </w:rPr>
            </w:pPr>
            <w:r>
              <w:rPr>
                <w:noProof/>
              </w:rPr>
              <w:t>2026</w:t>
            </w:r>
          </w:p>
        </w:tc>
        <w:tc>
          <w:tcPr>
            <w:tcW w:w="4458" w:type="dxa"/>
            <w:shd w:val="clear" w:color="auto" w:fill="C4EFCE"/>
            <w:vAlign w:val="center"/>
          </w:tcPr>
          <w:p w14:paraId="1A3A289D" w14:textId="7D525C8C" w:rsidR="00E040FD" w:rsidRDefault="00740D64">
            <w:pPr>
              <w:pStyle w:val="P68B1DB1-Bodytext1013"/>
              <w:spacing w:after="0" w:line="240" w:lineRule="auto"/>
              <w:jc w:val="both"/>
              <w:rPr>
                <w:rFonts w:cstheme="minorBidi"/>
                <w:noProof/>
              </w:rPr>
            </w:pPr>
            <w:r>
              <w:rPr>
                <w:noProof/>
              </w:rPr>
              <w:t>En plattform för stadsförvaltning ska installeras eller uppgraderas i 75 kommuner och Comunidades Intermunicipais/Areas Metropolitanas.</w:t>
            </w:r>
          </w:p>
          <w:p w14:paraId="5DF67326" w14:textId="15FAAA70" w:rsidR="00E040FD" w:rsidRDefault="00E040FD">
            <w:pPr>
              <w:pStyle w:val="Bodytext10"/>
              <w:spacing w:after="0" w:line="240" w:lineRule="auto"/>
              <w:jc w:val="both"/>
              <w:rPr>
                <w:rFonts w:asciiTheme="minorHAnsi" w:hAnsiTheme="minorHAnsi" w:cstheme="minorBidi"/>
                <w:noProof/>
                <w:sz w:val="16"/>
              </w:rPr>
            </w:pPr>
          </w:p>
          <w:p w14:paraId="0EC040A8" w14:textId="2E07BB19" w:rsidR="00E040FD" w:rsidRDefault="00740D64">
            <w:pPr>
              <w:pStyle w:val="P68B1DB1-Bodytext1013"/>
              <w:spacing w:after="0" w:line="240" w:lineRule="auto"/>
              <w:jc w:val="both"/>
              <w:rPr>
                <w:rFonts w:cstheme="minorBidi"/>
                <w:noProof/>
              </w:rPr>
            </w:pPr>
            <w:r>
              <w:rPr>
                <w:noProof/>
              </w:rPr>
              <w:t>Fem digitala tvillingar ska skapas inom nationella prioriterade områden, såsom vatten och jordbruk, klimatresiliens, mobilitet och utfasning av fossila bränslen, hälsa, energi, turism och civilskydd.</w:t>
            </w:r>
          </w:p>
          <w:p w14:paraId="59ADF51D" w14:textId="15FAAA70" w:rsidR="00E040FD" w:rsidRDefault="00E040FD">
            <w:pPr>
              <w:pStyle w:val="Bodytext10"/>
              <w:spacing w:after="0" w:line="240" w:lineRule="auto"/>
              <w:jc w:val="both"/>
              <w:rPr>
                <w:rFonts w:asciiTheme="minorHAnsi" w:hAnsiTheme="minorHAnsi" w:cstheme="minorBidi"/>
                <w:noProof/>
                <w:sz w:val="16"/>
              </w:rPr>
            </w:pPr>
          </w:p>
          <w:p w14:paraId="1268B617" w14:textId="574B7910" w:rsidR="00E040FD" w:rsidRDefault="00740D64">
            <w:pPr>
              <w:pStyle w:val="P68B1DB1-Bodytext1013"/>
              <w:spacing w:after="0" w:line="240" w:lineRule="auto"/>
              <w:jc w:val="both"/>
              <w:rPr>
                <w:rFonts w:cstheme="minorBidi"/>
                <w:noProof/>
              </w:rPr>
            </w:pPr>
            <w:r>
              <w:rPr>
                <w:noProof/>
              </w:rPr>
              <w:t>Den lanserade resultattavlan ska vara tillgänglig för centrala och regionala aktörer.</w:t>
            </w:r>
          </w:p>
        </w:tc>
      </w:tr>
      <w:tr w:rsidR="00E040FD" w14:paraId="1F719612" w14:textId="77777777">
        <w:trPr>
          <w:trHeight w:val="430"/>
        </w:trPr>
        <w:tc>
          <w:tcPr>
            <w:tcW w:w="1082" w:type="dxa"/>
            <w:shd w:val="clear" w:color="auto" w:fill="C4EFCE"/>
            <w:vAlign w:val="center"/>
          </w:tcPr>
          <w:p w14:paraId="628865B2" w14:textId="55E9CCCC" w:rsidR="00E040FD" w:rsidRDefault="00740D64">
            <w:pPr>
              <w:pStyle w:val="P68B1DB1-Normal11"/>
              <w:spacing w:after="0" w:line="240" w:lineRule="auto"/>
              <w:jc w:val="center"/>
              <w:rPr>
                <w:rFonts w:cstheme="minorHAnsi"/>
                <w:noProof/>
              </w:rPr>
            </w:pPr>
            <w:r>
              <w:rPr>
                <w:noProof/>
              </w:rPr>
              <w:t>19.36</w:t>
            </w:r>
          </w:p>
        </w:tc>
        <w:tc>
          <w:tcPr>
            <w:tcW w:w="1211" w:type="dxa"/>
            <w:shd w:val="clear" w:color="auto" w:fill="C4EFCE"/>
            <w:noWrap/>
            <w:vAlign w:val="center"/>
          </w:tcPr>
          <w:p w14:paraId="25B23B67" w14:textId="600B4833" w:rsidR="00E040FD" w:rsidRDefault="00740D64">
            <w:pPr>
              <w:pStyle w:val="P68B1DB1-Bodytext1013"/>
              <w:spacing w:after="0"/>
              <w:jc w:val="center"/>
              <w:rPr>
                <w:rFonts w:cstheme="minorHAnsi"/>
                <w:noProof/>
              </w:rPr>
            </w:pPr>
            <w:r>
              <w:rPr>
                <w:noProof/>
              </w:rPr>
              <w:t>TD-C19-i08</w:t>
            </w:r>
          </w:p>
        </w:tc>
        <w:tc>
          <w:tcPr>
            <w:tcW w:w="1080" w:type="dxa"/>
            <w:shd w:val="clear" w:color="auto" w:fill="C4EFCE"/>
            <w:noWrap/>
            <w:vAlign w:val="center"/>
          </w:tcPr>
          <w:p w14:paraId="419D9ACF" w14:textId="2C9A2317" w:rsidR="00E040FD" w:rsidRDefault="00740D64">
            <w:pPr>
              <w:pStyle w:val="P68B1DB1-Normal12"/>
              <w:spacing w:after="0" w:line="240" w:lineRule="auto"/>
              <w:jc w:val="center"/>
              <w:rPr>
                <w:rFonts w:cstheme="minorHAnsi"/>
                <w:noProof/>
              </w:rPr>
            </w:pPr>
            <w:r>
              <w:rPr>
                <w:noProof/>
              </w:rPr>
              <w:t>M</w:t>
            </w:r>
          </w:p>
        </w:tc>
        <w:tc>
          <w:tcPr>
            <w:tcW w:w="1609" w:type="dxa"/>
            <w:shd w:val="clear" w:color="auto" w:fill="C4EFCE"/>
            <w:noWrap/>
            <w:vAlign w:val="center"/>
          </w:tcPr>
          <w:p w14:paraId="5648E079" w14:textId="3040F5A3" w:rsidR="00E040FD" w:rsidRDefault="00740D64">
            <w:pPr>
              <w:pStyle w:val="P68B1DB1-Normal12"/>
              <w:spacing w:after="0" w:line="240" w:lineRule="auto"/>
              <w:jc w:val="center"/>
              <w:rPr>
                <w:rFonts w:cstheme="minorHAnsi"/>
                <w:noProof/>
              </w:rPr>
            </w:pPr>
            <w:r>
              <w:rPr>
                <w:noProof/>
              </w:rPr>
              <w:t>Utbildning i smarta territorier</w:t>
            </w:r>
          </w:p>
        </w:tc>
        <w:tc>
          <w:tcPr>
            <w:tcW w:w="1343" w:type="dxa"/>
            <w:shd w:val="clear" w:color="auto" w:fill="C4EFCE"/>
            <w:noWrap/>
            <w:vAlign w:val="center"/>
          </w:tcPr>
          <w:p w14:paraId="44D863AA" w14:textId="77777777" w:rsidR="00E040FD" w:rsidRDefault="00E040FD">
            <w:pPr>
              <w:spacing w:after="0" w:line="240" w:lineRule="auto"/>
              <w:jc w:val="center"/>
              <w:rPr>
                <w:rFonts w:cstheme="minorHAnsi"/>
                <w:noProof/>
                <w:sz w:val="16"/>
              </w:rPr>
            </w:pPr>
          </w:p>
        </w:tc>
        <w:tc>
          <w:tcPr>
            <w:tcW w:w="1134" w:type="dxa"/>
            <w:shd w:val="clear" w:color="auto" w:fill="C4EFCE"/>
            <w:noWrap/>
            <w:vAlign w:val="center"/>
          </w:tcPr>
          <w:p w14:paraId="3C744534" w14:textId="471C353F" w:rsidR="00E040FD" w:rsidRDefault="00740D64">
            <w:pPr>
              <w:pStyle w:val="P68B1DB1-Normal12"/>
              <w:spacing w:after="0" w:line="240" w:lineRule="auto"/>
              <w:jc w:val="center"/>
              <w:rPr>
                <w:rFonts w:cstheme="minorHAnsi"/>
                <w:noProof/>
              </w:rPr>
            </w:pPr>
            <w:r>
              <w:rPr>
                <w:noProof/>
              </w:rPr>
              <w:t>Antal</w:t>
            </w:r>
          </w:p>
        </w:tc>
        <w:tc>
          <w:tcPr>
            <w:tcW w:w="947" w:type="dxa"/>
            <w:shd w:val="clear" w:color="auto" w:fill="C4EFCE"/>
            <w:noWrap/>
            <w:vAlign w:val="center"/>
          </w:tcPr>
          <w:p w14:paraId="538FAA91" w14:textId="20339339" w:rsidR="00E040FD" w:rsidRDefault="00740D64">
            <w:pPr>
              <w:pStyle w:val="P68B1DB1-Normal12"/>
              <w:spacing w:after="0" w:line="240" w:lineRule="auto"/>
              <w:jc w:val="center"/>
              <w:rPr>
                <w:rFonts w:cstheme="minorHAnsi"/>
                <w:noProof/>
              </w:rPr>
            </w:pPr>
            <w:r>
              <w:rPr>
                <w:noProof/>
              </w:rPr>
              <w:t>0</w:t>
            </w:r>
          </w:p>
        </w:tc>
        <w:tc>
          <w:tcPr>
            <w:tcW w:w="682" w:type="dxa"/>
            <w:shd w:val="clear" w:color="auto" w:fill="C4EFCE"/>
            <w:noWrap/>
            <w:vAlign w:val="center"/>
          </w:tcPr>
          <w:p w14:paraId="498F4BE0" w14:textId="75A3A34E" w:rsidR="00E040FD" w:rsidRDefault="00740D64">
            <w:pPr>
              <w:pStyle w:val="P68B1DB1-Normal12"/>
              <w:spacing w:after="0" w:line="240" w:lineRule="auto"/>
              <w:jc w:val="center"/>
              <w:rPr>
                <w:rFonts w:cstheme="minorHAnsi"/>
                <w:noProof/>
              </w:rPr>
            </w:pPr>
            <w:r>
              <w:rPr>
                <w:noProof/>
              </w:rPr>
              <w:t>650</w:t>
            </w:r>
          </w:p>
        </w:tc>
        <w:tc>
          <w:tcPr>
            <w:tcW w:w="550" w:type="dxa"/>
            <w:shd w:val="clear" w:color="auto" w:fill="C4EFCE"/>
            <w:noWrap/>
            <w:vAlign w:val="center"/>
          </w:tcPr>
          <w:p w14:paraId="195EA9FE" w14:textId="21BCF0FB" w:rsidR="00E040FD" w:rsidRDefault="00740D64">
            <w:pPr>
              <w:pStyle w:val="P68B1DB1-Normal12"/>
              <w:spacing w:after="0" w:line="240" w:lineRule="auto"/>
              <w:jc w:val="center"/>
              <w:rPr>
                <w:rFonts w:cstheme="minorHAnsi"/>
                <w:noProof/>
              </w:rPr>
            </w:pPr>
            <w:r>
              <w:rPr>
                <w:noProof/>
              </w:rPr>
              <w:t>KVARTAL 4</w:t>
            </w:r>
          </w:p>
        </w:tc>
        <w:tc>
          <w:tcPr>
            <w:tcW w:w="682" w:type="dxa"/>
            <w:shd w:val="clear" w:color="auto" w:fill="C4EFCE"/>
            <w:noWrap/>
            <w:vAlign w:val="center"/>
          </w:tcPr>
          <w:p w14:paraId="5FAC320A" w14:textId="68759A95" w:rsidR="00E040FD" w:rsidRDefault="00740D64">
            <w:pPr>
              <w:pStyle w:val="P68B1DB1-Normal12"/>
              <w:spacing w:after="0" w:line="240" w:lineRule="auto"/>
              <w:jc w:val="center"/>
              <w:rPr>
                <w:rFonts w:cstheme="minorHAnsi"/>
                <w:noProof/>
              </w:rPr>
            </w:pPr>
            <w:r>
              <w:rPr>
                <w:noProof/>
              </w:rPr>
              <w:t>2025</w:t>
            </w:r>
          </w:p>
        </w:tc>
        <w:tc>
          <w:tcPr>
            <w:tcW w:w="4458" w:type="dxa"/>
            <w:shd w:val="clear" w:color="auto" w:fill="C4EFCE"/>
            <w:vAlign w:val="center"/>
          </w:tcPr>
          <w:p w14:paraId="6C088F62" w14:textId="48E68E5E" w:rsidR="00E040FD" w:rsidRDefault="00740D64">
            <w:pPr>
              <w:pStyle w:val="P68B1DB1-Bodytext1013"/>
              <w:spacing w:after="0" w:line="240" w:lineRule="auto"/>
              <w:jc w:val="both"/>
              <w:rPr>
                <w:rFonts w:cstheme="minorHAnsi"/>
                <w:noProof/>
              </w:rPr>
            </w:pPr>
            <w:r>
              <w:rPr>
                <w:noProof/>
              </w:rPr>
              <w:t>Antal offentliganställda som har genomgått utbildning i datainsamling och dataförvaltning och annat innehåll med koppling till smarta städer och byggnader samt hållbarhet.</w:t>
            </w:r>
          </w:p>
        </w:tc>
      </w:tr>
    </w:tbl>
    <w:p w14:paraId="7E5600AA" w14:textId="77777777" w:rsidR="00E040FD" w:rsidRDefault="00E040FD">
      <w:pPr>
        <w:keepNext/>
        <w:spacing w:before="40" w:after="0" w:line="259" w:lineRule="auto"/>
        <w:jc w:val="both"/>
        <w:rPr>
          <w:rFonts w:ascii="Times New Roman" w:eastAsiaTheme="minorEastAsia" w:hAnsi="Times New Roman" w:cs="Times New Roman"/>
          <w:noProof/>
          <w:sz w:val="24"/>
          <w:u w:val="single"/>
        </w:rPr>
      </w:pPr>
    </w:p>
    <w:p w14:paraId="24A85F36"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E040FD" w:rsidSect="00E00EDD">
          <w:headerReference w:type="even" r:id="rId350"/>
          <w:headerReference w:type="default" r:id="rId351"/>
          <w:footerReference w:type="even" r:id="rId352"/>
          <w:footerReference w:type="default" r:id="rId353"/>
          <w:headerReference w:type="first" r:id="rId354"/>
          <w:footerReference w:type="first" r:id="rId355"/>
          <w:pgSz w:w="16839" w:h="11907" w:orient="landscape"/>
          <w:pgMar w:top="1134" w:right="1134" w:bottom="1134" w:left="1134" w:header="567" w:footer="567" w:gutter="0"/>
          <w:cols w:space="720"/>
          <w:docGrid w:linePitch="360"/>
        </w:sectPr>
      </w:pPr>
    </w:p>
    <w:p w14:paraId="6A596265"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T. KOMPONENT 20: Digital skola</w:t>
      </w:r>
    </w:p>
    <w:p w14:paraId="0220BD59"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Portugal hade 2019 värden under de europeiska genomsnitten när det gäller daglig användning av internet (65 %), användning av offentliga onlinetjänster (41 %) och IKT-specialister på arbetsmarknaden (2,4 %) (Eurostats data/observatoriet för digital kompetens) och fastställde ambitiösa mål för dessa indikatorer senast 2025 (80 %, 75 % respektive 5 %). Bland IKT-specialister på arbetsmarknaden stod kvinnor för 18,3 % och män för 81,7 % (uppgifter från Eurostat). </w:t>
      </w:r>
    </w:p>
    <w:p w14:paraId="3D0CAE16" w14:textId="77777777" w:rsidR="00E040FD" w:rsidRDefault="00740D64">
      <w:pPr>
        <w:pStyle w:val="P68B1DB1-Normal4"/>
        <w:keepNext/>
        <w:spacing w:before="40" w:after="0" w:line="259" w:lineRule="auto"/>
        <w:jc w:val="both"/>
        <w:rPr>
          <w:rFonts w:eastAsiaTheme="minorEastAsia" w:cs="Times New Roman"/>
          <w:noProof/>
        </w:rPr>
      </w:pPr>
      <w:r>
        <w:rPr>
          <w:noProof/>
        </w:rPr>
        <w:t>Syftet med komponenten är att skapa förutsättningar för utbildningsmässig, pedagogisk och administrativ innovation inom det portugisiska systemet för grundskole- och gymnasieutbildning. Detta ska uppnås genom att utveckla lärarnas, elevernas och skolpersonalens digitala färdigheter, genom att integrera digital teknik i de olika kursområdena och genom att tillhandahålla lämplig utrustning. Detta förväntas i sin tur bidra till den digitala omställningen och till en inkluderande och hållbar tillväxt i ekonomin.</w:t>
      </w:r>
    </w:p>
    <w:p w14:paraId="2A7F6906" w14:textId="77777777" w:rsidR="00E040FD" w:rsidRDefault="00740D64">
      <w:pPr>
        <w:pStyle w:val="P68B1DB1-Normal4"/>
        <w:keepNext/>
        <w:spacing w:before="40" w:after="0" w:line="259" w:lineRule="auto"/>
        <w:jc w:val="both"/>
        <w:rPr>
          <w:rFonts w:eastAsiaTheme="minorEastAsia" w:cs="Times New Roman"/>
          <w:noProof/>
        </w:rPr>
      </w:pPr>
      <w:r>
        <w:rPr>
          <w:noProof/>
        </w:rPr>
        <w:t>Komponenten bidrar till att följa den landsspecifika rekommendationen om att förbättra befolkningens kompetensnivå, särskilt deras digitala kompetens (landsspecifik rekommendation 2 2019), och till att stödja användningen av digital teknik för att säkerställa lika tillgång till utbildning av god kvalitet (landsspecifik rekommendation 2 2020).</w:t>
      </w:r>
    </w:p>
    <w:p w14:paraId="74ECCC4A" w14:textId="77777777" w:rsidR="00E040FD" w:rsidRDefault="00740D64">
      <w:pPr>
        <w:pStyle w:val="P68B1DB1-Normal4"/>
        <w:keepNext/>
        <w:spacing w:before="40" w:after="0" w:line="259" w:lineRule="auto"/>
        <w:jc w:val="both"/>
        <w:outlineLvl w:val="1"/>
        <w:rPr>
          <w:rFonts w:eastAsiaTheme="minorEastAsia" w:cs="Times New Roman"/>
          <w:noProof/>
        </w:rPr>
      </w:pPr>
      <w:r>
        <w:rPr>
          <w:noProof/>
        </w:rPr>
        <w:t xml:space="preserve">Ingen åtgärd i denna del förväntas medföra betydande skada för miljömålen i den mening som avses i artikel 17 i förordning (EU) 2020/852, med beaktande av beskrivningen av åtgärderna och de riskreducerande åtgärder som anges i planen i enlighet med den tekniska vägledningen om att inte orsaka betydande skada (2021/C58/01). </w:t>
      </w:r>
    </w:p>
    <w:p w14:paraId="3B662D2B"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noProof/>
          <w:sz w:val="24"/>
        </w:rPr>
      </w:pPr>
    </w:p>
    <w:p w14:paraId="59DF8EE1"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T.1. Beskrivning av reformer och investeringar avseende icke återbetalningspliktigt ekonomiskt stöd</w:t>
      </w:r>
    </w:p>
    <w:p w14:paraId="707939C8"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Reform TD-r37: Reform av den digitala utbildningen</w:t>
      </w:r>
    </w:p>
    <w:p w14:paraId="75AAAB02"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Syftet med åtgärden är att utveckla en ny digital strategi för utbildning som utnyttjar befintlig offentlig utbildningspolitik, särskilt systemet med självständighet och flexibilitet i läroplanerna. Denna reform syftar till att införa ett kvalitativt språng i den pedagogiska användningen av digital teknik och hur den ska integreras i processen för att förvärva kunskap. Reformen syftar också till att minska risken för utestängning och nackdelar i lärandeprocesserna genom att minska sociala och utbildningsmässiga ojämlikheter när det gäller tillgång till digital teknik. Reformen av den digitala utbildningen riktar sig till utbildningsvärlden (elever, lärare och annan personal). </w:t>
      </w:r>
    </w:p>
    <w:p w14:paraId="2F6F6796"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Reformen ska bestå av åtgärder för att säkerställa att 95 % av lärarna i det offentliga utbildningsnätverket får utbildning i grundläggande eller mer avancerade digitala färdigheter, inbegripet om integrering av digital teknik i läroplanen. </w:t>
      </w:r>
    </w:p>
    <w:p w14:paraId="5FE5A2B5" w14:textId="77777777" w:rsidR="00E040FD" w:rsidRDefault="00740D64">
      <w:pPr>
        <w:pStyle w:val="P68B1DB1-Normal4"/>
        <w:keepNext/>
        <w:spacing w:before="40" w:after="0" w:line="259" w:lineRule="auto"/>
        <w:jc w:val="both"/>
        <w:rPr>
          <w:rFonts w:eastAsiaTheme="minorEastAsia" w:cs="Times New Roman"/>
          <w:noProof/>
        </w:rPr>
      </w:pPr>
      <w:r>
        <w:rPr>
          <w:noProof/>
        </w:rPr>
        <w:t>Genomförandet av reformen ska vara slutfört senast den 31 december 2025.</w:t>
      </w:r>
    </w:p>
    <w:p w14:paraId="079FE2F5"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Investeringar TD-C20-i01: Digital omställning inom utbildningen</w:t>
      </w:r>
    </w:p>
    <w:p w14:paraId="1BD28562" w14:textId="77777777" w:rsidR="00E040FD" w:rsidRDefault="00740D64">
      <w:pPr>
        <w:pStyle w:val="P68B1DB1-Normal4"/>
        <w:keepNext/>
        <w:spacing w:before="40" w:after="0" w:line="259" w:lineRule="auto"/>
        <w:jc w:val="both"/>
        <w:rPr>
          <w:rFonts w:eastAsiaTheme="minorEastAsia" w:cs="Times New Roman"/>
          <w:noProof/>
        </w:rPr>
      </w:pPr>
      <w:r>
        <w:rPr>
          <w:noProof/>
        </w:rPr>
        <w:t>Syftet med investeringen är följande: undanröja hindren för tillgång till internet av hög kvalitet i skolmiljön, att undanröja begränsningar av den integrerade användningen av teknisk och digital utrustning och undanröja bristen på specialiserad utrustning för att utveckla digitala färdigheter och stimulera fortsatta karriärer inom naturvetenskap, teknik, ingenjörsvetenskap och matematik samt främja ett jämlikt deltagande av flickor och pojkar, III) att komma till rätta med den otillräckliga användningen av digitala utbildningsresurser i inlärningsprocessen och bedömningsprocessen. och iv) att komma till rätta med spridningen och ineffektiviteten i utbildningssystemets förvaltnings- och informationssystem genom att se över och uppdatera metoder och processer för skolförvaltning och administration.</w:t>
      </w:r>
    </w:p>
    <w:p w14:paraId="7653B2CD" w14:textId="77777777" w:rsidR="00E040FD" w:rsidRDefault="00740D64">
      <w:pPr>
        <w:pStyle w:val="P68B1DB1-Normal4"/>
        <w:keepNext/>
        <w:spacing w:before="40" w:after="0" w:line="259" w:lineRule="auto"/>
        <w:jc w:val="both"/>
        <w:rPr>
          <w:rFonts w:eastAsiaTheme="minorEastAsia" w:cs="Times New Roman"/>
          <w:noProof/>
        </w:rPr>
      </w:pPr>
      <w:r>
        <w:rPr>
          <w:noProof/>
        </w:rPr>
        <w:t>Denna investering ska bestå av följande:</w:t>
      </w:r>
    </w:p>
    <w:p w14:paraId="03FF5724" w14:textId="6EAC7F20" w:rsidR="00E040FD" w:rsidRDefault="00740D64">
      <w:pPr>
        <w:pStyle w:val="P68B1DB1-Normal4"/>
        <w:keepNext/>
        <w:numPr>
          <w:ilvl w:val="0"/>
          <w:numId w:val="38"/>
        </w:numPr>
        <w:spacing w:before="40" w:after="160" w:line="259" w:lineRule="auto"/>
        <w:contextualSpacing/>
        <w:jc w:val="both"/>
        <w:rPr>
          <w:rFonts w:eastAsiaTheme="minorEastAsia" w:cs="Times New Roman"/>
          <w:noProof/>
        </w:rPr>
      </w:pPr>
      <w:r>
        <w:rPr>
          <w:noProof/>
        </w:rPr>
        <w:t>Öka skolornas uppkoppling genom att utöka internetuppkopplingen i det utvidgade utbildningsnätverket från 40 till 300 Gbit/s, koppla samman grund- och gymnasieskolor med det utvidgade utbildningsnätverket och ge dem konnektivitet på minst 1 Gbit/s och utvidga det lokala nätet med i genomsnitt 40 nya åtkomstpunkter för varje skola.</w:t>
      </w:r>
    </w:p>
    <w:p w14:paraId="75BEAC82" w14:textId="10913F76" w:rsidR="00E040FD" w:rsidRDefault="00740D64">
      <w:pPr>
        <w:pStyle w:val="P68B1DB1-Normal4"/>
        <w:keepNext/>
        <w:numPr>
          <w:ilvl w:val="0"/>
          <w:numId w:val="38"/>
        </w:numPr>
        <w:spacing w:before="40" w:after="160" w:line="259" w:lineRule="auto"/>
        <w:contextualSpacing/>
        <w:jc w:val="both"/>
        <w:rPr>
          <w:rFonts w:eastAsiaTheme="minorEastAsia" w:cs="Times New Roman"/>
          <w:noProof/>
        </w:rPr>
      </w:pPr>
      <w:r>
        <w:rPr>
          <w:noProof/>
        </w:rPr>
        <w:t>Tillhandahålla 600 000 datorer till elever och lärare, uppgradera utrustningen för klassrumsprojektion (40 000 projektorer) och förse skolor med digitala utbildningslaboratorier utrustade med avancerad digital teknik som 3D-skrivare och utbildningsrobotar (1 300).</w:t>
      </w:r>
    </w:p>
    <w:p w14:paraId="2EECEC6A" w14:textId="77777777" w:rsidR="00E040FD" w:rsidRDefault="00740D64">
      <w:pPr>
        <w:pStyle w:val="P68B1DB1-Normal4"/>
        <w:keepNext/>
        <w:numPr>
          <w:ilvl w:val="0"/>
          <w:numId w:val="38"/>
        </w:numPr>
        <w:spacing w:before="40" w:after="160" w:line="259" w:lineRule="auto"/>
        <w:contextualSpacing/>
        <w:jc w:val="both"/>
        <w:rPr>
          <w:rFonts w:eastAsiaTheme="minorEastAsia" w:cs="Times New Roman"/>
          <w:noProof/>
        </w:rPr>
      </w:pPr>
      <w:r>
        <w:rPr>
          <w:noProof/>
        </w:rPr>
        <w:t>Utveckla och anta nya digitala utbildningsresurser (95 % av ämnena i läroplanerna för grundskole- och gymnasieutbildning, inbegripet fysisk träning och idrott), inbegripet digitalisering av bedömningsprov.</w:t>
      </w:r>
    </w:p>
    <w:p w14:paraId="52367BA5" w14:textId="77777777" w:rsidR="00E040FD" w:rsidRDefault="00740D64">
      <w:pPr>
        <w:pStyle w:val="P68B1DB1-Normal4"/>
        <w:keepNext/>
        <w:numPr>
          <w:ilvl w:val="0"/>
          <w:numId w:val="38"/>
        </w:numPr>
        <w:spacing w:before="40" w:after="160" w:line="259" w:lineRule="auto"/>
        <w:contextualSpacing/>
        <w:jc w:val="both"/>
        <w:rPr>
          <w:rFonts w:eastAsiaTheme="minorEastAsia" w:cs="Times New Roman"/>
          <w:noProof/>
        </w:rPr>
      </w:pPr>
      <w:r>
        <w:rPr>
          <w:noProof/>
        </w:rPr>
        <w:t>Förse skolorna med ett ”enhetligt identitetssystem” för att hantera skolsamhället, samordna och integrera informationssystem för utbildningsförvaltning och tillhandahålla lämpliga it-lösningar, 15 000 olika typer av utrustning (mellan datorer, skannrar och skrivare), i syfte att få utbildningssystemet att fungera effektivare och öppnare, inbegripet en rationalisering av skolornas utgifter.</w:t>
      </w:r>
    </w:p>
    <w:p w14:paraId="0F323A51"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14F3F2F2" w14:textId="7777777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Investeringar TD-C20-i02-RAA: Digital utbildning (Azorerna)</w:t>
      </w:r>
    </w:p>
    <w:p w14:paraId="6DBBE642"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Åtgärdens mål är att säkerställa tillgång till användning av digital teknik, främja lika möjligheter och leda till betydande förbättringar av inlärningsmetoderna, i linje med Europeiska unionens handlingsplan för digital utbildning. </w:t>
      </w:r>
    </w:p>
    <w:p w14:paraId="5C7D6298" w14:textId="325E0E33" w:rsidR="00E040FD" w:rsidRDefault="00740D64">
      <w:pPr>
        <w:pStyle w:val="P68B1DB1-Normal4"/>
        <w:keepNext/>
        <w:spacing w:before="40" w:after="0" w:line="259" w:lineRule="auto"/>
        <w:jc w:val="both"/>
        <w:rPr>
          <w:rFonts w:eastAsiaTheme="minorEastAsia" w:cs="Times New Roman"/>
          <w:noProof/>
        </w:rPr>
      </w:pPr>
      <w:r>
        <w:rPr>
          <w:noProof/>
        </w:rPr>
        <w:t>Denna investering ska bestå i att främja utvecklingen av digitala färdigheter i utbildningssamhället med inriktning på både elever, deras föräldrar och lärare och ska omfatta riktade åtgärder på följande områden:</w:t>
      </w:r>
    </w:p>
    <w:p w14:paraId="513C3B5B" w14:textId="36FC7C89" w:rsidR="00E040FD" w:rsidRDefault="00740D64">
      <w:pPr>
        <w:pStyle w:val="P68B1DB1-Normal4"/>
        <w:keepNext/>
        <w:numPr>
          <w:ilvl w:val="0"/>
          <w:numId w:val="38"/>
        </w:numPr>
        <w:spacing w:before="40" w:after="160" w:line="259" w:lineRule="auto"/>
        <w:contextualSpacing/>
        <w:jc w:val="both"/>
        <w:rPr>
          <w:rFonts w:eastAsiaTheme="minorEastAsia" w:cs="Times New Roman"/>
          <w:noProof/>
        </w:rPr>
      </w:pPr>
      <w:r>
        <w:rPr>
          <w:noProof/>
        </w:rPr>
        <w:t>Utrustning: 31 900 ny mobil it-utrustning för förskole-, grundskole- och gymnasieutbildning, inklusive följande uppgraderingar och programvara och tillhandahållande av utrustning på skolnivå med minst 1080 nya interaktiva skärmar, 100 ny specialiserad laboratorieutrustning, 100 nya 3D-skrivare och 150 nya utbildningsrobotar.</w:t>
      </w:r>
    </w:p>
    <w:p w14:paraId="0EBDFF9B" w14:textId="77777777" w:rsidR="00E040FD" w:rsidRDefault="00740D64">
      <w:pPr>
        <w:pStyle w:val="P68B1DB1-Normal4"/>
        <w:keepNext/>
        <w:numPr>
          <w:ilvl w:val="0"/>
          <w:numId w:val="38"/>
        </w:numPr>
        <w:spacing w:before="40" w:after="160" w:line="259" w:lineRule="auto"/>
        <w:contextualSpacing/>
        <w:jc w:val="both"/>
        <w:rPr>
          <w:rFonts w:eastAsiaTheme="minorEastAsia" w:cs="Times New Roman"/>
          <w:noProof/>
        </w:rPr>
      </w:pPr>
      <w:r>
        <w:rPr>
          <w:noProof/>
        </w:rPr>
        <w:t>Digitala utbildningsresurser: digitalisering av utbildningsresurser i syfte att nå 100 % av eleverna i den autonoma regionen Azorerna med hjälp av digitala manualer.</w:t>
      </w:r>
    </w:p>
    <w:p w14:paraId="2A03A637" w14:textId="0F426A51" w:rsidR="00E040FD" w:rsidRDefault="00740D64">
      <w:pPr>
        <w:pStyle w:val="P68B1DB1-Normal4"/>
        <w:keepNext/>
        <w:numPr>
          <w:ilvl w:val="0"/>
          <w:numId w:val="38"/>
        </w:numPr>
        <w:spacing w:before="40" w:after="160" w:line="259" w:lineRule="auto"/>
        <w:contextualSpacing/>
        <w:jc w:val="both"/>
        <w:rPr>
          <w:rFonts w:eastAsiaTheme="minorEastAsia" w:cs="Times New Roman"/>
          <w:noProof/>
        </w:rPr>
      </w:pPr>
      <w:r>
        <w:rPr>
          <w:noProof/>
        </w:rPr>
        <w:t xml:space="preserve">Digital kompetens: 24 utbildningsmoduler för lärare och studenters föräldrar. </w:t>
      </w:r>
    </w:p>
    <w:p w14:paraId="690C5BB4" w14:textId="7315D772" w:rsidR="00E040FD" w:rsidRDefault="00740D64">
      <w:pPr>
        <w:pStyle w:val="P68B1DB1-Normal4"/>
        <w:keepNext/>
        <w:numPr>
          <w:ilvl w:val="0"/>
          <w:numId w:val="38"/>
        </w:numPr>
        <w:spacing w:before="40" w:after="160" w:line="259" w:lineRule="auto"/>
        <w:contextualSpacing/>
        <w:jc w:val="both"/>
        <w:rPr>
          <w:rFonts w:eastAsiaTheme="minorEastAsia" w:cs="Times New Roman"/>
          <w:noProof/>
        </w:rPr>
      </w:pPr>
      <w:r>
        <w:rPr>
          <w:noProof/>
        </w:rPr>
        <w:t xml:space="preserve">Förbindelser: åtgärder för att förbättra förbindelserna mellan skolor i den autonoma regionen Azorerna till minst 1 Gbps. Inköp och installation av 1500 växlar och APS. </w:t>
      </w:r>
    </w:p>
    <w:p w14:paraId="1A26EC6C"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vara genomförd senast den 31 december 2025.</w:t>
      </w:r>
    </w:p>
    <w:p w14:paraId="6248B184" w14:textId="4041F786"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Investeringar TD-C20-i03-RAM: Påskynda digitaliseringen av utbildningen inom ARM</w:t>
      </w:r>
    </w:p>
    <w:p w14:paraId="19CEFD55" w14:textId="7C0999F4" w:rsidR="00E040FD" w:rsidRDefault="00740D64">
      <w:pPr>
        <w:pStyle w:val="P68B1DB1-Normal4"/>
        <w:keepNext/>
        <w:spacing w:before="40" w:after="0" w:line="259" w:lineRule="auto"/>
        <w:jc w:val="both"/>
        <w:rPr>
          <w:rFonts w:eastAsiaTheme="minorEastAsia" w:cs="Times New Roman"/>
          <w:noProof/>
        </w:rPr>
      </w:pPr>
      <w:r>
        <w:rPr>
          <w:noProof/>
        </w:rPr>
        <w:t>Syftet med åtgärden är att skapa ett mer proaktivt, innovativt, inkluderande, självständigt, rättvist och öppet utbildningssystem i den autonoma regionen Madeira i offentliga och privata skolor.</w:t>
      </w:r>
    </w:p>
    <w:p w14:paraId="34D95A54" w14:textId="77777777" w:rsidR="00E040FD" w:rsidRDefault="00740D64">
      <w:pPr>
        <w:pStyle w:val="P68B1DB1-Normal4"/>
        <w:keepNext/>
        <w:spacing w:before="40" w:after="0" w:line="259" w:lineRule="auto"/>
        <w:jc w:val="both"/>
        <w:rPr>
          <w:rFonts w:eastAsiaTheme="minorEastAsia" w:cs="Times New Roman"/>
          <w:noProof/>
        </w:rPr>
      </w:pPr>
      <w:r>
        <w:rPr>
          <w:noProof/>
        </w:rPr>
        <w:t>Investeringen ska bestå i att tillhandahålla lärande, utbildning och kvalifikationer av hög kvalitet, förbereda barn och elever för att möta 2000-talets utmaningar, inbegripet den digitala omställningen, med särskilda åtgärder på följande områden:</w:t>
      </w:r>
    </w:p>
    <w:p w14:paraId="6E749B90" w14:textId="3B32952B" w:rsidR="00E040FD" w:rsidRDefault="00740D64">
      <w:pPr>
        <w:pStyle w:val="P68B1DB1-Normal4"/>
        <w:keepNext/>
        <w:numPr>
          <w:ilvl w:val="0"/>
          <w:numId w:val="39"/>
        </w:numPr>
        <w:spacing w:before="40" w:after="160" w:line="259" w:lineRule="auto"/>
        <w:contextualSpacing/>
        <w:jc w:val="both"/>
        <w:rPr>
          <w:rFonts w:eastAsiaTheme="minorEastAsia" w:cs="Times New Roman"/>
          <w:noProof/>
        </w:rPr>
      </w:pPr>
      <w:r>
        <w:rPr>
          <w:noProof/>
        </w:rPr>
        <w:t>Digitala utbildningsresurser och digital utbildningsutrustning: Inom projektet ”Digitala handböcker” syftar det till att tillhandahålla flera digitala utbildningsresurser i olika format och olika typer (animationer, simuleringar, tredimensionella videor eller annat), tillhandahålla utrustning (surfplattor eller bärbara datorer, beroende på skolår) och tillgång till digitala läroböcker för att säkerställa att utbildningssamhället (elever, lärare, seniortekniker, tekniker för tekniskt stöd, utbildningsanordnare) har säker tillgång till det innehåll som finns tillgängligt genom digitaliseringen av utbildningen. Den ska omfatta följande för alla elever (15 910 elever): 1 surfplatta eller bärbar dator, beroende på skolår, 1 Virtual School Access Licence som gäller för varje läsår. 1 personligt och icke överlåtbart tillstånd för den digitala versionen av varje skolhandbok som antagits för skolgång.</w:t>
      </w:r>
    </w:p>
    <w:p w14:paraId="56EC44E7" w14:textId="4D84A1D3" w:rsidR="00E040FD" w:rsidRDefault="00740D64">
      <w:pPr>
        <w:pStyle w:val="P68B1DB1-Normal4"/>
        <w:keepNext/>
        <w:numPr>
          <w:ilvl w:val="0"/>
          <w:numId w:val="39"/>
        </w:numPr>
        <w:spacing w:before="40" w:after="160" w:line="259" w:lineRule="auto"/>
        <w:contextualSpacing/>
        <w:jc w:val="both"/>
        <w:rPr>
          <w:rFonts w:eastAsiaTheme="minorEastAsia" w:cs="Times New Roman"/>
          <w:noProof/>
        </w:rPr>
      </w:pPr>
      <w:r>
        <w:rPr>
          <w:noProof/>
        </w:rPr>
        <w:t>Uppkoppling och utrustning för skolor: i syfte att utrusta skolorna med ”Innovativa lärandemiljöer” (34 ”Innovative Environmental Apprenticeships”), 22 ”Makerspace-laboratorier; 15 platser för utbildning i barnomsorg. 20” innovativa platser ”– baserade på konceptet Snoezelen</w:t>
      </w:r>
      <w:r>
        <w:rPr>
          <w:noProof/>
        </w:rPr>
        <w:footnoteReference w:id="77"/>
      </w:r>
      <w:r>
        <w:rPr>
          <w:noProof/>
        </w:rPr>
        <w:t xml:space="preserve">– främja inkludering och digital kompetens, med” Utbildningsinnovationscentrum för programmering och robotteknik ”, ett för varje skola, </w:t>
      </w:r>
    </w:p>
    <w:p w14:paraId="6FC4CEC9" w14:textId="62347127" w:rsidR="00E040FD" w:rsidRDefault="00740D64">
      <w:pPr>
        <w:pStyle w:val="P68B1DB1-Normal4"/>
        <w:keepNext/>
        <w:numPr>
          <w:ilvl w:val="0"/>
          <w:numId w:val="39"/>
        </w:numPr>
        <w:spacing w:before="40" w:after="160" w:line="259" w:lineRule="auto"/>
        <w:contextualSpacing/>
        <w:jc w:val="both"/>
        <w:rPr>
          <w:rFonts w:eastAsiaTheme="minorEastAsia" w:cs="Times New Roman"/>
          <w:noProof/>
        </w:rPr>
      </w:pPr>
      <w:r>
        <w:rPr>
          <w:noProof/>
        </w:rPr>
        <w:t xml:space="preserve">Digital kompetens: med utbildningsverksamhet för lärare och annan personal (tekniker inom högre utbildning, tekniska assistenter). </w:t>
      </w:r>
    </w:p>
    <w:p w14:paraId="116BAADB" w14:textId="77777777" w:rsidR="00E040FD" w:rsidRDefault="00740D64">
      <w:pPr>
        <w:pStyle w:val="P68B1DB1-Normal4"/>
        <w:keepNext/>
        <w:spacing w:before="40" w:after="0" w:line="259" w:lineRule="auto"/>
        <w:jc w:val="both"/>
        <w:rPr>
          <w:rFonts w:eastAsiaTheme="minorEastAsia" w:cs="Times New Roman"/>
          <w:noProof/>
        </w:rPr>
        <w:sectPr w:rsidR="00E040FD" w:rsidSect="00E00EDD">
          <w:headerReference w:type="even" r:id="rId356"/>
          <w:headerReference w:type="default" r:id="rId357"/>
          <w:footerReference w:type="even" r:id="rId358"/>
          <w:footerReference w:type="default" r:id="rId359"/>
          <w:headerReference w:type="first" r:id="rId360"/>
          <w:footerReference w:type="first" r:id="rId361"/>
          <w:pgSz w:w="11907" w:h="16839"/>
          <w:pgMar w:top="1134" w:right="1134" w:bottom="1134" w:left="1134" w:header="567" w:footer="567" w:gutter="0"/>
          <w:cols w:space="720"/>
          <w:docGrid w:linePitch="360"/>
        </w:sectPr>
      </w:pPr>
      <w:r>
        <w:rPr>
          <w:noProof/>
        </w:rPr>
        <w:t>Investeringen ska vara genomförd senast den 31 december 2025.</w:t>
      </w:r>
    </w:p>
    <w:p w14:paraId="6A865438" w14:textId="77777777"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T.2. Delmål, mål, indikatorer och tidsplan för övervakning och genomförande avseende icke återbetalningspliktigt ekonomiskt stöd</w:t>
      </w:r>
    </w:p>
    <w:p w14:paraId="3E59DF2E"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992"/>
        <w:gridCol w:w="567"/>
        <w:gridCol w:w="708"/>
        <w:gridCol w:w="3969"/>
      </w:tblGrid>
      <w:tr w:rsidR="00E040FD" w14:paraId="161579D1" w14:textId="77777777">
        <w:trPr>
          <w:trHeight w:val="910"/>
          <w:tblHeader/>
        </w:trPr>
        <w:tc>
          <w:tcPr>
            <w:tcW w:w="1135" w:type="dxa"/>
            <w:vMerge w:val="restart"/>
            <w:shd w:val="clear" w:color="auto" w:fill="BDD6EE"/>
            <w:vAlign w:val="center"/>
            <w:hideMark/>
          </w:tcPr>
          <w:p w14:paraId="18D3C4B3"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vAlign w:val="center"/>
            <w:hideMark/>
          </w:tcPr>
          <w:p w14:paraId="0F2DCA77"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vAlign w:val="center"/>
            <w:hideMark/>
          </w:tcPr>
          <w:p w14:paraId="6ABCFCFD" w14:textId="4ED9A5A5" w:rsidR="00E040FD" w:rsidRDefault="00740D64">
            <w:pPr>
              <w:pStyle w:val="P68B1DB1-Normal6"/>
              <w:spacing w:after="0" w:line="240" w:lineRule="auto"/>
              <w:jc w:val="center"/>
              <w:rPr>
                <w:rFonts w:eastAsia="Times New Roman" w:cs="Times New Roman"/>
                <w:noProof/>
              </w:rPr>
            </w:pPr>
            <w:r>
              <w:rPr>
                <w:noProof/>
              </w:rPr>
              <w:t>Delmål/mål</w:t>
            </w:r>
          </w:p>
        </w:tc>
        <w:tc>
          <w:tcPr>
            <w:tcW w:w="1701" w:type="dxa"/>
            <w:vMerge w:val="restart"/>
            <w:shd w:val="clear" w:color="auto" w:fill="BDD6EE"/>
            <w:vAlign w:val="center"/>
            <w:hideMark/>
          </w:tcPr>
          <w:p w14:paraId="6F4253DE"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75" w:type="dxa"/>
            <w:vMerge w:val="restart"/>
            <w:shd w:val="clear" w:color="auto" w:fill="BDD6EE"/>
            <w:vAlign w:val="center"/>
            <w:hideMark/>
          </w:tcPr>
          <w:p w14:paraId="5E98634F"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977" w:type="dxa"/>
            <w:gridSpan w:val="3"/>
            <w:shd w:val="clear" w:color="auto" w:fill="BDD6EE"/>
            <w:vAlign w:val="center"/>
            <w:hideMark/>
          </w:tcPr>
          <w:p w14:paraId="1726AAB0"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vAlign w:val="center"/>
            <w:hideMark/>
          </w:tcPr>
          <w:p w14:paraId="416EE560"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3969" w:type="dxa"/>
            <w:vMerge w:val="restart"/>
            <w:shd w:val="clear" w:color="auto" w:fill="BDD6EE"/>
            <w:vAlign w:val="center"/>
            <w:hideMark/>
          </w:tcPr>
          <w:p w14:paraId="566259A2"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624748BC" w14:textId="77777777">
        <w:trPr>
          <w:trHeight w:val="470"/>
          <w:tblHeader/>
        </w:trPr>
        <w:tc>
          <w:tcPr>
            <w:tcW w:w="1135" w:type="dxa"/>
            <w:vMerge/>
            <w:vAlign w:val="center"/>
            <w:hideMark/>
          </w:tcPr>
          <w:p w14:paraId="50EEF1DC"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79C161D4"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vAlign w:val="center"/>
            <w:hideMark/>
          </w:tcPr>
          <w:p w14:paraId="0AD30B37" w14:textId="1F95A1E3" w:rsidR="00E040FD" w:rsidRDefault="00E040FD">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D61E092" w14:textId="77777777" w:rsidR="00E040FD" w:rsidRDefault="00E040FD">
            <w:pPr>
              <w:spacing w:after="0" w:line="240" w:lineRule="auto"/>
              <w:rPr>
                <w:rFonts w:ascii="Times New Roman" w:eastAsia="Times New Roman" w:hAnsi="Times New Roman" w:cs="Times New Roman"/>
                <w:b/>
                <w:noProof/>
                <w:sz w:val="18"/>
              </w:rPr>
            </w:pPr>
          </w:p>
        </w:tc>
        <w:tc>
          <w:tcPr>
            <w:tcW w:w="1275" w:type="dxa"/>
            <w:vMerge/>
            <w:vAlign w:val="center"/>
            <w:hideMark/>
          </w:tcPr>
          <w:p w14:paraId="0EF12599" w14:textId="77777777" w:rsidR="00E040FD" w:rsidRDefault="00E040FD">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543C08EA"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vAlign w:val="center"/>
            <w:hideMark/>
          </w:tcPr>
          <w:p w14:paraId="1E2EEAE7"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992" w:type="dxa"/>
            <w:shd w:val="clear" w:color="auto" w:fill="BDD6EE"/>
            <w:vAlign w:val="center"/>
            <w:hideMark/>
          </w:tcPr>
          <w:p w14:paraId="08F656FE"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7" w:type="dxa"/>
            <w:shd w:val="clear" w:color="auto" w:fill="BDD6EE"/>
            <w:vAlign w:val="center"/>
            <w:hideMark/>
          </w:tcPr>
          <w:p w14:paraId="6D741527"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195C72EE" w14:textId="77777777" w:rsidR="00E040FD" w:rsidRDefault="00740D64">
            <w:pPr>
              <w:pStyle w:val="P68B1DB1-Normal6"/>
              <w:spacing w:after="0" w:line="240" w:lineRule="auto"/>
              <w:jc w:val="center"/>
              <w:rPr>
                <w:rFonts w:eastAsia="Times New Roman" w:cs="Times New Roman"/>
                <w:noProof/>
              </w:rPr>
            </w:pPr>
            <w:r>
              <w:rPr>
                <w:noProof/>
              </w:rPr>
              <w:t>Året</w:t>
            </w:r>
          </w:p>
        </w:tc>
        <w:tc>
          <w:tcPr>
            <w:tcW w:w="3969" w:type="dxa"/>
            <w:vMerge/>
            <w:vAlign w:val="center"/>
            <w:hideMark/>
          </w:tcPr>
          <w:p w14:paraId="0AB1CE62" w14:textId="77777777" w:rsidR="00E040FD" w:rsidRDefault="00E040FD">
            <w:pPr>
              <w:spacing w:after="0" w:line="240" w:lineRule="auto"/>
              <w:rPr>
                <w:rFonts w:ascii="Times New Roman" w:eastAsia="Times New Roman" w:hAnsi="Times New Roman" w:cs="Times New Roman"/>
                <w:b/>
                <w:noProof/>
                <w:sz w:val="18"/>
              </w:rPr>
            </w:pPr>
          </w:p>
        </w:tc>
      </w:tr>
      <w:tr w:rsidR="00E040FD" w14:paraId="72498156" w14:textId="77777777">
        <w:trPr>
          <w:trHeight w:val="430"/>
        </w:trPr>
        <w:tc>
          <w:tcPr>
            <w:tcW w:w="1135" w:type="dxa"/>
            <w:shd w:val="clear" w:color="auto" w:fill="C4EFCE"/>
            <w:vAlign w:val="center"/>
            <w:hideMark/>
          </w:tcPr>
          <w:p w14:paraId="63BE4AE8" w14:textId="77777777" w:rsidR="00E040FD" w:rsidRDefault="00740D64">
            <w:pPr>
              <w:pStyle w:val="P68B1DB1-Normal7"/>
              <w:spacing w:after="0" w:line="240" w:lineRule="auto"/>
              <w:jc w:val="center"/>
              <w:rPr>
                <w:rFonts w:eastAsia="Times New Roman" w:cs="Calibri"/>
                <w:noProof/>
              </w:rPr>
            </w:pPr>
            <w:r>
              <w:rPr>
                <w:noProof/>
              </w:rPr>
              <w:t>20.1</w:t>
            </w:r>
          </w:p>
        </w:tc>
        <w:tc>
          <w:tcPr>
            <w:tcW w:w="1276" w:type="dxa"/>
            <w:shd w:val="clear" w:color="auto" w:fill="C4EFCE"/>
            <w:noWrap/>
            <w:vAlign w:val="center"/>
            <w:hideMark/>
          </w:tcPr>
          <w:p w14:paraId="164C94BA" w14:textId="77777777" w:rsidR="00E040FD" w:rsidRDefault="00740D64">
            <w:pPr>
              <w:pStyle w:val="P68B1DB1-Normal8"/>
              <w:spacing w:after="0" w:line="240" w:lineRule="auto"/>
              <w:jc w:val="center"/>
              <w:rPr>
                <w:rFonts w:eastAsia="Times New Roman" w:cs="Calibri"/>
                <w:noProof/>
              </w:rPr>
            </w:pPr>
            <w:r>
              <w:rPr>
                <w:noProof/>
              </w:rPr>
              <w:t>TD-C20-r37</w:t>
            </w:r>
          </w:p>
        </w:tc>
        <w:tc>
          <w:tcPr>
            <w:tcW w:w="1134" w:type="dxa"/>
            <w:shd w:val="clear" w:color="auto" w:fill="C4EFCE"/>
            <w:noWrap/>
            <w:vAlign w:val="center"/>
            <w:hideMark/>
          </w:tcPr>
          <w:p w14:paraId="12F2735F"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A40C825" w14:textId="77777777" w:rsidR="00E040FD" w:rsidRDefault="00740D64">
            <w:pPr>
              <w:pStyle w:val="P68B1DB1-Normal8"/>
              <w:spacing w:after="0" w:line="240" w:lineRule="auto"/>
              <w:jc w:val="center"/>
              <w:rPr>
                <w:rFonts w:eastAsia="Times New Roman" w:cs="Calibri"/>
                <w:noProof/>
              </w:rPr>
            </w:pPr>
            <w:r>
              <w:rPr>
                <w:noProof/>
              </w:rPr>
              <w:t>Utbildning i digitala färdigheter för lärare och annan personal i det offentliga utbildningsnätverket</w:t>
            </w:r>
          </w:p>
        </w:tc>
        <w:tc>
          <w:tcPr>
            <w:tcW w:w="1275" w:type="dxa"/>
            <w:shd w:val="clear" w:color="auto" w:fill="C4EFCE"/>
            <w:noWrap/>
            <w:vAlign w:val="center"/>
            <w:hideMark/>
          </w:tcPr>
          <w:p w14:paraId="224B1BF8"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67CBB8E" w14:textId="77777777" w:rsidR="00E040FD" w:rsidRDefault="00740D64">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6A3414D8" w14:textId="77777777" w:rsidR="00E040FD" w:rsidRDefault="00740D64">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6B108FA3" w14:textId="77777777" w:rsidR="00E040FD" w:rsidRDefault="00740D64">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75635301"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7E7431B0"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AA33588" w14:textId="77777777" w:rsidR="00E040FD" w:rsidRDefault="00740D64">
            <w:pPr>
              <w:pStyle w:val="P68B1DB1-Normal8"/>
              <w:spacing w:after="0" w:line="240" w:lineRule="auto"/>
              <w:jc w:val="both"/>
              <w:rPr>
                <w:rFonts w:eastAsia="Times New Roman" w:cs="Calibri"/>
                <w:noProof/>
              </w:rPr>
            </w:pPr>
            <w:r>
              <w:rPr>
                <w:noProof/>
              </w:rPr>
              <w:t xml:space="preserve">Procentandel lärare i det offentliga utbildningsnätverket som har fått utbildning i grundläggande eller mer avancerade digitala färdigheter, inbegripet (för lärare) om integrering av digital teknik i läroplanen. </w:t>
            </w:r>
          </w:p>
        </w:tc>
      </w:tr>
      <w:tr w:rsidR="00E040FD" w14:paraId="7114F95D" w14:textId="77777777">
        <w:trPr>
          <w:trHeight w:val="300"/>
        </w:trPr>
        <w:tc>
          <w:tcPr>
            <w:tcW w:w="1135" w:type="dxa"/>
            <w:shd w:val="clear" w:color="auto" w:fill="C4EFCE"/>
            <w:vAlign w:val="center"/>
          </w:tcPr>
          <w:p w14:paraId="08F3C5C5" w14:textId="77777777" w:rsidR="00E040FD" w:rsidRDefault="00740D64">
            <w:pPr>
              <w:pStyle w:val="P68B1DB1-Normal7"/>
              <w:spacing w:after="0" w:line="240" w:lineRule="auto"/>
              <w:jc w:val="center"/>
              <w:rPr>
                <w:rFonts w:eastAsia="Times New Roman" w:cs="Calibri"/>
                <w:noProof/>
              </w:rPr>
            </w:pPr>
            <w:r>
              <w:rPr>
                <w:noProof/>
              </w:rPr>
              <w:t>20.2</w:t>
            </w:r>
          </w:p>
        </w:tc>
        <w:tc>
          <w:tcPr>
            <w:tcW w:w="1276" w:type="dxa"/>
            <w:shd w:val="clear" w:color="auto" w:fill="C4EFCE"/>
            <w:noWrap/>
            <w:vAlign w:val="center"/>
          </w:tcPr>
          <w:p w14:paraId="0AF6BE0F" w14:textId="77777777" w:rsidR="00E040FD" w:rsidRDefault="00740D64">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tcPr>
          <w:p w14:paraId="36E5EE5C"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2DF62002" w14:textId="77777777" w:rsidR="00E040FD" w:rsidRDefault="00740D64">
            <w:pPr>
              <w:pStyle w:val="P68B1DB1-Normal8"/>
              <w:spacing w:after="0" w:line="240" w:lineRule="auto"/>
              <w:jc w:val="center"/>
              <w:rPr>
                <w:rFonts w:eastAsia="Times New Roman" w:cs="Calibri"/>
                <w:noProof/>
              </w:rPr>
            </w:pPr>
            <w:r>
              <w:rPr>
                <w:noProof/>
              </w:rPr>
              <w:t>Undertecknande av kontrakt för inköp av enskilda datorer för elever och lärare</w:t>
            </w:r>
          </w:p>
        </w:tc>
        <w:tc>
          <w:tcPr>
            <w:tcW w:w="1275" w:type="dxa"/>
            <w:shd w:val="clear" w:color="auto" w:fill="C4EFCE"/>
            <w:noWrap/>
            <w:vAlign w:val="center"/>
          </w:tcPr>
          <w:p w14:paraId="5636A55F" w14:textId="77777777" w:rsidR="00E040FD" w:rsidRDefault="00740D64">
            <w:pPr>
              <w:pStyle w:val="P68B1DB1-Normal8"/>
              <w:spacing w:after="0" w:line="240" w:lineRule="auto"/>
              <w:jc w:val="center"/>
              <w:rPr>
                <w:rFonts w:eastAsia="Times New Roman" w:cs="Calibri"/>
                <w:noProof/>
              </w:rPr>
            </w:pPr>
            <w:r>
              <w:rPr>
                <w:noProof/>
              </w:rPr>
              <w:t>Kontraktet undertecknat </w:t>
            </w:r>
          </w:p>
        </w:tc>
        <w:tc>
          <w:tcPr>
            <w:tcW w:w="993" w:type="dxa"/>
            <w:shd w:val="clear" w:color="auto" w:fill="C4EFCE"/>
            <w:noWrap/>
            <w:vAlign w:val="center"/>
          </w:tcPr>
          <w:p w14:paraId="097313A5" w14:textId="77777777" w:rsidR="00E040FD" w:rsidRDefault="00E040FD">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1EC54429" w14:textId="77777777" w:rsidR="00E040FD" w:rsidRDefault="00E040FD">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10D49A9C" w14:textId="77777777" w:rsidR="00E040FD" w:rsidRDefault="00E040FD">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473C119D"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tcPr>
          <w:p w14:paraId="667C7DB0" w14:textId="77777777" w:rsidR="00E040FD" w:rsidRDefault="00740D6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tcPr>
          <w:p w14:paraId="50EEB7FB" w14:textId="77777777" w:rsidR="00E040FD" w:rsidRDefault="00740D64">
            <w:pPr>
              <w:pStyle w:val="P68B1DB1-Normal8"/>
              <w:spacing w:after="0" w:line="240" w:lineRule="auto"/>
              <w:jc w:val="both"/>
              <w:rPr>
                <w:rFonts w:eastAsia="Times New Roman" w:cs="Calibri"/>
                <w:noProof/>
              </w:rPr>
            </w:pPr>
            <w:r>
              <w:rPr>
                <w:noProof/>
              </w:rPr>
              <w:t>Undertecknande av kontrakt för inköp av 600 000 nya bärbara datorer som ska låna ut till lärare och elever</w:t>
            </w:r>
          </w:p>
        </w:tc>
      </w:tr>
      <w:tr w:rsidR="00E040FD" w14:paraId="085E7F63" w14:textId="77777777">
        <w:trPr>
          <w:trHeight w:val="300"/>
        </w:trPr>
        <w:tc>
          <w:tcPr>
            <w:tcW w:w="1135" w:type="dxa"/>
            <w:shd w:val="clear" w:color="auto" w:fill="C4EFCE"/>
            <w:vAlign w:val="center"/>
            <w:hideMark/>
          </w:tcPr>
          <w:p w14:paraId="4CAF552D" w14:textId="77777777" w:rsidR="00E040FD" w:rsidRDefault="00740D64">
            <w:pPr>
              <w:pStyle w:val="P68B1DB1-Normal7"/>
              <w:spacing w:after="0" w:line="240" w:lineRule="auto"/>
              <w:jc w:val="center"/>
              <w:rPr>
                <w:rFonts w:eastAsia="Times New Roman" w:cs="Calibri"/>
                <w:noProof/>
              </w:rPr>
            </w:pPr>
            <w:r>
              <w:rPr>
                <w:noProof/>
              </w:rPr>
              <w:t>20.3</w:t>
            </w:r>
          </w:p>
        </w:tc>
        <w:tc>
          <w:tcPr>
            <w:tcW w:w="1276" w:type="dxa"/>
            <w:shd w:val="clear" w:color="auto" w:fill="C4EFCE"/>
            <w:noWrap/>
            <w:vAlign w:val="center"/>
            <w:hideMark/>
          </w:tcPr>
          <w:p w14:paraId="7D638ADE" w14:textId="77777777" w:rsidR="00E040FD" w:rsidRDefault="00740D64">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6ED35996"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D20C1E8" w14:textId="77777777" w:rsidR="00E040FD" w:rsidRDefault="00740D64">
            <w:pPr>
              <w:pStyle w:val="P68B1DB1-Normal8"/>
              <w:spacing w:after="0" w:line="240" w:lineRule="auto"/>
              <w:jc w:val="center"/>
              <w:rPr>
                <w:rFonts w:eastAsia="Times New Roman" w:cs="Calibri"/>
                <w:noProof/>
              </w:rPr>
            </w:pPr>
            <w:r>
              <w:rPr>
                <w:noProof/>
              </w:rPr>
              <w:t>Datorer för individuellt bruk av elever och lärare</w:t>
            </w:r>
          </w:p>
        </w:tc>
        <w:tc>
          <w:tcPr>
            <w:tcW w:w="1275" w:type="dxa"/>
            <w:shd w:val="clear" w:color="auto" w:fill="C4EFCE"/>
            <w:noWrap/>
            <w:vAlign w:val="center"/>
            <w:hideMark/>
          </w:tcPr>
          <w:p w14:paraId="2CBBC935"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B22CD9F"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41371EA9" w14:textId="77777777" w:rsidR="00E040FD" w:rsidRDefault="00740D64">
            <w:pPr>
              <w:pStyle w:val="P68B1DB1-Normal8"/>
              <w:spacing w:after="0" w:line="240" w:lineRule="auto"/>
              <w:jc w:val="center"/>
              <w:rPr>
                <w:rFonts w:eastAsia="Times New Roman" w:cs="Calibri"/>
                <w:noProof/>
              </w:rPr>
            </w:pPr>
            <w:r>
              <w:rPr>
                <w:noProof/>
              </w:rPr>
              <w:t>450 000</w:t>
            </w:r>
          </w:p>
        </w:tc>
        <w:tc>
          <w:tcPr>
            <w:tcW w:w="992" w:type="dxa"/>
            <w:shd w:val="clear" w:color="auto" w:fill="C4EFCE"/>
            <w:noWrap/>
            <w:vAlign w:val="center"/>
            <w:hideMark/>
          </w:tcPr>
          <w:p w14:paraId="7AA00153" w14:textId="77777777" w:rsidR="00E040FD" w:rsidRDefault="00740D64">
            <w:pPr>
              <w:pStyle w:val="P68B1DB1-Normal8"/>
              <w:spacing w:after="0" w:line="240" w:lineRule="auto"/>
              <w:jc w:val="center"/>
              <w:rPr>
                <w:rFonts w:eastAsia="Times New Roman" w:cs="Calibri"/>
                <w:noProof/>
              </w:rPr>
            </w:pPr>
            <w:r>
              <w:rPr>
                <w:noProof/>
              </w:rPr>
              <w:t>1 050 000</w:t>
            </w:r>
          </w:p>
        </w:tc>
        <w:tc>
          <w:tcPr>
            <w:tcW w:w="567" w:type="dxa"/>
            <w:shd w:val="clear" w:color="auto" w:fill="C4EFCE"/>
            <w:noWrap/>
            <w:vAlign w:val="center"/>
            <w:hideMark/>
          </w:tcPr>
          <w:p w14:paraId="675FB560"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5DBE1730" w14:textId="77777777" w:rsidR="00E040FD" w:rsidRDefault="00740D6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08C7B2E" w14:textId="16A5EDB1" w:rsidR="00E040FD" w:rsidRDefault="00740D64">
            <w:pPr>
              <w:pStyle w:val="P68B1DB1-Normal8"/>
              <w:spacing w:after="0" w:line="240" w:lineRule="auto"/>
              <w:jc w:val="both"/>
              <w:rPr>
                <w:rFonts w:eastAsia="Times New Roman" w:cs="Calibri"/>
                <w:noProof/>
              </w:rPr>
            </w:pPr>
            <w:r>
              <w:rPr>
                <w:noProof/>
              </w:rPr>
              <w:t>Antal bärbara datorer som lånar ut till lärare och elever i offentliga grund- och gymnasieskolor</w:t>
            </w:r>
          </w:p>
        </w:tc>
      </w:tr>
      <w:tr w:rsidR="00E040FD" w14:paraId="73850E68" w14:textId="77777777">
        <w:trPr>
          <w:trHeight w:val="640"/>
        </w:trPr>
        <w:tc>
          <w:tcPr>
            <w:tcW w:w="1135" w:type="dxa"/>
            <w:shd w:val="clear" w:color="auto" w:fill="C4EFCE"/>
            <w:vAlign w:val="center"/>
            <w:hideMark/>
          </w:tcPr>
          <w:p w14:paraId="2C49AD1E" w14:textId="77777777" w:rsidR="00E040FD" w:rsidRDefault="00740D64">
            <w:pPr>
              <w:pStyle w:val="P68B1DB1-Normal7"/>
              <w:spacing w:after="0" w:line="240" w:lineRule="auto"/>
              <w:jc w:val="center"/>
              <w:rPr>
                <w:rFonts w:eastAsia="Times New Roman" w:cs="Calibri"/>
                <w:noProof/>
              </w:rPr>
            </w:pPr>
            <w:r>
              <w:rPr>
                <w:noProof/>
              </w:rPr>
              <w:t>20.4</w:t>
            </w:r>
          </w:p>
        </w:tc>
        <w:tc>
          <w:tcPr>
            <w:tcW w:w="1276" w:type="dxa"/>
            <w:shd w:val="clear" w:color="auto" w:fill="C4EFCE"/>
            <w:noWrap/>
            <w:vAlign w:val="center"/>
            <w:hideMark/>
          </w:tcPr>
          <w:p w14:paraId="21831B90" w14:textId="77777777" w:rsidR="00E040FD" w:rsidRDefault="00740D64">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3DC5179D"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D27B3A2" w14:textId="77777777" w:rsidR="00E040FD" w:rsidRDefault="00740D64">
            <w:pPr>
              <w:pStyle w:val="P68B1DB1-Normal8"/>
              <w:spacing w:after="0" w:line="240" w:lineRule="auto"/>
              <w:jc w:val="center"/>
              <w:rPr>
                <w:rFonts w:eastAsia="Times New Roman" w:cs="Calibri"/>
                <w:noProof/>
              </w:rPr>
            </w:pPr>
            <w:r>
              <w:rPr>
                <w:noProof/>
              </w:rPr>
              <w:t>Uppgradering av grundskole- och gymnasieskolornas konnektivitet</w:t>
            </w:r>
          </w:p>
        </w:tc>
        <w:tc>
          <w:tcPr>
            <w:tcW w:w="1275" w:type="dxa"/>
            <w:shd w:val="clear" w:color="auto" w:fill="C4EFCE"/>
            <w:noWrap/>
            <w:vAlign w:val="center"/>
            <w:hideMark/>
          </w:tcPr>
          <w:p w14:paraId="07232047"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999EFC6" w14:textId="77777777" w:rsidR="00E040FD" w:rsidRDefault="00740D64">
            <w:pPr>
              <w:pStyle w:val="P68B1DB1-Normal8"/>
              <w:spacing w:after="0" w:line="240" w:lineRule="auto"/>
              <w:jc w:val="center"/>
              <w:rPr>
                <w:rFonts w:eastAsia="Times New Roman" w:cs="Calibri"/>
                <w:noProof/>
              </w:rPr>
            </w:pPr>
            <w:r>
              <w:rPr>
                <w:noProof/>
              </w:rPr>
              <w:t xml:space="preserve">% </w:t>
            </w:r>
          </w:p>
        </w:tc>
        <w:tc>
          <w:tcPr>
            <w:tcW w:w="992" w:type="dxa"/>
            <w:shd w:val="clear" w:color="auto" w:fill="C4EFCE"/>
            <w:noWrap/>
            <w:vAlign w:val="center"/>
            <w:hideMark/>
          </w:tcPr>
          <w:p w14:paraId="519070AC" w14:textId="77777777" w:rsidR="00E040FD" w:rsidRDefault="00740D6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2D3F45FC" w14:textId="77777777" w:rsidR="00E040FD" w:rsidRDefault="00740D64">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6F6CA3AB"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35CFD022" w14:textId="10E5C0BC"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00706952" w14:textId="2D0D82EE" w:rsidR="00E040FD" w:rsidRDefault="00740D64">
            <w:pPr>
              <w:pStyle w:val="P68B1DB1-Normal8"/>
              <w:spacing w:after="0" w:line="240" w:lineRule="auto"/>
              <w:jc w:val="both"/>
              <w:rPr>
                <w:rFonts w:eastAsia="Times New Roman" w:cs="Calibri"/>
                <w:noProof/>
              </w:rPr>
            </w:pPr>
            <w:r>
              <w:rPr>
                <w:noProof/>
              </w:rPr>
              <w:t xml:space="preserve">Procentandel av de offentliga grund- och gymnasieskolorna på den portugisiska kontinenten som 1) är anslutna till det utvidgade utbildningsnätverket på 300 Gbps med en anslutning på minst 1 Gbps. och 2) ha lokala skolnätverk med i genomsnitt 40 wifi-åtkomstpunkter. </w:t>
            </w:r>
          </w:p>
        </w:tc>
      </w:tr>
      <w:tr w:rsidR="00E040FD" w14:paraId="28357C41" w14:textId="77777777">
        <w:trPr>
          <w:trHeight w:val="1060"/>
        </w:trPr>
        <w:tc>
          <w:tcPr>
            <w:tcW w:w="1135" w:type="dxa"/>
            <w:shd w:val="clear" w:color="auto" w:fill="C4EFCE"/>
            <w:vAlign w:val="center"/>
            <w:hideMark/>
          </w:tcPr>
          <w:p w14:paraId="52869EA6" w14:textId="77777777" w:rsidR="00E040FD" w:rsidRDefault="00740D64">
            <w:pPr>
              <w:pStyle w:val="P68B1DB1-Normal7"/>
              <w:spacing w:after="0" w:line="240" w:lineRule="auto"/>
              <w:jc w:val="center"/>
              <w:rPr>
                <w:rFonts w:eastAsia="Times New Roman" w:cs="Calibri"/>
                <w:noProof/>
              </w:rPr>
            </w:pPr>
            <w:r>
              <w:rPr>
                <w:noProof/>
              </w:rPr>
              <w:t>20.5</w:t>
            </w:r>
          </w:p>
        </w:tc>
        <w:tc>
          <w:tcPr>
            <w:tcW w:w="1276" w:type="dxa"/>
            <w:shd w:val="clear" w:color="auto" w:fill="C4EFCE"/>
            <w:noWrap/>
            <w:vAlign w:val="center"/>
            <w:hideMark/>
          </w:tcPr>
          <w:p w14:paraId="118116DB" w14:textId="77777777" w:rsidR="00E040FD" w:rsidRDefault="00740D64">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20568D27"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371D07C" w14:textId="77777777" w:rsidR="00E040FD" w:rsidRDefault="00740D64">
            <w:pPr>
              <w:pStyle w:val="P68B1DB1-Normal8"/>
              <w:spacing w:after="0" w:line="240" w:lineRule="auto"/>
              <w:jc w:val="center"/>
              <w:rPr>
                <w:rFonts w:eastAsia="Times New Roman" w:cs="Calibri"/>
                <w:noProof/>
              </w:rPr>
            </w:pPr>
            <w:r>
              <w:rPr>
                <w:noProof/>
              </w:rPr>
              <w:t>Digitala utbildningslaboratorier installerade</w:t>
            </w:r>
          </w:p>
        </w:tc>
        <w:tc>
          <w:tcPr>
            <w:tcW w:w="1275" w:type="dxa"/>
            <w:shd w:val="clear" w:color="auto" w:fill="C4EFCE"/>
            <w:noWrap/>
            <w:vAlign w:val="center"/>
            <w:hideMark/>
          </w:tcPr>
          <w:p w14:paraId="3057EB2E"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7E61E26"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121F7ADD" w14:textId="77777777" w:rsidR="00E040FD" w:rsidRDefault="00740D6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5CB928B4" w14:textId="77777777" w:rsidR="00E040FD" w:rsidRDefault="00740D64">
            <w:pPr>
              <w:pStyle w:val="P68B1DB1-Normal8"/>
              <w:spacing w:after="0" w:line="240" w:lineRule="auto"/>
              <w:jc w:val="center"/>
              <w:rPr>
                <w:rFonts w:eastAsia="Times New Roman" w:cs="Calibri"/>
                <w:noProof/>
              </w:rPr>
            </w:pPr>
            <w:r>
              <w:rPr>
                <w:noProof/>
              </w:rPr>
              <w:t>1 300</w:t>
            </w:r>
          </w:p>
        </w:tc>
        <w:tc>
          <w:tcPr>
            <w:tcW w:w="567" w:type="dxa"/>
            <w:shd w:val="clear" w:color="auto" w:fill="C4EFCE"/>
            <w:noWrap/>
            <w:vAlign w:val="center"/>
            <w:hideMark/>
          </w:tcPr>
          <w:p w14:paraId="465B78FA"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3E3CE4C3" w14:textId="7A64BB4D"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120F3CB" w14:textId="77777777" w:rsidR="00E040FD" w:rsidRDefault="00740D64">
            <w:pPr>
              <w:pStyle w:val="P68B1DB1-Normal8"/>
              <w:spacing w:after="0" w:line="240" w:lineRule="auto"/>
              <w:jc w:val="both"/>
              <w:rPr>
                <w:rFonts w:eastAsia="Times New Roman" w:cs="Calibri"/>
                <w:noProof/>
              </w:rPr>
            </w:pPr>
            <w:r>
              <w:rPr>
                <w:noProof/>
              </w:rPr>
              <w:t>Antal nya digitala utbildningslaboratorier som installerats i offentliga grundskolor och gymnasieskolor på den portugisiska kontinenten med specialiserad projektutrustning såsom robotteknik, 3D-skrivare, mät- och testutrustning, diverse verktyg, utvecklings- och simuleringsmoduler, elektroniska komponenter, laserinspelnings- och skärmaskiner eller andra, för att utveckla och mångfaldiga experimentdator-, programmerings- och robotteklubbarna.</w:t>
            </w:r>
          </w:p>
        </w:tc>
      </w:tr>
      <w:tr w:rsidR="00E040FD" w14:paraId="39151C53" w14:textId="77777777">
        <w:trPr>
          <w:trHeight w:val="300"/>
        </w:trPr>
        <w:tc>
          <w:tcPr>
            <w:tcW w:w="1135" w:type="dxa"/>
            <w:shd w:val="clear" w:color="auto" w:fill="C4EFCE"/>
            <w:vAlign w:val="center"/>
            <w:hideMark/>
          </w:tcPr>
          <w:p w14:paraId="26EC845C" w14:textId="77777777" w:rsidR="00E040FD" w:rsidRDefault="00740D64">
            <w:pPr>
              <w:pStyle w:val="P68B1DB1-Normal7"/>
              <w:spacing w:after="0" w:line="240" w:lineRule="auto"/>
              <w:jc w:val="center"/>
              <w:rPr>
                <w:rFonts w:eastAsia="Times New Roman" w:cs="Calibri"/>
                <w:noProof/>
              </w:rPr>
            </w:pPr>
            <w:r>
              <w:rPr>
                <w:noProof/>
              </w:rPr>
              <w:t>20.6</w:t>
            </w:r>
          </w:p>
        </w:tc>
        <w:tc>
          <w:tcPr>
            <w:tcW w:w="1276" w:type="dxa"/>
            <w:shd w:val="clear" w:color="auto" w:fill="C4EFCE"/>
            <w:noWrap/>
            <w:vAlign w:val="center"/>
            <w:hideMark/>
          </w:tcPr>
          <w:p w14:paraId="5A9E807B" w14:textId="77777777" w:rsidR="00E040FD" w:rsidRDefault="00740D64">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0DB3DE55"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86508B8" w14:textId="77777777" w:rsidR="00E040FD" w:rsidRDefault="00740D64">
            <w:pPr>
              <w:pStyle w:val="P68B1DB1-Normal8"/>
              <w:spacing w:after="0" w:line="240" w:lineRule="auto"/>
              <w:jc w:val="center"/>
              <w:rPr>
                <w:rFonts w:eastAsia="Times New Roman" w:cs="Calibri"/>
                <w:noProof/>
              </w:rPr>
            </w:pPr>
            <w:r>
              <w:rPr>
                <w:noProof/>
              </w:rPr>
              <w:t>Klassrum med ny projektionsutrustning</w:t>
            </w:r>
          </w:p>
        </w:tc>
        <w:tc>
          <w:tcPr>
            <w:tcW w:w="1275" w:type="dxa"/>
            <w:shd w:val="clear" w:color="auto" w:fill="C4EFCE"/>
            <w:noWrap/>
            <w:vAlign w:val="center"/>
            <w:hideMark/>
          </w:tcPr>
          <w:p w14:paraId="670C4A44"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D8A0139"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125DBE7A" w14:textId="77777777" w:rsidR="00E040FD" w:rsidRDefault="00740D6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31610ED6" w14:textId="77777777" w:rsidR="00E040FD" w:rsidRDefault="00740D64">
            <w:pPr>
              <w:pStyle w:val="P68B1DB1-Normal8"/>
              <w:spacing w:after="0" w:line="240" w:lineRule="auto"/>
              <w:jc w:val="center"/>
              <w:rPr>
                <w:rFonts w:eastAsia="Times New Roman" w:cs="Calibri"/>
                <w:noProof/>
              </w:rPr>
            </w:pPr>
            <w:r>
              <w:rPr>
                <w:noProof/>
              </w:rPr>
              <w:t>40 000</w:t>
            </w:r>
          </w:p>
        </w:tc>
        <w:tc>
          <w:tcPr>
            <w:tcW w:w="567" w:type="dxa"/>
            <w:shd w:val="clear" w:color="auto" w:fill="C4EFCE"/>
            <w:noWrap/>
            <w:vAlign w:val="center"/>
            <w:hideMark/>
          </w:tcPr>
          <w:p w14:paraId="7382EA47" w14:textId="057266D2" w:rsidR="00E040FD" w:rsidRDefault="00740D64">
            <w:pPr>
              <w:pStyle w:val="P68B1DB1-Normal8"/>
              <w:spacing w:after="0" w:line="240" w:lineRule="auto"/>
              <w:jc w:val="center"/>
              <w:rPr>
                <w:rFonts w:eastAsia="Times New Roman" w:cs="Calibri"/>
                <w:noProof/>
              </w:rPr>
            </w:pPr>
            <w:r>
              <w:rPr>
                <w:noProof/>
              </w:rPr>
              <w:t>KVARTAL 2</w:t>
            </w:r>
          </w:p>
        </w:tc>
        <w:tc>
          <w:tcPr>
            <w:tcW w:w="708" w:type="dxa"/>
            <w:shd w:val="clear" w:color="auto" w:fill="C4EFCE"/>
            <w:noWrap/>
            <w:vAlign w:val="center"/>
            <w:hideMark/>
          </w:tcPr>
          <w:p w14:paraId="00628B06" w14:textId="10DF44DB"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5F7C27F0" w14:textId="77777777" w:rsidR="00E040FD" w:rsidRDefault="00740D64">
            <w:pPr>
              <w:pStyle w:val="P68B1DB1-Normal8"/>
              <w:spacing w:after="0" w:line="240" w:lineRule="auto"/>
              <w:jc w:val="both"/>
              <w:rPr>
                <w:rFonts w:eastAsia="Times New Roman" w:cs="Calibri"/>
                <w:noProof/>
              </w:rPr>
            </w:pPr>
            <w:r>
              <w:rPr>
                <w:noProof/>
              </w:rPr>
              <w:t xml:space="preserve">Antal klassrum i offentliga grundskolor och gymnasieskolor med ny projektionsutrustning </w:t>
            </w:r>
          </w:p>
        </w:tc>
      </w:tr>
      <w:tr w:rsidR="00E040FD" w14:paraId="651A2DB2" w14:textId="77777777">
        <w:trPr>
          <w:trHeight w:val="850"/>
        </w:trPr>
        <w:tc>
          <w:tcPr>
            <w:tcW w:w="1135" w:type="dxa"/>
            <w:shd w:val="clear" w:color="auto" w:fill="C4EFCE"/>
            <w:vAlign w:val="center"/>
            <w:hideMark/>
          </w:tcPr>
          <w:p w14:paraId="79EC60DC" w14:textId="77777777" w:rsidR="00E040FD" w:rsidRDefault="00740D64">
            <w:pPr>
              <w:pStyle w:val="P68B1DB1-Normal7"/>
              <w:spacing w:after="0" w:line="240" w:lineRule="auto"/>
              <w:jc w:val="center"/>
              <w:rPr>
                <w:rFonts w:eastAsia="Times New Roman" w:cs="Calibri"/>
                <w:noProof/>
              </w:rPr>
            </w:pPr>
            <w:r>
              <w:rPr>
                <w:noProof/>
              </w:rPr>
              <w:t>20.7</w:t>
            </w:r>
          </w:p>
        </w:tc>
        <w:tc>
          <w:tcPr>
            <w:tcW w:w="1276" w:type="dxa"/>
            <w:shd w:val="clear" w:color="auto" w:fill="C4EFCE"/>
            <w:noWrap/>
            <w:vAlign w:val="center"/>
            <w:hideMark/>
          </w:tcPr>
          <w:p w14:paraId="7C4CC769" w14:textId="77777777" w:rsidR="00E040FD" w:rsidRDefault="00740D64">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288B1223"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A43A074" w14:textId="77777777" w:rsidR="00E040FD" w:rsidRDefault="00740D64">
            <w:pPr>
              <w:pStyle w:val="P68B1DB1-Normal8"/>
              <w:spacing w:after="0" w:line="240" w:lineRule="auto"/>
              <w:jc w:val="center"/>
              <w:rPr>
                <w:rFonts w:eastAsia="Times New Roman" w:cs="Calibri"/>
                <w:noProof/>
              </w:rPr>
            </w:pPr>
            <w:r>
              <w:rPr>
                <w:noProof/>
              </w:rPr>
              <w:t>Ökat inflytande på skolförvaltningen</w:t>
            </w:r>
          </w:p>
        </w:tc>
        <w:tc>
          <w:tcPr>
            <w:tcW w:w="1275" w:type="dxa"/>
            <w:shd w:val="clear" w:color="auto" w:fill="C4EFCE"/>
            <w:noWrap/>
            <w:vAlign w:val="center"/>
            <w:hideMark/>
          </w:tcPr>
          <w:p w14:paraId="0F6F76E2"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306F94" w14:textId="77777777" w:rsidR="00E040FD" w:rsidRDefault="00740D64">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57355270" w14:textId="77777777" w:rsidR="00E040FD" w:rsidRDefault="00740D64">
            <w:pPr>
              <w:pStyle w:val="P68B1DB1-Normal8"/>
              <w:spacing w:after="0" w:line="240" w:lineRule="auto"/>
              <w:jc w:val="center"/>
              <w:rPr>
                <w:rFonts w:eastAsia="Times New Roman" w:cs="Calibri"/>
                <w:noProof/>
              </w:rPr>
            </w:pPr>
            <w:r>
              <w:rPr>
                <w:noProof/>
              </w:rPr>
              <w:t>30</w:t>
            </w:r>
          </w:p>
        </w:tc>
        <w:tc>
          <w:tcPr>
            <w:tcW w:w="992" w:type="dxa"/>
            <w:shd w:val="clear" w:color="auto" w:fill="C4EFCE"/>
            <w:noWrap/>
            <w:vAlign w:val="center"/>
            <w:hideMark/>
          </w:tcPr>
          <w:p w14:paraId="33A86C14" w14:textId="77777777" w:rsidR="00E040FD" w:rsidRDefault="00740D64">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5F47097D"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4343F287" w14:textId="77777777"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0BBF106" w14:textId="71A22BCD" w:rsidR="00E040FD" w:rsidRDefault="00740D64">
            <w:pPr>
              <w:pStyle w:val="P68B1DB1-Normal8"/>
              <w:spacing w:after="0" w:line="240" w:lineRule="auto"/>
              <w:jc w:val="both"/>
              <w:rPr>
                <w:rFonts w:eastAsia="Times New Roman" w:cs="Calibri"/>
                <w:noProof/>
              </w:rPr>
            </w:pPr>
            <w:r>
              <w:rPr>
                <w:noProof/>
              </w:rPr>
              <w:t>Procentandel av de offentliga grund- och gymnasieskolorna på den portugisiska kontinenten som har 1) antagit det enhetliga identifieringssystemet. 2) anslutna till utbildningsministeriets informationssystem för utbildningsförvaltning och 3) antog School 360-systemet, inklusive tillhandahållande av 15 000 datorer för skolförvaltning.</w:t>
            </w:r>
          </w:p>
        </w:tc>
      </w:tr>
      <w:tr w:rsidR="00E040FD" w14:paraId="3EE0A428" w14:textId="77777777">
        <w:trPr>
          <w:trHeight w:val="430"/>
        </w:trPr>
        <w:tc>
          <w:tcPr>
            <w:tcW w:w="1135" w:type="dxa"/>
            <w:shd w:val="clear" w:color="auto" w:fill="C4EFCE"/>
            <w:vAlign w:val="center"/>
            <w:hideMark/>
          </w:tcPr>
          <w:p w14:paraId="3858008C" w14:textId="77777777" w:rsidR="00E040FD" w:rsidRDefault="00740D64">
            <w:pPr>
              <w:pStyle w:val="P68B1DB1-Normal7"/>
              <w:spacing w:after="0" w:line="240" w:lineRule="auto"/>
              <w:jc w:val="center"/>
              <w:rPr>
                <w:rFonts w:eastAsia="Times New Roman" w:cs="Calibri"/>
                <w:noProof/>
              </w:rPr>
            </w:pPr>
            <w:r>
              <w:rPr>
                <w:noProof/>
              </w:rPr>
              <w:t>20.8</w:t>
            </w:r>
          </w:p>
        </w:tc>
        <w:tc>
          <w:tcPr>
            <w:tcW w:w="1276" w:type="dxa"/>
            <w:shd w:val="clear" w:color="auto" w:fill="C4EFCE"/>
            <w:noWrap/>
            <w:vAlign w:val="center"/>
            <w:hideMark/>
          </w:tcPr>
          <w:p w14:paraId="2319D081" w14:textId="77777777" w:rsidR="00E040FD" w:rsidRDefault="00740D64">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3060AFF1"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84A8A8B" w14:textId="77777777" w:rsidR="00E040FD" w:rsidRDefault="00740D64">
            <w:pPr>
              <w:pStyle w:val="P68B1DB1-Normal8"/>
              <w:spacing w:after="0" w:line="240" w:lineRule="auto"/>
              <w:jc w:val="center"/>
              <w:rPr>
                <w:rFonts w:eastAsia="Times New Roman" w:cs="Calibri"/>
                <w:noProof/>
              </w:rPr>
            </w:pPr>
            <w:r>
              <w:rPr>
                <w:noProof/>
              </w:rPr>
              <w:t>Digitala utbildningsresurser</w:t>
            </w:r>
          </w:p>
        </w:tc>
        <w:tc>
          <w:tcPr>
            <w:tcW w:w="1275" w:type="dxa"/>
            <w:shd w:val="clear" w:color="auto" w:fill="C4EFCE"/>
            <w:noWrap/>
            <w:vAlign w:val="center"/>
            <w:hideMark/>
          </w:tcPr>
          <w:p w14:paraId="2EB1AFBE"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1AFDD2B" w14:textId="77777777" w:rsidR="00E040FD" w:rsidRDefault="00740D64">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02C4AFF6" w14:textId="77777777" w:rsidR="00E040FD" w:rsidRDefault="00740D6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4E9F353A" w14:textId="77777777" w:rsidR="00E040FD" w:rsidRDefault="00740D64">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4CC9C924"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7436371A"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EECD628" w14:textId="77777777" w:rsidR="00E040FD" w:rsidRDefault="00740D64">
            <w:pPr>
              <w:pStyle w:val="P68B1DB1-Normal8"/>
              <w:spacing w:after="0" w:line="240" w:lineRule="auto"/>
              <w:jc w:val="both"/>
              <w:rPr>
                <w:rFonts w:eastAsia="Times New Roman" w:cs="Calibri"/>
                <w:noProof/>
              </w:rPr>
            </w:pPr>
            <w:r>
              <w:rPr>
                <w:noProof/>
              </w:rPr>
              <w:t>Andel ämnen i läroplanen för grundskole- och gymnasieutbildning, inklusive idrott och idrott, för vilka produktionen av digitala utbildningsresurser har slutförts.</w:t>
            </w:r>
          </w:p>
        </w:tc>
      </w:tr>
      <w:tr w:rsidR="00E040FD" w14:paraId="6583B735" w14:textId="77777777">
        <w:trPr>
          <w:trHeight w:val="300"/>
        </w:trPr>
        <w:tc>
          <w:tcPr>
            <w:tcW w:w="1135" w:type="dxa"/>
            <w:shd w:val="clear" w:color="auto" w:fill="C4EFCE"/>
            <w:vAlign w:val="center"/>
            <w:hideMark/>
          </w:tcPr>
          <w:p w14:paraId="4B067463" w14:textId="77777777" w:rsidR="00E040FD" w:rsidRDefault="00740D64">
            <w:pPr>
              <w:pStyle w:val="P68B1DB1-Normal7"/>
              <w:spacing w:after="0" w:line="240" w:lineRule="auto"/>
              <w:jc w:val="center"/>
              <w:rPr>
                <w:rFonts w:eastAsia="Times New Roman" w:cs="Calibri"/>
                <w:noProof/>
              </w:rPr>
            </w:pPr>
            <w:r>
              <w:rPr>
                <w:noProof/>
              </w:rPr>
              <w:t>20.9</w:t>
            </w:r>
          </w:p>
        </w:tc>
        <w:tc>
          <w:tcPr>
            <w:tcW w:w="1276" w:type="dxa"/>
            <w:shd w:val="clear" w:color="auto" w:fill="C4EFCE"/>
            <w:noWrap/>
            <w:vAlign w:val="center"/>
            <w:hideMark/>
          </w:tcPr>
          <w:p w14:paraId="51ABDC58" w14:textId="77777777" w:rsidR="00E040FD" w:rsidRDefault="00740D64">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493108C4"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92A1726" w14:textId="77777777" w:rsidR="00E040FD" w:rsidRDefault="00740D64">
            <w:pPr>
              <w:pStyle w:val="P68B1DB1-Normal8"/>
              <w:spacing w:after="0" w:line="240" w:lineRule="auto"/>
              <w:jc w:val="center"/>
              <w:rPr>
                <w:rFonts w:eastAsia="Times New Roman" w:cs="Calibri"/>
                <w:noProof/>
              </w:rPr>
            </w:pPr>
            <w:r>
              <w:rPr>
                <w:noProof/>
              </w:rPr>
              <w:t xml:space="preserve">Digitala prov och examina i skolor </w:t>
            </w:r>
          </w:p>
        </w:tc>
        <w:tc>
          <w:tcPr>
            <w:tcW w:w="1275" w:type="dxa"/>
            <w:shd w:val="clear" w:color="auto" w:fill="C4EFCE"/>
            <w:noWrap/>
            <w:vAlign w:val="center"/>
            <w:hideMark/>
          </w:tcPr>
          <w:p w14:paraId="5EC705BD"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4340419" w14:textId="77777777" w:rsidR="00E040FD" w:rsidRDefault="00740D64">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2A8DDDCB" w14:textId="77777777" w:rsidR="00E040FD" w:rsidRDefault="00740D6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1F827CC1" w14:textId="77777777" w:rsidR="00E040FD" w:rsidRDefault="00740D64">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6BF8C0F1"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410ECCAB"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FCEA458" w14:textId="77777777" w:rsidR="00E040FD" w:rsidRDefault="00740D64">
            <w:pPr>
              <w:pStyle w:val="P68B1DB1-Normal8"/>
              <w:spacing w:after="0" w:line="240" w:lineRule="auto"/>
              <w:jc w:val="both"/>
              <w:rPr>
                <w:rFonts w:eastAsia="Times New Roman" w:cs="Calibri"/>
                <w:noProof/>
              </w:rPr>
            </w:pPr>
            <w:r>
              <w:rPr>
                <w:noProof/>
              </w:rPr>
              <w:t>Procentandel av slutskolans poängprov och examina som har digitaliserats.</w:t>
            </w:r>
          </w:p>
        </w:tc>
      </w:tr>
      <w:tr w:rsidR="00E040FD" w14:paraId="1835F478" w14:textId="77777777">
        <w:trPr>
          <w:trHeight w:val="640"/>
        </w:trPr>
        <w:tc>
          <w:tcPr>
            <w:tcW w:w="1135" w:type="dxa"/>
            <w:shd w:val="clear" w:color="auto" w:fill="C4EFCE"/>
            <w:vAlign w:val="center"/>
            <w:hideMark/>
          </w:tcPr>
          <w:p w14:paraId="0918542F" w14:textId="77777777" w:rsidR="00E040FD" w:rsidRDefault="00740D64">
            <w:pPr>
              <w:pStyle w:val="P68B1DB1-Normal7"/>
              <w:spacing w:after="0" w:line="240" w:lineRule="auto"/>
              <w:jc w:val="center"/>
              <w:rPr>
                <w:rFonts w:eastAsia="Times New Roman" w:cs="Calibri"/>
                <w:noProof/>
              </w:rPr>
            </w:pPr>
            <w:r>
              <w:rPr>
                <w:noProof/>
              </w:rPr>
              <w:t>20.10</w:t>
            </w:r>
          </w:p>
        </w:tc>
        <w:tc>
          <w:tcPr>
            <w:tcW w:w="1276" w:type="dxa"/>
            <w:shd w:val="clear" w:color="auto" w:fill="C4EFCE"/>
            <w:noWrap/>
            <w:vAlign w:val="center"/>
            <w:hideMark/>
          </w:tcPr>
          <w:p w14:paraId="05624015" w14:textId="77777777" w:rsidR="00E040FD" w:rsidRDefault="00740D64">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2541112A"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C3C4030" w14:textId="77777777" w:rsidR="00E040FD" w:rsidRDefault="00740D64">
            <w:pPr>
              <w:pStyle w:val="P68B1DB1-Normal8"/>
              <w:spacing w:after="0" w:line="240" w:lineRule="auto"/>
              <w:jc w:val="center"/>
              <w:rPr>
                <w:rFonts w:eastAsia="Times New Roman" w:cs="Calibri"/>
                <w:noProof/>
              </w:rPr>
            </w:pPr>
            <w:r>
              <w:rPr>
                <w:noProof/>
              </w:rPr>
              <w:t>Omfattande öppna onlinekurser för lärare och föräldrar i ARA</w:t>
            </w:r>
          </w:p>
        </w:tc>
        <w:tc>
          <w:tcPr>
            <w:tcW w:w="1275" w:type="dxa"/>
            <w:shd w:val="clear" w:color="auto" w:fill="C4EFCE"/>
            <w:noWrap/>
            <w:vAlign w:val="center"/>
            <w:hideMark/>
          </w:tcPr>
          <w:p w14:paraId="3E7759AA"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3B79BA3" w14:textId="77777777" w:rsidR="00E040FD" w:rsidRDefault="00740D64">
            <w:pPr>
              <w:pStyle w:val="P68B1DB1-Normal8"/>
              <w:spacing w:after="0" w:line="240" w:lineRule="auto"/>
              <w:jc w:val="center"/>
              <w:rPr>
                <w:rFonts w:eastAsia="Times New Roman" w:cs="Calibri"/>
                <w:noProof/>
              </w:rPr>
            </w:pPr>
            <w:r>
              <w:rPr>
                <w:noProof/>
              </w:rPr>
              <w:t> Antal</w:t>
            </w:r>
          </w:p>
        </w:tc>
        <w:tc>
          <w:tcPr>
            <w:tcW w:w="992" w:type="dxa"/>
            <w:shd w:val="clear" w:color="auto" w:fill="C4EFCE"/>
            <w:noWrap/>
            <w:vAlign w:val="center"/>
            <w:hideMark/>
          </w:tcPr>
          <w:p w14:paraId="35DA7DA1" w14:textId="77777777" w:rsidR="00E040FD" w:rsidRDefault="00740D64">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1A1252EC" w14:textId="77777777" w:rsidR="00E040FD" w:rsidRDefault="00740D64">
            <w:pPr>
              <w:pStyle w:val="P68B1DB1-Normal8"/>
              <w:spacing w:after="0" w:line="240" w:lineRule="auto"/>
              <w:jc w:val="center"/>
              <w:rPr>
                <w:rFonts w:eastAsia="Times New Roman" w:cs="Calibri"/>
                <w:noProof/>
              </w:rPr>
            </w:pPr>
            <w:r>
              <w:rPr>
                <w:noProof/>
              </w:rPr>
              <w:t>4 </w:t>
            </w:r>
          </w:p>
        </w:tc>
        <w:tc>
          <w:tcPr>
            <w:tcW w:w="567" w:type="dxa"/>
            <w:shd w:val="clear" w:color="auto" w:fill="C4EFCE"/>
            <w:noWrap/>
            <w:vAlign w:val="center"/>
            <w:hideMark/>
          </w:tcPr>
          <w:p w14:paraId="4C03DB82"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4B08F7C5" w14:textId="77777777" w:rsidR="00E040FD" w:rsidRDefault="00740D6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32162FD6" w14:textId="1657A217" w:rsidR="00E040FD" w:rsidRDefault="00740D64">
            <w:pPr>
              <w:pStyle w:val="P68B1DB1-Normal8"/>
              <w:spacing w:after="0" w:line="240" w:lineRule="auto"/>
              <w:jc w:val="both"/>
              <w:rPr>
                <w:rFonts w:eastAsia="Times New Roman" w:cs="Calibri"/>
                <w:noProof/>
              </w:rPr>
            </w:pPr>
            <w:r>
              <w:rPr>
                <w:noProof/>
              </w:rPr>
              <w:t>Antalet storskaliga öppna nätkurser som skapats för att främja utvecklingen av digitala färdigheter för klassrumsundervisning och distansundervisning, inbegripet tillhandahållande av handledningar och en portal för digital kompetensupphandling. Storskaliga öppna nätkurser finns tillgängliga online och är fritt tillgängliga för lärare och elevens föräldrar.</w:t>
            </w:r>
          </w:p>
        </w:tc>
      </w:tr>
      <w:tr w:rsidR="00E040FD" w14:paraId="460A159F" w14:textId="77777777">
        <w:trPr>
          <w:trHeight w:val="430"/>
        </w:trPr>
        <w:tc>
          <w:tcPr>
            <w:tcW w:w="1135" w:type="dxa"/>
            <w:shd w:val="clear" w:color="auto" w:fill="C4EFCE"/>
            <w:vAlign w:val="center"/>
            <w:hideMark/>
          </w:tcPr>
          <w:p w14:paraId="68F05D42" w14:textId="77777777" w:rsidR="00E040FD" w:rsidRDefault="00740D64">
            <w:pPr>
              <w:pStyle w:val="P68B1DB1-Normal7"/>
              <w:spacing w:after="0" w:line="240" w:lineRule="auto"/>
              <w:jc w:val="center"/>
              <w:rPr>
                <w:rFonts w:eastAsia="Times New Roman" w:cs="Calibri"/>
                <w:noProof/>
              </w:rPr>
            </w:pPr>
            <w:r>
              <w:rPr>
                <w:noProof/>
              </w:rPr>
              <w:t>20.11</w:t>
            </w:r>
          </w:p>
        </w:tc>
        <w:tc>
          <w:tcPr>
            <w:tcW w:w="1276" w:type="dxa"/>
            <w:shd w:val="clear" w:color="auto" w:fill="C4EFCE"/>
            <w:noWrap/>
            <w:vAlign w:val="center"/>
            <w:hideMark/>
          </w:tcPr>
          <w:p w14:paraId="6836999F" w14:textId="77777777" w:rsidR="00E040FD" w:rsidRDefault="00740D64">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11B05124"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4258687" w14:textId="77777777" w:rsidR="00E040FD" w:rsidRDefault="00740D64">
            <w:pPr>
              <w:pStyle w:val="P68B1DB1-Normal8"/>
              <w:spacing w:after="0" w:line="240" w:lineRule="auto"/>
              <w:jc w:val="center"/>
              <w:rPr>
                <w:rFonts w:eastAsia="Times New Roman" w:cs="Calibri"/>
                <w:noProof/>
              </w:rPr>
            </w:pPr>
            <w:r>
              <w:rPr>
                <w:noProof/>
              </w:rPr>
              <w:t>Nya bärbara datorer och surfplattor för skolor i ARA</w:t>
            </w:r>
          </w:p>
        </w:tc>
        <w:tc>
          <w:tcPr>
            <w:tcW w:w="1275" w:type="dxa"/>
            <w:shd w:val="clear" w:color="auto" w:fill="C4EFCE"/>
            <w:noWrap/>
            <w:vAlign w:val="center"/>
            <w:hideMark/>
          </w:tcPr>
          <w:p w14:paraId="1EA6C894"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F699FF1" w14:textId="77777777" w:rsidR="00E040FD" w:rsidRDefault="00740D64">
            <w:pPr>
              <w:pStyle w:val="P68B1DB1-Normal8"/>
              <w:spacing w:after="0" w:line="240" w:lineRule="auto"/>
              <w:jc w:val="center"/>
              <w:rPr>
                <w:rFonts w:eastAsia="Times New Roman" w:cs="Calibri"/>
                <w:noProof/>
              </w:rPr>
            </w:pPr>
            <w:r>
              <w:rPr>
                <w:noProof/>
              </w:rPr>
              <w:t> Antal</w:t>
            </w:r>
          </w:p>
        </w:tc>
        <w:tc>
          <w:tcPr>
            <w:tcW w:w="992" w:type="dxa"/>
            <w:shd w:val="clear" w:color="auto" w:fill="C4EFCE"/>
            <w:noWrap/>
            <w:vAlign w:val="center"/>
            <w:hideMark/>
          </w:tcPr>
          <w:p w14:paraId="1229DA03" w14:textId="77777777" w:rsidR="00E040FD" w:rsidRDefault="00740D64">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6A9D697F" w14:textId="606152BC" w:rsidR="00E040FD" w:rsidRDefault="00740D64">
            <w:pPr>
              <w:pStyle w:val="P68B1DB1-Normal8"/>
              <w:spacing w:after="0" w:line="240" w:lineRule="auto"/>
              <w:jc w:val="center"/>
              <w:rPr>
                <w:rFonts w:eastAsia="Times New Roman" w:cs="Calibri"/>
                <w:noProof/>
              </w:rPr>
            </w:pPr>
            <w:r>
              <w:rPr>
                <w:noProof/>
              </w:rPr>
              <w:t>31 900 </w:t>
            </w:r>
          </w:p>
        </w:tc>
        <w:tc>
          <w:tcPr>
            <w:tcW w:w="567" w:type="dxa"/>
            <w:shd w:val="clear" w:color="auto" w:fill="C4EFCE"/>
            <w:noWrap/>
            <w:vAlign w:val="center"/>
            <w:hideMark/>
          </w:tcPr>
          <w:p w14:paraId="33E5271F"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791A9F02"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D530C43" w14:textId="4454DA70" w:rsidR="00E040FD" w:rsidRDefault="00740D64">
            <w:pPr>
              <w:pStyle w:val="P68B1DB1-Normal8"/>
              <w:spacing w:after="0" w:line="240" w:lineRule="auto"/>
              <w:jc w:val="both"/>
              <w:rPr>
                <w:rFonts w:eastAsia="Times New Roman" w:cs="Calibri"/>
                <w:noProof/>
                <w:highlight w:val="yellow"/>
              </w:rPr>
            </w:pPr>
            <w:r>
              <w:rPr>
                <w:noProof/>
              </w:rPr>
              <w:t xml:space="preserve">Antal nya bärbara datorer och surfplattor för förskola, 1:a och 2:a årskurs och gymnasieutbildning. </w:t>
            </w:r>
          </w:p>
        </w:tc>
      </w:tr>
      <w:tr w:rsidR="00E040FD" w14:paraId="717DE77B" w14:textId="77777777">
        <w:trPr>
          <w:trHeight w:val="420"/>
        </w:trPr>
        <w:tc>
          <w:tcPr>
            <w:tcW w:w="1135" w:type="dxa"/>
            <w:shd w:val="clear" w:color="auto" w:fill="C4EFCE"/>
            <w:vAlign w:val="center"/>
            <w:hideMark/>
          </w:tcPr>
          <w:p w14:paraId="0BEC3FD8" w14:textId="77777777" w:rsidR="00E040FD" w:rsidRDefault="00740D64">
            <w:pPr>
              <w:pStyle w:val="P68B1DB1-Normal7"/>
              <w:spacing w:after="0" w:line="240" w:lineRule="auto"/>
              <w:jc w:val="center"/>
              <w:rPr>
                <w:rFonts w:eastAsia="Times New Roman" w:cs="Calibri"/>
                <w:noProof/>
              </w:rPr>
            </w:pPr>
            <w:r>
              <w:rPr>
                <w:noProof/>
              </w:rPr>
              <w:t>20.12</w:t>
            </w:r>
          </w:p>
        </w:tc>
        <w:tc>
          <w:tcPr>
            <w:tcW w:w="1276" w:type="dxa"/>
            <w:shd w:val="clear" w:color="auto" w:fill="C4EFCE"/>
            <w:noWrap/>
            <w:vAlign w:val="center"/>
            <w:hideMark/>
          </w:tcPr>
          <w:p w14:paraId="0159F519" w14:textId="77777777" w:rsidR="00E040FD" w:rsidRDefault="00740D64">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731C7953"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26675CAB" w14:textId="77777777" w:rsidR="00E040FD" w:rsidRDefault="00740D64">
            <w:pPr>
              <w:pStyle w:val="P68B1DB1-Normal8"/>
              <w:spacing w:after="0" w:line="240" w:lineRule="auto"/>
              <w:jc w:val="center"/>
              <w:rPr>
                <w:rFonts w:eastAsia="Times New Roman" w:cs="Calibri"/>
                <w:noProof/>
              </w:rPr>
            </w:pPr>
            <w:r>
              <w:rPr>
                <w:noProof/>
              </w:rPr>
              <w:t>Digital utrustning och digitala utbildningsresurser för skolor i ARA</w:t>
            </w:r>
          </w:p>
        </w:tc>
        <w:tc>
          <w:tcPr>
            <w:tcW w:w="1275" w:type="dxa"/>
            <w:shd w:val="clear" w:color="auto" w:fill="C4EFCE"/>
            <w:noWrap/>
            <w:vAlign w:val="center"/>
            <w:hideMark/>
          </w:tcPr>
          <w:p w14:paraId="665AC058" w14:textId="77777777" w:rsidR="00E040FD" w:rsidRDefault="00740D64">
            <w:pPr>
              <w:pStyle w:val="P68B1DB1-Normal8"/>
              <w:spacing w:after="0" w:line="240" w:lineRule="auto"/>
              <w:jc w:val="center"/>
              <w:rPr>
                <w:rFonts w:eastAsia="Times New Roman" w:cs="Calibri"/>
                <w:noProof/>
              </w:rPr>
            </w:pPr>
            <w:r>
              <w:rPr>
                <w:noProof/>
              </w:rPr>
              <w:t>Tillhandahållande av digital utrustning och digitala utbildningsresurser till skolor i ARA </w:t>
            </w:r>
          </w:p>
        </w:tc>
        <w:tc>
          <w:tcPr>
            <w:tcW w:w="993" w:type="dxa"/>
            <w:shd w:val="clear" w:color="auto" w:fill="C4EFCE"/>
            <w:noWrap/>
            <w:vAlign w:val="center"/>
            <w:hideMark/>
          </w:tcPr>
          <w:p w14:paraId="4291E0F6"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17013E8"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3B8A39D" w14:textId="77777777" w:rsidR="00E040FD" w:rsidRDefault="00740D6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0D69B374"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2B160E88"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FB45933" w14:textId="4CC70D9C" w:rsidR="00E040FD" w:rsidRDefault="00740D64">
            <w:pPr>
              <w:pStyle w:val="P68B1DB1-Normal8"/>
              <w:spacing w:after="0" w:line="240" w:lineRule="auto"/>
              <w:jc w:val="both"/>
              <w:rPr>
                <w:rFonts w:eastAsia="Times New Roman" w:cs="Calibri"/>
                <w:noProof/>
              </w:rPr>
            </w:pPr>
            <w:r>
              <w:rPr>
                <w:noProof/>
              </w:rPr>
              <w:t xml:space="preserve">Slutförande av distributionen av följande digitala utrustning till skolor i den autonoma regionen Azorerna: internetanslutning på minst 1 Gbps i 95 % av skolorna, 1080 nya interaktiva skärmar, 100 ny specialiserad laboratorieutrustning, 100 nya 3D-skrivare och 150 nya utbildningsrobotar. Dessutom ska alla offentliga skolor och fyra privatskolor erbjuda digitala handböcker för alla elever. 1500 växlar och APS köps och installeras. </w:t>
            </w:r>
          </w:p>
          <w:p w14:paraId="08384363" w14:textId="6F1DA79E" w:rsidR="00E040FD" w:rsidRDefault="00E040FD">
            <w:pPr>
              <w:spacing w:after="0" w:line="240" w:lineRule="auto"/>
              <w:jc w:val="both"/>
              <w:rPr>
                <w:rFonts w:ascii="Calibri" w:eastAsia="Times New Roman" w:hAnsi="Calibri" w:cs="Calibri"/>
                <w:noProof/>
                <w:sz w:val="16"/>
              </w:rPr>
            </w:pPr>
          </w:p>
        </w:tc>
      </w:tr>
      <w:tr w:rsidR="00E040FD" w14:paraId="10C91F97" w14:textId="77777777">
        <w:trPr>
          <w:trHeight w:val="640"/>
        </w:trPr>
        <w:tc>
          <w:tcPr>
            <w:tcW w:w="1135" w:type="dxa"/>
            <w:shd w:val="clear" w:color="auto" w:fill="C4EFCE"/>
            <w:vAlign w:val="center"/>
            <w:hideMark/>
          </w:tcPr>
          <w:p w14:paraId="7E9B20A9" w14:textId="77777777" w:rsidR="00E040FD" w:rsidRDefault="00740D64">
            <w:pPr>
              <w:pStyle w:val="P68B1DB1-Normal7"/>
              <w:spacing w:after="0" w:line="240" w:lineRule="auto"/>
              <w:jc w:val="center"/>
              <w:rPr>
                <w:rFonts w:eastAsia="Times New Roman" w:cs="Calibri"/>
                <w:noProof/>
              </w:rPr>
            </w:pPr>
            <w:r>
              <w:rPr>
                <w:noProof/>
              </w:rPr>
              <w:t>20.13</w:t>
            </w:r>
          </w:p>
        </w:tc>
        <w:tc>
          <w:tcPr>
            <w:tcW w:w="1276" w:type="dxa"/>
            <w:shd w:val="clear" w:color="auto" w:fill="C4EFCE"/>
            <w:noWrap/>
            <w:vAlign w:val="center"/>
            <w:hideMark/>
          </w:tcPr>
          <w:p w14:paraId="2040DD1F" w14:textId="77777777" w:rsidR="00E040FD" w:rsidRDefault="00740D64">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736FAD20"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E518DAD" w14:textId="77777777" w:rsidR="00E040FD" w:rsidRDefault="00740D64">
            <w:pPr>
              <w:pStyle w:val="P68B1DB1-Normal8"/>
              <w:spacing w:after="0" w:line="240" w:lineRule="auto"/>
              <w:jc w:val="center"/>
              <w:rPr>
                <w:rFonts w:eastAsia="Times New Roman" w:cs="Calibri"/>
                <w:noProof/>
              </w:rPr>
            </w:pPr>
            <w:r>
              <w:rPr>
                <w:noProof/>
              </w:rPr>
              <w:t>Omfattande öppna onlinekurser för lärare och föräldrar i ARA</w:t>
            </w:r>
          </w:p>
        </w:tc>
        <w:tc>
          <w:tcPr>
            <w:tcW w:w="1275" w:type="dxa"/>
            <w:shd w:val="clear" w:color="auto" w:fill="C4EFCE"/>
            <w:noWrap/>
            <w:vAlign w:val="center"/>
            <w:hideMark/>
          </w:tcPr>
          <w:p w14:paraId="39B4F2CD"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DD36ADA" w14:textId="77777777" w:rsidR="00E040FD" w:rsidRDefault="00740D64">
            <w:pPr>
              <w:pStyle w:val="P68B1DB1-Normal8"/>
              <w:spacing w:after="0" w:line="240" w:lineRule="auto"/>
              <w:jc w:val="center"/>
              <w:rPr>
                <w:rFonts w:eastAsia="Times New Roman" w:cs="Calibri"/>
                <w:noProof/>
              </w:rPr>
            </w:pPr>
            <w:r>
              <w:rPr>
                <w:noProof/>
              </w:rPr>
              <w:t> Antal</w:t>
            </w:r>
          </w:p>
        </w:tc>
        <w:tc>
          <w:tcPr>
            <w:tcW w:w="992" w:type="dxa"/>
            <w:shd w:val="clear" w:color="auto" w:fill="C4EFCE"/>
            <w:noWrap/>
            <w:vAlign w:val="center"/>
            <w:hideMark/>
          </w:tcPr>
          <w:p w14:paraId="62B718DE" w14:textId="77777777" w:rsidR="00E040FD" w:rsidRDefault="00740D64">
            <w:pPr>
              <w:pStyle w:val="P68B1DB1-Normal8"/>
              <w:spacing w:after="0" w:line="240" w:lineRule="auto"/>
              <w:jc w:val="center"/>
              <w:rPr>
                <w:rFonts w:eastAsia="Times New Roman" w:cs="Calibri"/>
                <w:noProof/>
              </w:rPr>
            </w:pPr>
            <w:r>
              <w:rPr>
                <w:noProof/>
              </w:rPr>
              <w:t>4 </w:t>
            </w:r>
          </w:p>
        </w:tc>
        <w:tc>
          <w:tcPr>
            <w:tcW w:w="992" w:type="dxa"/>
            <w:shd w:val="clear" w:color="auto" w:fill="C4EFCE"/>
            <w:noWrap/>
            <w:vAlign w:val="center"/>
            <w:hideMark/>
          </w:tcPr>
          <w:p w14:paraId="2541D73D" w14:textId="77777777" w:rsidR="00E040FD" w:rsidRDefault="00740D64">
            <w:pPr>
              <w:pStyle w:val="P68B1DB1-Normal8"/>
              <w:spacing w:after="0" w:line="240" w:lineRule="auto"/>
              <w:jc w:val="center"/>
              <w:rPr>
                <w:rFonts w:eastAsia="Times New Roman" w:cs="Calibri"/>
                <w:noProof/>
              </w:rPr>
            </w:pPr>
            <w:r>
              <w:rPr>
                <w:noProof/>
              </w:rPr>
              <w:t>24 </w:t>
            </w:r>
          </w:p>
        </w:tc>
        <w:tc>
          <w:tcPr>
            <w:tcW w:w="567" w:type="dxa"/>
            <w:shd w:val="clear" w:color="auto" w:fill="C4EFCE"/>
            <w:noWrap/>
            <w:vAlign w:val="center"/>
            <w:hideMark/>
          </w:tcPr>
          <w:p w14:paraId="69EB09C9"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78E360EC"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60A3612" w14:textId="32C24508" w:rsidR="00E040FD" w:rsidRDefault="00740D64">
            <w:pPr>
              <w:pStyle w:val="P68B1DB1-Normal8"/>
              <w:spacing w:after="0" w:line="240" w:lineRule="auto"/>
              <w:jc w:val="both"/>
              <w:rPr>
                <w:rFonts w:eastAsia="Times New Roman" w:cs="Calibri"/>
                <w:noProof/>
              </w:rPr>
            </w:pPr>
            <w:r>
              <w:rPr>
                <w:noProof/>
              </w:rPr>
              <w:t>Antalet storskaliga öppna nätkurser som skapats för att främja utvecklingen av digitala färdigheter för klassrumsundervisning och distansundervisning, inbegripet tillhandahållande av handledningar och en portal för digital kompetensupphandling. Storskaliga öppna nätkurser finns tillgängliga online och är fritt tillgängliga för lärare och elevens föräldrar.</w:t>
            </w:r>
          </w:p>
        </w:tc>
      </w:tr>
      <w:tr w:rsidR="00E040FD" w14:paraId="1D223056" w14:textId="77777777">
        <w:trPr>
          <w:trHeight w:val="430"/>
        </w:trPr>
        <w:tc>
          <w:tcPr>
            <w:tcW w:w="1135" w:type="dxa"/>
            <w:shd w:val="clear" w:color="auto" w:fill="C4EFCE"/>
            <w:vAlign w:val="center"/>
            <w:hideMark/>
          </w:tcPr>
          <w:p w14:paraId="0ECDAF89" w14:textId="77777777" w:rsidR="00E040FD" w:rsidRDefault="00740D64">
            <w:pPr>
              <w:pStyle w:val="P68B1DB1-Normal7"/>
              <w:spacing w:after="0" w:line="240" w:lineRule="auto"/>
              <w:jc w:val="center"/>
              <w:rPr>
                <w:rFonts w:eastAsia="Times New Roman" w:cs="Calibri"/>
                <w:noProof/>
              </w:rPr>
            </w:pPr>
            <w:r>
              <w:rPr>
                <w:noProof/>
              </w:rPr>
              <w:t>20.14</w:t>
            </w:r>
          </w:p>
        </w:tc>
        <w:tc>
          <w:tcPr>
            <w:tcW w:w="1276" w:type="dxa"/>
            <w:shd w:val="clear" w:color="auto" w:fill="C4EFCE"/>
            <w:noWrap/>
            <w:vAlign w:val="center"/>
            <w:hideMark/>
          </w:tcPr>
          <w:p w14:paraId="03D3DFC8" w14:textId="77777777" w:rsidR="00E040FD" w:rsidRDefault="00740D64">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723CBA4B"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EC3C9C2" w14:textId="77777777" w:rsidR="00E040FD" w:rsidRDefault="00740D64">
            <w:pPr>
              <w:pStyle w:val="P68B1DB1-Normal8"/>
              <w:spacing w:after="0" w:line="240" w:lineRule="auto"/>
              <w:jc w:val="center"/>
              <w:rPr>
                <w:rFonts w:eastAsia="Times New Roman" w:cs="Calibri"/>
                <w:noProof/>
              </w:rPr>
            </w:pPr>
            <w:r>
              <w:rPr>
                <w:noProof/>
              </w:rPr>
              <w:t>Digitala handböcker för elever i den 2:a och 3:e cykeln och gymnasieelever</w:t>
            </w:r>
          </w:p>
        </w:tc>
        <w:tc>
          <w:tcPr>
            <w:tcW w:w="1275" w:type="dxa"/>
            <w:shd w:val="clear" w:color="auto" w:fill="C4EFCE"/>
            <w:noWrap/>
            <w:vAlign w:val="center"/>
            <w:hideMark/>
          </w:tcPr>
          <w:p w14:paraId="581FCA5A"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6A2C559"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3D79BB54" w14:textId="77777777" w:rsidR="00E040FD" w:rsidRDefault="00740D64">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021450BF" w14:textId="77777777" w:rsidR="00E040FD" w:rsidRDefault="00740D64">
            <w:pPr>
              <w:pStyle w:val="P68B1DB1-Normal8"/>
              <w:spacing w:after="0" w:line="240" w:lineRule="auto"/>
              <w:jc w:val="center"/>
              <w:rPr>
                <w:rFonts w:eastAsia="Times New Roman" w:cs="Calibri"/>
                <w:noProof/>
              </w:rPr>
            </w:pPr>
            <w:r>
              <w:rPr>
                <w:noProof/>
              </w:rPr>
              <w:t>5 120</w:t>
            </w:r>
          </w:p>
        </w:tc>
        <w:tc>
          <w:tcPr>
            <w:tcW w:w="567" w:type="dxa"/>
            <w:shd w:val="clear" w:color="auto" w:fill="C4EFCE"/>
            <w:noWrap/>
            <w:vAlign w:val="center"/>
            <w:hideMark/>
          </w:tcPr>
          <w:p w14:paraId="606A70F3"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6E7BF1A5" w14:textId="77777777" w:rsidR="00E040FD" w:rsidRDefault="00740D6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3F22FD8" w14:textId="77777777" w:rsidR="00E040FD" w:rsidRDefault="00740D64">
            <w:pPr>
              <w:pStyle w:val="P68B1DB1-Normal8"/>
              <w:spacing w:after="0" w:line="240" w:lineRule="auto"/>
              <w:jc w:val="both"/>
              <w:rPr>
                <w:rFonts w:eastAsia="Times New Roman" w:cs="Calibri"/>
                <w:noProof/>
              </w:rPr>
            </w:pPr>
            <w:r>
              <w:rPr>
                <w:noProof/>
              </w:rPr>
              <w:t>Antal elever i den 2:a och 3:e grundskole- och gymnasieutbildningen som under läsåret hade tillgång till och använde den digitala manualen i ARM.</w:t>
            </w:r>
          </w:p>
        </w:tc>
      </w:tr>
      <w:tr w:rsidR="00E040FD" w14:paraId="1D717255" w14:textId="77777777">
        <w:trPr>
          <w:trHeight w:val="430"/>
        </w:trPr>
        <w:tc>
          <w:tcPr>
            <w:tcW w:w="1135" w:type="dxa"/>
            <w:shd w:val="clear" w:color="auto" w:fill="C4EFCE"/>
            <w:vAlign w:val="center"/>
            <w:hideMark/>
          </w:tcPr>
          <w:p w14:paraId="43A515EE" w14:textId="77777777" w:rsidR="00E040FD" w:rsidRDefault="00740D64">
            <w:pPr>
              <w:pStyle w:val="P68B1DB1-Normal7"/>
              <w:spacing w:after="0" w:line="240" w:lineRule="auto"/>
              <w:jc w:val="center"/>
              <w:rPr>
                <w:rFonts w:eastAsia="Times New Roman" w:cs="Calibri"/>
                <w:noProof/>
              </w:rPr>
            </w:pPr>
            <w:r>
              <w:rPr>
                <w:noProof/>
              </w:rPr>
              <w:t>20.15</w:t>
            </w:r>
          </w:p>
        </w:tc>
        <w:tc>
          <w:tcPr>
            <w:tcW w:w="1276" w:type="dxa"/>
            <w:shd w:val="clear" w:color="auto" w:fill="C4EFCE"/>
            <w:noWrap/>
            <w:vAlign w:val="center"/>
            <w:hideMark/>
          </w:tcPr>
          <w:p w14:paraId="2F471844" w14:textId="77777777" w:rsidR="00E040FD" w:rsidRDefault="00740D64">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557AA325"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CD1B65B" w14:textId="77777777" w:rsidR="00E040FD" w:rsidRDefault="00740D64">
            <w:pPr>
              <w:pStyle w:val="P68B1DB1-Normal8"/>
              <w:spacing w:after="0" w:line="240" w:lineRule="auto"/>
              <w:jc w:val="center"/>
              <w:rPr>
                <w:rFonts w:eastAsia="Times New Roman" w:cs="Calibri"/>
                <w:noProof/>
              </w:rPr>
            </w:pPr>
            <w:r>
              <w:rPr>
                <w:noProof/>
              </w:rPr>
              <w:t>Skolanslutning i ARM</w:t>
            </w:r>
          </w:p>
        </w:tc>
        <w:tc>
          <w:tcPr>
            <w:tcW w:w="1275" w:type="dxa"/>
            <w:shd w:val="clear" w:color="auto" w:fill="C4EFCE"/>
            <w:noWrap/>
            <w:vAlign w:val="center"/>
            <w:hideMark/>
          </w:tcPr>
          <w:p w14:paraId="744D9AD2"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0395B5B" w14:textId="77777777" w:rsidR="00E040FD" w:rsidRDefault="00740D64">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13728FA6" w14:textId="77777777" w:rsidR="00E040FD" w:rsidRDefault="00740D64">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2CFD81C3" w14:textId="53F859A1" w:rsidR="00E040FD" w:rsidRDefault="00740D64">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1467E0FF"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702F513A" w14:textId="77777777" w:rsidR="00E040FD" w:rsidRDefault="00740D6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2DA9518" w14:textId="77777777" w:rsidR="00E040FD" w:rsidRDefault="00740D64">
            <w:pPr>
              <w:pStyle w:val="P68B1DB1-Normal8"/>
              <w:spacing w:after="0" w:line="240" w:lineRule="auto"/>
              <w:jc w:val="both"/>
              <w:rPr>
                <w:rFonts w:eastAsia="Times New Roman" w:cs="Calibri"/>
                <w:noProof/>
              </w:rPr>
            </w:pPr>
            <w:r>
              <w:rPr>
                <w:noProof/>
              </w:rPr>
              <w:t xml:space="preserve">Procentandel grund- och gymnasieskolor i ARM som är anslutna till ARM:s strukturerade Wi-fi-nätverk med en internetanslutning på minst 1 Gbps för varje skola. </w:t>
            </w:r>
          </w:p>
          <w:p w14:paraId="3A29FC8E" w14:textId="4CC450DC" w:rsidR="00E040FD" w:rsidRDefault="00740D64">
            <w:pPr>
              <w:pStyle w:val="P68B1DB1-Normal8"/>
              <w:spacing w:after="0" w:line="240" w:lineRule="auto"/>
              <w:jc w:val="both"/>
              <w:rPr>
                <w:rFonts w:eastAsia="Times New Roman" w:cs="Calibri"/>
                <w:noProof/>
              </w:rPr>
            </w:pPr>
            <w:r>
              <w:rPr>
                <w:noProof/>
              </w:rPr>
              <w:t xml:space="preserve">Dessutom ska tio vanliga privatskolor och privata och offentliga yrkesskolor anslutas till ARM:s strukturerade Wi-fi-nätverk med en internetanslutning på minst 1 Gbps för varje skola. </w:t>
            </w:r>
          </w:p>
          <w:p w14:paraId="624C1FEB" w14:textId="77CAAEB2" w:rsidR="00E040FD" w:rsidRDefault="00E040FD">
            <w:pPr>
              <w:spacing w:after="0" w:line="240" w:lineRule="auto"/>
              <w:jc w:val="both"/>
              <w:rPr>
                <w:rFonts w:ascii="Calibri" w:eastAsia="Times New Roman" w:hAnsi="Calibri" w:cs="Calibri"/>
                <w:noProof/>
                <w:sz w:val="16"/>
              </w:rPr>
            </w:pPr>
          </w:p>
        </w:tc>
      </w:tr>
      <w:tr w:rsidR="00E040FD" w14:paraId="1ED02672" w14:textId="77777777">
        <w:trPr>
          <w:trHeight w:val="430"/>
        </w:trPr>
        <w:tc>
          <w:tcPr>
            <w:tcW w:w="1135" w:type="dxa"/>
            <w:shd w:val="clear" w:color="auto" w:fill="C4EFCE"/>
            <w:vAlign w:val="center"/>
            <w:hideMark/>
          </w:tcPr>
          <w:p w14:paraId="243BF94D" w14:textId="77777777" w:rsidR="00E040FD" w:rsidRDefault="00740D64">
            <w:pPr>
              <w:pStyle w:val="P68B1DB1-Normal7"/>
              <w:spacing w:after="0" w:line="240" w:lineRule="auto"/>
              <w:jc w:val="center"/>
              <w:rPr>
                <w:rFonts w:eastAsia="Times New Roman" w:cs="Calibri"/>
                <w:noProof/>
              </w:rPr>
            </w:pPr>
            <w:r>
              <w:rPr>
                <w:noProof/>
              </w:rPr>
              <w:t>20.16</w:t>
            </w:r>
          </w:p>
        </w:tc>
        <w:tc>
          <w:tcPr>
            <w:tcW w:w="1276" w:type="dxa"/>
            <w:shd w:val="clear" w:color="auto" w:fill="C4EFCE"/>
            <w:noWrap/>
            <w:vAlign w:val="center"/>
            <w:hideMark/>
          </w:tcPr>
          <w:p w14:paraId="2BD7D152" w14:textId="77777777" w:rsidR="00E040FD" w:rsidRDefault="00740D64">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1186022C"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D0DFB1E" w14:textId="77777777" w:rsidR="00E040FD" w:rsidRDefault="00740D64">
            <w:pPr>
              <w:pStyle w:val="P68B1DB1-Normal8"/>
              <w:spacing w:after="0" w:line="240" w:lineRule="auto"/>
              <w:jc w:val="center"/>
              <w:rPr>
                <w:rFonts w:eastAsia="Times New Roman" w:cs="Calibri"/>
                <w:noProof/>
              </w:rPr>
            </w:pPr>
            <w:r>
              <w:rPr>
                <w:noProof/>
              </w:rPr>
              <w:t>Digitala handböcker för elever i 2:a och 3:e cykeln och gymnasieelever i ARM</w:t>
            </w:r>
          </w:p>
        </w:tc>
        <w:tc>
          <w:tcPr>
            <w:tcW w:w="1275" w:type="dxa"/>
            <w:shd w:val="clear" w:color="auto" w:fill="C4EFCE"/>
            <w:noWrap/>
            <w:vAlign w:val="center"/>
            <w:hideMark/>
          </w:tcPr>
          <w:p w14:paraId="7C67A362"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EF3DF9D"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5CD64AFF" w14:textId="77777777" w:rsidR="00E040FD" w:rsidRDefault="00740D64">
            <w:pPr>
              <w:pStyle w:val="P68B1DB1-Normal8"/>
              <w:spacing w:after="0" w:line="240" w:lineRule="auto"/>
              <w:jc w:val="center"/>
              <w:rPr>
                <w:rFonts w:eastAsia="Times New Roman" w:cs="Calibri"/>
                <w:noProof/>
              </w:rPr>
            </w:pPr>
            <w:r>
              <w:rPr>
                <w:noProof/>
              </w:rPr>
              <w:t> 5 120</w:t>
            </w:r>
          </w:p>
        </w:tc>
        <w:tc>
          <w:tcPr>
            <w:tcW w:w="992" w:type="dxa"/>
            <w:shd w:val="clear" w:color="auto" w:fill="C4EFCE"/>
            <w:noWrap/>
            <w:vAlign w:val="center"/>
            <w:hideMark/>
          </w:tcPr>
          <w:p w14:paraId="240804FC" w14:textId="0B620340" w:rsidR="00E040FD" w:rsidRDefault="00740D64">
            <w:pPr>
              <w:pStyle w:val="P68B1DB1-Normal8"/>
              <w:spacing w:after="0" w:line="240" w:lineRule="auto"/>
              <w:jc w:val="center"/>
              <w:rPr>
                <w:rFonts w:eastAsia="Times New Roman" w:cs="Calibri"/>
                <w:noProof/>
              </w:rPr>
            </w:pPr>
            <w:r>
              <w:rPr>
                <w:noProof/>
              </w:rPr>
              <w:t>15 910</w:t>
            </w:r>
          </w:p>
        </w:tc>
        <w:tc>
          <w:tcPr>
            <w:tcW w:w="567" w:type="dxa"/>
            <w:shd w:val="clear" w:color="auto" w:fill="C4EFCE"/>
            <w:noWrap/>
            <w:vAlign w:val="center"/>
            <w:hideMark/>
          </w:tcPr>
          <w:p w14:paraId="62B4040C"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2F0C2BA8"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0F3AA12" w14:textId="77777777" w:rsidR="00E040FD" w:rsidRDefault="00740D64">
            <w:pPr>
              <w:pStyle w:val="P68B1DB1-Normal8"/>
              <w:spacing w:after="0" w:line="240" w:lineRule="auto"/>
              <w:jc w:val="both"/>
              <w:rPr>
                <w:rFonts w:eastAsia="Times New Roman" w:cs="Calibri"/>
                <w:noProof/>
              </w:rPr>
            </w:pPr>
            <w:r>
              <w:rPr>
                <w:noProof/>
              </w:rPr>
              <w:t>Antal elever i den 2:a och 3:e grundskole- och gymnasieutbildningen som under läsåret hade tillgång till och använde den digitala manualen i ARM.</w:t>
            </w:r>
          </w:p>
        </w:tc>
      </w:tr>
      <w:tr w:rsidR="00E040FD" w14:paraId="7660D0EB" w14:textId="77777777">
        <w:trPr>
          <w:trHeight w:val="430"/>
        </w:trPr>
        <w:tc>
          <w:tcPr>
            <w:tcW w:w="1135" w:type="dxa"/>
            <w:shd w:val="clear" w:color="auto" w:fill="C4EFCE"/>
            <w:vAlign w:val="center"/>
            <w:hideMark/>
          </w:tcPr>
          <w:p w14:paraId="325F95D8" w14:textId="77777777" w:rsidR="00E040FD" w:rsidRDefault="00740D64">
            <w:pPr>
              <w:pStyle w:val="P68B1DB1-Normal7"/>
              <w:spacing w:after="0" w:line="240" w:lineRule="auto"/>
              <w:jc w:val="center"/>
              <w:rPr>
                <w:rFonts w:eastAsia="Times New Roman" w:cs="Calibri"/>
                <w:noProof/>
              </w:rPr>
            </w:pPr>
            <w:r>
              <w:rPr>
                <w:noProof/>
              </w:rPr>
              <w:t>20.17</w:t>
            </w:r>
          </w:p>
        </w:tc>
        <w:tc>
          <w:tcPr>
            <w:tcW w:w="1276" w:type="dxa"/>
            <w:shd w:val="clear" w:color="auto" w:fill="C4EFCE"/>
            <w:noWrap/>
            <w:vAlign w:val="center"/>
            <w:hideMark/>
          </w:tcPr>
          <w:p w14:paraId="180447D1" w14:textId="77777777" w:rsidR="00E040FD" w:rsidRDefault="00740D64">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7743CB91" w14:textId="77777777" w:rsidR="00E040FD" w:rsidRDefault="00740D6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EE5696E" w14:textId="74CF1BE8" w:rsidR="00E040FD" w:rsidRDefault="00740D64">
            <w:pPr>
              <w:pStyle w:val="P68B1DB1-Normal8"/>
              <w:spacing w:after="0" w:line="240" w:lineRule="auto"/>
              <w:jc w:val="center"/>
              <w:rPr>
                <w:rFonts w:eastAsia="Times New Roman" w:cs="Calibri"/>
                <w:noProof/>
              </w:rPr>
            </w:pPr>
            <w:r>
              <w:rPr>
                <w:noProof/>
              </w:rPr>
              <w:t>Utbildning av lärare och annan personal i digital kompetens i ARM</w:t>
            </w:r>
          </w:p>
        </w:tc>
        <w:tc>
          <w:tcPr>
            <w:tcW w:w="1275" w:type="dxa"/>
            <w:shd w:val="clear" w:color="auto" w:fill="C4EFCE"/>
            <w:noWrap/>
            <w:vAlign w:val="center"/>
            <w:hideMark/>
          </w:tcPr>
          <w:p w14:paraId="420A8AD6" w14:textId="77777777" w:rsidR="00E040FD" w:rsidRDefault="00740D6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97D008C" w14:textId="77777777" w:rsidR="00E040FD" w:rsidRDefault="00740D64">
            <w:pPr>
              <w:pStyle w:val="P68B1DB1-Normal8"/>
              <w:spacing w:after="0" w:line="240" w:lineRule="auto"/>
              <w:jc w:val="center"/>
              <w:rPr>
                <w:rFonts w:eastAsia="Times New Roman" w:cs="Calibri"/>
                <w:noProof/>
              </w:rPr>
            </w:pPr>
            <w:r>
              <w:rPr>
                <w:noProof/>
              </w:rPr>
              <w:t>Antal</w:t>
            </w:r>
          </w:p>
        </w:tc>
        <w:tc>
          <w:tcPr>
            <w:tcW w:w="992" w:type="dxa"/>
            <w:shd w:val="clear" w:color="auto" w:fill="C4EFCE"/>
            <w:noWrap/>
            <w:vAlign w:val="center"/>
            <w:hideMark/>
          </w:tcPr>
          <w:p w14:paraId="3B8AB54E" w14:textId="77777777" w:rsidR="00E040FD" w:rsidRDefault="00740D64">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535A3EE3" w14:textId="41629E58" w:rsidR="00E040FD" w:rsidRDefault="00740D64">
            <w:pPr>
              <w:pStyle w:val="P68B1DB1-Normal8"/>
              <w:spacing w:after="0" w:line="240" w:lineRule="auto"/>
              <w:jc w:val="center"/>
              <w:rPr>
                <w:rFonts w:eastAsia="Times New Roman" w:cs="Calibri"/>
                <w:noProof/>
              </w:rPr>
            </w:pPr>
            <w:r>
              <w:rPr>
                <w:noProof/>
              </w:rPr>
              <w:t>6 500</w:t>
            </w:r>
          </w:p>
        </w:tc>
        <w:tc>
          <w:tcPr>
            <w:tcW w:w="567" w:type="dxa"/>
            <w:shd w:val="clear" w:color="auto" w:fill="C4EFCE"/>
            <w:noWrap/>
            <w:vAlign w:val="center"/>
            <w:hideMark/>
          </w:tcPr>
          <w:p w14:paraId="482B643B"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43B0F623"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6DF7A39" w14:textId="4A0452C5" w:rsidR="00E040FD" w:rsidRDefault="00740D64">
            <w:pPr>
              <w:pStyle w:val="P68B1DB1-Normal8"/>
              <w:spacing w:after="0" w:line="240" w:lineRule="auto"/>
              <w:jc w:val="both"/>
              <w:rPr>
                <w:rFonts w:eastAsia="Times New Roman" w:cs="Calibri"/>
                <w:noProof/>
              </w:rPr>
            </w:pPr>
            <w:r>
              <w:rPr>
                <w:noProof/>
              </w:rPr>
              <w:t>Antal lärare och annan personal på alla utbildningsnivåer (från förskola till gymnasium) som deltog i utbildning i digitala och tekniska färdigheter inom ARM</w:t>
            </w:r>
          </w:p>
        </w:tc>
      </w:tr>
      <w:tr w:rsidR="00E040FD" w14:paraId="55A3D1D0" w14:textId="77777777">
        <w:trPr>
          <w:trHeight w:val="1050"/>
        </w:trPr>
        <w:tc>
          <w:tcPr>
            <w:tcW w:w="1135" w:type="dxa"/>
            <w:shd w:val="clear" w:color="auto" w:fill="C4EFCE"/>
            <w:vAlign w:val="center"/>
            <w:hideMark/>
          </w:tcPr>
          <w:p w14:paraId="7B3BBD15" w14:textId="77777777" w:rsidR="00E040FD" w:rsidRDefault="00740D64">
            <w:pPr>
              <w:pStyle w:val="P68B1DB1-Normal7"/>
              <w:spacing w:after="0" w:line="240" w:lineRule="auto"/>
              <w:jc w:val="center"/>
              <w:rPr>
                <w:rFonts w:eastAsia="Times New Roman" w:cs="Calibri"/>
                <w:noProof/>
              </w:rPr>
            </w:pPr>
            <w:r>
              <w:rPr>
                <w:noProof/>
              </w:rPr>
              <w:t>20.18</w:t>
            </w:r>
          </w:p>
        </w:tc>
        <w:tc>
          <w:tcPr>
            <w:tcW w:w="1276" w:type="dxa"/>
            <w:shd w:val="clear" w:color="auto" w:fill="C4EFCE"/>
            <w:noWrap/>
            <w:vAlign w:val="center"/>
            <w:hideMark/>
          </w:tcPr>
          <w:p w14:paraId="3DD1B641" w14:textId="77777777" w:rsidR="00E040FD" w:rsidRDefault="00740D64">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3149BD8C" w14:textId="77777777" w:rsidR="00E040FD" w:rsidRDefault="00740D6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4F966D8" w14:textId="77777777" w:rsidR="00E040FD" w:rsidRDefault="00740D64">
            <w:pPr>
              <w:pStyle w:val="P68B1DB1-Normal8"/>
              <w:spacing w:after="0" w:line="240" w:lineRule="auto"/>
              <w:jc w:val="center"/>
              <w:rPr>
                <w:rFonts w:eastAsia="Times New Roman" w:cs="Calibri"/>
                <w:noProof/>
              </w:rPr>
            </w:pPr>
            <w:r>
              <w:rPr>
                <w:noProof/>
              </w:rPr>
              <w:t>Tillhandahållande av vetenskaplig och teknisk utrustning till skolor inom ARM</w:t>
            </w:r>
          </w:p>
        </w:tc>
        <w:tc>
          <w:tcPr>
            <w:tcW w:w="1275" w:type="dxa"/>
            <w:shd w:val="clear" w:color="auto" w:fill="C4EFCE"/>
            <w:noWrap/>
            <w:vAlign w:val="center"/>
            <w:hideMark/>
          </w:tcPr>
          <w:p w14:paraId="1EEB5525" w14:textId="77777777" w:rsidR="00E040FD" w:rsidRDefault="00740D64">
            <w:pPr>
              <w:pStyle w:val="P68B1DB1-Normal8"/>
              <w:spacing w:after="0" w:line="240" w:lineRule="auto"/>
              <w:jc w:val="center"/>
              <w:rPr>
                <w:rFonts w:eastAsia="Times New Roman" w:cs="Calibri"/>
                <w:noProof/>
              </w:rPr>
            </w:pPr>
            <w:r>
              <w:rPr>
                <w:noProof/>
              </w:rPr>
              <w:t>Tillhandahållande av vetenskaplig och teknisk utrustning till skolor inom ARM</w:t>
            </w:r>
          </w:p>
        </w:tc>
        <w:tc>
          <w:tcPr>
            <w:tcW w:w="993" w:type="dxa"/>
            <w:shd w:val="clear" w:color="auto" w:fill="C4EFCE"/>
            <w:noWrap/>
            <w:vAlign w:val="center"/>
            <w:hideMark/>
          </w:tcPr>
          <w:p w14:paraId="452E3CD7" w14:textId="74CDE77A" w:rsidR="00E040FD" w:rsidRDefault="00E040FD">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19E0DA20" w14:textId="77777777" w:rsidR="00E040FD" w:rsidRDefault="00740D6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21CC52E" w14:textId="797C68A8" w:rsidR="00E040FD" w:rsidRDefault="00E040FD">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04C56176" w14:textId="77777777" w:rsidR="00E040FD" w:rsidRDefault="00740D64">
            <w:pPr>
              <w:pStyle w:val="P68B1DB1-Normal8"/>
              <w:spacing w:after="0" w:line="240" w:lineRule="auto"/>
              <w:jc w:val="center"/>
              <w:rPr>
                <w:rFonts w:eastAsia="Times New Roman" w:cs="Calibri"/>
                <w:noProof/>
              </w:rPr>
            </w:pPr>
            <w:r>
              <w:rPr>
                <w:noProof/>
              </w:rPr>
              <w:t>KVARTAL 4</w:t>
            </w:r>
          </w:p>
        </w:tc>
        <w:tc>
          <w:tcPr>
            <w:tcW w:w="708" w:type="dxa"/>
            <w:shd w:val="clear" w:color="auto" w:fill="C4EFCE"/>
            <w:noWrap/>
            <w:vAlign w:val="center"/>
            <w:hideMark/>
          </w:tcPr>
          <w:p w14:paraId="2338A6FD" w14:textId="77777777" w:rsidR="00E040FD" w:rsidRDefault="00740D6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7272357" w14:textId="01FD295F" w:rsidR="00E040FD" w:rsidRDefault="00740D64">
            <w:pPr>
              <w:pStyle w:val="P68B1DB1-Normal8"/>
              <w:spacing w:after="0" w:line="240" w:lineRule="auto"/>
              <w:rPr>
                <w:rFonts w:eastAsia="Times New Roman" w:cs="Calibri"/>
                <w:noProof/>
              </w:rPr>
            </w:pPr>
            <w:r>
              <w:rPr>
                <w:noProof/>
              </w:rPr>
              <w:t>Skolor i RAM som drar nytta av distributionen av följande vetenskapliga och tekniska utrustning för robotteknikförsök (för 129 skolrum/utbildningsutrymmen för alla utbildningsnivåer: förberedande utbildning</w:t>
            </w:r>
            <w:r>
              <w:rPr>
                <w:noProof/>
                <w:vertAlign w:val="superscript"/>
              </w:rPr>
              <w:t>,</w:t>
            </w:r>
            <w:r>
              <w:rPr>
                <w:noProof/>
              </w:rPr>
              <w:t xml:space="preserve"> 1:a cykeln,</w:t>
            </w:r>
            <w:r>
              <w:rPr>
                <w:noProof/>
                <w:vertAlign w:val="superscript"/>
              </w:rPr>
              <w:t>2:a</w:t>
            </w:r>
            <w:r>
              <w:rPr>
                <w:noProof/>
              </w:rPr>
              <w:t xml:space="preserve"> cykeln,</w:t>
            </w:r>
            <w:r>
              <w:rPr>
                <w:noProof/>
                <w:vertAlign w:val="superscript"/>
              </w:rPr>
              <w:t>3:e</w:t>
            </w:r>
            <w:r>
              <w:rPr>
                <w:noProof/>
              </w:rPr>
              <w:t xml:space="preserve"> cykeln och gymnasieutbildning). experimentella vetenskapsmaterial (för 129 skolrum/utbildningsutrymmen). Ångsatser (för 129 skolrum/utbildningsutrymmen). kit för biologi, fysik och kemi (för 35 skolrum/utbildningsutrymmen). Polyvisuella/multimediala byggsatser (för 40 skolrum/utbildningsutrymmen), 100 ny utrustning för datavetenskap (för 94 skolrum/utbildningsutrymmen i den 1:a cykeln). </w:t>
            </w:r>
          </w:p>
          <w:p w14:paraId="4F6AF773" w14:textId="6828D80F" w:rsidR="00E040FD" w:rsidRDefault="00740D64">
            <w:pPr>
              <w:pStyle w:val="P68B1DB1-Normal8"/>
              <w:spacing w:after="0" w:line="240" w:lineRule="auto"/>
              <w:rPr>
                <w:rFonts w:eastAsia="Times New Roman" w:cs="Calibri"/>
                <w:noProof/>
              </w:rPr>
            </w:pPr>
            <w:r>
              <w:rPr>
                <w:noProof/>
              </w:rPr>
              <w:t>Dessutom ska 91 innovativa inlärningsmiljöer inrättas för att möjliggöra nya metoder i undervisnings- och inlärningsprocessen.</w:t>
            </w:r>
          </w:p>
        </w:tc>
      </w:tr>
    </w:tbl>
    <w:p w14:paraId="63F6E735"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7DF53512" w14:textId="77777777" w:rsidR="00E040FD" w:rsidRDefault="00E040FD">
      <w:pPr>
        <w:keepNext/>
        <w:spacing w:before="40" w:after="0" w:line="259" w:lineRule="auto"/>
        <w:jc w:val="both"/>
        <w:rPr>
          <w:rFonts w:ascii="Times New Roman" w:eastAsiaTheme="minorEastAsia" w:hAnsi="Times New Roman" w:cs="Times New Roman"/>
          <w:noProof/>
          <w:sz w:val="24"/>
        </w:rPr>
        <w:sectPr w:rsidR="00E040FD" w:rsidSect="00E00EDD">
          <w:headerReference w:type="even" r:id="rId362"/>
          <w:headerReference w:type="default" r:id="rId363"/>
          <w:footerReference w:type="even" r:id="rId364"/>
          <w:footerReference w:type="default" r:id="rId365"/>
          <w:headerReference w:type="first" r:id="rId366"/>
          <w:footerReference w:type="first" r:id="rId367"/>
          <w:pgSz w:w="16839" w:h="11907" w:orient="landscape"/>
          <w:pgMar w:top="1134" w:right="1134" w:bottom="1134" w:left="1134" w:header="567" w:footer="567" w:gutter="0"/>
          <w:cols w:space="720"/>
          <w:docGrid w:linePitch="360"/>
        </w:sectPr>
      </w:pPr>
    </w:p>
    <w:p w14:paraId="581F76B7" w14:textId="7D5951D9"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U. KOMPONENT 21: REPowerEU</w:t>
      </w:r>
    </w:p>
    <w:p w14:paraId="0F35EBBE" w14:textId="77777777" w:rsidR="00E040FD" w:rsidRDefault="00740D64">
      <w:pPr>
        <w:pStyle w:val="P68B1DB1-Normal4"/>
        <w:spacing w:before="40" w:after="0" w:line="259" w:lineRule="auto"/>
        <w:jc w:val="both"/>
        <w:rPr>
          <w:rFonts w:cs="Times New Roman"/>
          <w:noProof/>
        </w:rPr>
      </w:pPr>
      <w:r>
        <w:rPr>
          <w:noProof/>
        </w:rPr>
        <w:t xml:space="preserve">Målet med REPowerEU-kapitlet är att stödja Portugals ambitioner när det gäller energioberoende och grön omställning, mot bakgrund av den nya geopolitiska situationen och situationen på energimarknaden. </w:t>
      </w:r>
    </w:p>
    <w:p w14:paraId="22A180DD" w14:textId="50AD9BCD" w:rsidR="00E040FD" w:rsidRDefault="00740D64">
      <w:pPr>
        <w:pStyle w:val="P68B1DB1-Normal4"/>
        <w:spacing w:before="40" w:after="0" w:line="259" w:lineRule="auto"/>
        <w:jc w:val="both"/>
        <w:rPr>
          <w:rFonts w:cs="Times New Roman"/>
          <w:noProof/>
        </w:rPr>
      </w:pPr>
      <w:r>
        <w:rPr>
          <w:noProof/>
        </w:rPr>
        <w:t>Reformerna och investeringarna inom ramen för REPowerEU syftar till att stärka Portugals energisuveränitet och påskynda utfasningen av fossila bränslen i landets ekonomi. Kapitlet innehåller reformer som kommer att effektivisera licensieringsförfarandena för förnybar energi, skapa en enda kontaktpunkt för licensiering av projekt för förnybar energi samt främja användningen av biometan och förnybar vätgas i landet. En investering kommer att bestå i utveckling av tekniska studier för användning av havsbaserad vindkraft. Portugal tar dessutom itu med utmaningen att omskola arbetskraften inför den gröna omställningen genom en reform av grön kompetens, som syftar till att skapa ett omfattande erbjudande om yrkesutbildning för utveckling av grön kompetens och utbildning av 25 personer under de kommande två åren.</w:t>
      </w:r>
    </w:p>
    <w:p w14:paraId="28D9518A" w14:textId="77777777" w:rsidR="00E040FD" w:rsidRDefault="00740D64">
      <w:pPr>
        <w:pStyle w:val="P68B1DB1-Normal4"/>
        <w:spacing w:before="40" w:after="0" w:line="259" w:lineRule="auto"/>
        <w:jc w:val="both"/>
        <w:rPr>
          <w:rFonts w:cs="Times New Roman"/>
          <w:noProof/>
        </w:rPr>
      </w:pPr>
      <w:r>
        <w:rPr>
          <w:noProof/>
        </w:rPr>
        <w:t xml:space="preserve">Kapitlet innehåller också investeringar för att ta itu med energifattigdom med investeringar för att öka energieffektiviteten i bostadshus, tjänstebyggnader och offentliga byggnader, och reformer för att inrätta ett nationellt observatorium för energifattigdom och utveckla en modell med en enda kontaktpunkt för att stödja medborgarna i genomförandet av energieffektivitetsåtgärder. </w:t>
      </w:r>
    </w:p>
    <w:p w14:paraId="3419D7E7" w14:textId="54D4EF87" w:rsidR="00E040FD" w:rsidRDefault="00740D64">
      <w:pPr>
        <w:pStyle w:val="P68B1DB1-Normal4"/>
        <w:spacing w:before="40" w:after="0" w:line="259" w:lineRule="auto"/>
        <w:jc w:val="both"/>
        <w:rPr>
          <w:rFonts w:cs="Times New Roman"/>
          <w:noProof/>
        </w:rPr>
      </w:pPr>
      <w:r>
        <w:rPr>
          <w:noProof/>
        </w:rPr>
        <w:t>Portugal ökar också sin motståndskraft genom strategiska investeringar för att stödja produktionen av nettonollteknik, öka befintliga investeringar i förnybara gaser och utsläppsfria transporter samt bygga upp lagringskapacitet för att öka energisystemets flexibilitet och samtidigt främja förnybar energi. Flera nya investeringar i utsläppsfria transporter planeras och sprids runt om i landet, bland annat byggandet av en busslinje för snabb transitering i Braga och en rad i nazisterna.</w:t>
      </w:r>
    </w:p>
    <w:p w14:paraId="5E7C784E" w14:textId="0274E162" w:rsidR="00E040FD" w:rsidRDefault="00740D64">
      <w:pPr>
        <w:pStyle w:val="P68B1DB1-Normal4"/>
        <w:spacing w:before="40" w:after="0" w:line="259" w:lineRule="auto"/>
        <w:jc w:val="both"/>
        <w:rPr>
          <w:rFonts w:cs="Times New Roman"/>
          <w:noProof/>
        </w:rPr>
      </w:pPr>
      <w:r>
        <w:rPr>
          <w:noProof/>
        </w:rPr>
        <w:t>Flera åtgärder kommer att ha en gränsöverskridande dimension, som till största delen kommer att utvecklas genom investeringar i förnybar energi och energieffektivitet.</w:t>
      </w:r>
    </w:p>
    <w:p w14:paraId="053BB105" w14:textId="3BC176B9" w:rsidR="00E040FD" w:rsidRDefault="00740D64">
      <w:pPr>
        <w:pStyle w:val="P68B1DB1-Normal4"/>
        <w:keepNext/>
        <w:spacing w:before="40" w:after="0" w:line="259" w:lineRule="auto"/>
        <w:jc w:val="both"/>
        <w:rPr>
          <w:rFonts w:eastAsiaTheme="minorEastAsia" w:cs="Times New Roman"/>
          <w:noProof/>
        </w:rPr>
      </w:pPr>
      <w:r>
        <w:rPr>
          <w:noProof/>
        </w:rPr>
        <w:t>Komponenten bidrar till att följa den landsspecifika rekommendation som utfärdats till Portugal för att minska landets beroende av fossila bränslen (de landsspecifika rekommendationerna 4 2022 och 2023) och inrikta investeringarna på koldioxidsnål och energiomställning (landsspecifik rekommendation 3 2019) och på ren och effektiv produktion och användning av energi (landsspecifik rekommendation 3 2020). Det omfattar särskilt åtgärder för att påskynda utbyggnaden av förnybar energi, förenkla tillståndsgivningen, fasa ut fossila bränslen i transportsektorn, förbättra energieffektiviteten i byggnader, uppgradera elöverförings- och eldistributionsnäten, öka ellagringen och stärka förvärvandet av den gröna kompetens som behövs för den gröna omställningen.</w:t>
      </w:r>
    </w:p>
    <w:p w14:paraId="68203BCC" w14:textId="77777777" w:rsidR="00E040FD" w:rsidRDefault="00740D64">
      <w:pPr>
        <w:pStyle w:val="P68B1DB1-Normal4"/>
        <w:spacing w:before="40" w:after="0" w:line="259" w:lineRule="auto"/>
        <w:jc w:val="both"/>
        <w:rPr>
          <w:rFonts w:cs="Times New Roman"/>
          <w:noProof/>
        </w:rPr>
      </w:pPr>
      <w:r>
        <w:rPr>
          <w:noProof/>
        </w:rPr>
        <w:t>Ingen åtgärd i denna del förväntas orsaka betydande skada för miljömål i den mening som avses i artikel 17 i förordning (EU) 2020/852, med beaktande av beskrivningen av de åtgärder och riskreducerande åtgärder som anges i återhämtnings- och resiliensplanen i enlighet med den tekniska vägledningen om att inte orsaka betydande skada (2021/C58/01).</w:t>
      </w:r>
    </w:p>
    <w:p w14:paraId="40A068BA" w14:textId="77777777" w:rsidR="00E040FD" w:rsidRDefault="00E040FD">
      <w:pPr>
        <w:keepNext/>
        <w:spacing w:before="40" w:after="0" w:line="259" w:lineRule="auto"/>
        <w:jc w:val="both"/>
        <w:outlineLvl w:val="1"/>
        <w:rPr>
          <w:rFonts w:ascii="Times New Roman" w:eastAsiaTheme="majorEastAsia" w:hAnsi="Times New Roman" w:cs="Times New Roman"/>
          <w:b/>
          <w:noProof/>
          <w:sz w:val="24"/>
          <w:u w:val="single"/>
        </w:rPr>
      </w:pPr>
    </w:p>
    <w:p w14:paraId="3FDCB5A0" w14:textId="4CC2E66E"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U.1. Beskrivning av reformer och investeringar avseende icke återbetalningspliktigt ekonomiskt stöd</w:t>
      </w:r>
    </w:p>
    <w:p w14:paraId="1C306676" w14:textId="6845FEE8" w:rsidR="00E040FD" w:rsidRDefault="00740D64">
      <w:pPr>
        <w:pStyle w:val="P68B1DB1-Normal5"/>
        <w:spacing w:before="240" w:after="0"/>
        <w:rPr>
          <w:rFonts w:eastAsiaTheme="minorEastAsia" w:cs="Times New Roman"/>
          <w:noProof/>
        </w:rPr>
      </w:pPr>
      <w:bookmarkStart w:id="33" w:name="_Toc137472477"/>
      <w:r>
        <w:rPr>
          <w:noProof/>
        </w:rPr>
        <w:t>Investeringar RP-C21-i01: Utökad åtgärd: Utfasning av fossila bränslen inom industrin</w:t>
      </w:r>
      <w:bookmarkEnd w:id="33"/>
    </w:p>
    <w:p w14:paraId="07D772F8" w14:textId="59DEB25F" w:rsidR="00E040FD" w:rsidRDefault="00740D64">
      <w:pPr>
        <w:pStyle w:val="P68B1DB1-Normal4"/>
        <w:spacing w:before="40" w:after="0" w:line="259" w:lineRule="auto"/>
        <w:jc w:val="both"/>
        <w:rPr>
          <w:rFonts w:cs="Times New Roman"/>
          <w:noProof/>
        </w:rPr>
      </w:pPr>
      <w:r>
        <w:rPr>
          <w:noProof/>
        </w:rPr>
        <w:t>Syftet med denna åtgärd är att öka investeringarna TC-C11-I01: Utfasning av fossila bränslen inom industrin, inom ramen för komponent 11.</w:t>
      </w:r>
    </w:p>
    <w:p w14:paraId="6F624D1D" w14:textId="5DD7C54D" w:rsidR="00E040FD" w:rsidRDefault="00740D64">
      <w:pPr>
        <w:pStyle w:val="P68B1DB1-Normal4"/>
        <w:spacing w:before="40" w:after="0" w:line="259" w:lineRule="auto"/>
        <w:jc w:val="both"/>
        <w:rPr>
          <w:rFonts w:cs="Times New Roman"/>
          <w:noProof/>
        </w:rPr>
      </w:pPr>
      <w:r>
        <w:rPr>
          <w:noProof/>
        </w:rPr>
        <w:t>Den utökade delen av åtgärden ska öka antalet projekt för utfasning av fossila bränslen som får stöd. Stödet för den utökade delen av åtgärden ska tilldelas 500 små och medelstora företag för projekt på högst 200 000 EUR per företag under tre beskattningsår (”förenklade” projekt).</w:t>
      </w:r>
    </w:p>
    <w:p w14:paraId="29353424" w14:textId="77777777" w:rsidR="00E040FD" w:rsidRDefault="00740D64">
      <w:pPr>
        <w:pStyle w:val="P68B1DB1-Normal4"/>
        <w:spacing w:before="40" w:after="0" w:line="259" w:lineRule="auto"/>
        <w:jc w:val="both"/>
        <w:rPr>
          <w:rFonts w:cs="Times New Roman"/>
          <w:noProof/>
        </w:rPr>
      </w:pPr>
      <w:r>
        <w:rPr>
          <w:noProof/>
        </w:rPr>
        <w:t>Investeringen ska vara genomförd senast den 30 juni 2026.</w:t>
      </w:r>
    </w:p>
    <w:p w14:paraId="579DBFB6" w14:textId="4A98A963" w:rsidR="00E040FD" w:rsidRDefault="00740D64">
      <w:pPr>
        <w:pStyle w:val="P68B1DB1-Normal5"/>
        <w:keepNext/>
        <w:spacing w:before="240" w:after="0" w:line="259" w:lineRule="auto"/>
        <w:ind w:left="851"/>
        <w:jc w:val="both"/>
        <w:outlineLvl w:val="2"/>
        <w:rPr>
          <w:rFonts w:eastAsiaTheme="minorEastAsia" w:cs="Times New Roman"/>
          <w:noProof/>
        </w:rPr>
      </w:pPr>
      <w:bookmarkStart w:id="34" w:name="_Toc137472478"/>
      <w:r>
        <w:rPr>
          <w:noProof/>
        </w:rPr>
        <w:t>Investeringar RP-C21-i02: Utökad åtgärd: Energieffektivitet i bostadshus</w:t>
      </w:r>
      <w:bookmarkEnd w:id="34"/>
    </w:p>
    <w:p w14:paraId="59D08E92" w14:textId="437238A1" w:rsidR="00E040FD" w:rsidRDefault="00740D64">
      <w:pPr>
        <w:pStyle w:val="P68B1DB1-Normal4"/>
        <w:spacing w:after="0"/>
        <w:jc w:val="both"/>
        <w:rPr>
          <w:rFonts w:cs="Times New Roman"/>
          <w:noProof/>
        </w:rPr>
      </w:pPr>
      <w:r>
        <w:rPr>
          <w:noProof/>
        </w:rPr>
        <w:t xml:space="preserve">Syftet med åtgärden är att utöka åtgärden TC-C13 – I01: Energieffektivitet i bostadshus enligt komponent 13. </w:t>
      </w:r>
    </w:p>
    <w:p w14:paraId="5ED787E9" w14:textId="7157997D" w:rsidR="00E040FD" w:rsidRDefault="00740D64">
      <w:pPr>
        <w:pStyle w:val="P68B1DB1-Normal4"/>
        <w:spacing w:after="0"/>
        <w:jc w:val="both"/>
        <w:rPr>
          <w:rFonts w:cs="Times New Roman"/>
          <w:noProof/>
        </w:rPr>
      </w:pPr>
      <w:r>
        <w:rPr>
          <w:noProof/>
        </w:rPr>
        <w:t>Åtgärdens expanderande del ska öka antalet renoverade bostadshus och antalet förnybara energikällor för egenförbrukning. 60 % av den golvyta som renoveras i denna investering ska vara i flerbostadshus.</w:t>
      </w:r>
    </w:p>
    <w:p w14:paraId="1A06BA32" w14:textId="0369DD0D" w:rsidR="00E040FD" w:rsidRDefault="00740D64">
      <w:pPr>
        <w:pStyle w:val="P68B1DB1-Normal4"/>
        <w:spacing w:after="0"/>
        <w:jc w:val="both"/>
        <w:rPr>
          <w:rFonts w:cs="Times New Roman"/>
          <w:noProof/>
        </w:rPr>
      </w:pPr>
      <w:r>
        <w:rPr>
          <w:noProof/>
        </w:rPr>
        <w:t>Investeringen ska vara genomförd senast den 30 september 2025.</w:t>
      </w:r>
    </w:p>
    <w:p w14:paraId="7450F2F2" w14:textId="64382BF4" w:rsidR="00E040FD" w:rsidRDefault="00E040FD">
      <w:pPr>
        <w:spacing w:after="0"/>
        <w:jc w:val="both"/>
        <w:rPr>
          <w:rFonts w:ascii="Times New Roman" w:hAnsi="Times New Roman" w:cs="Times New Roman"/>
          <w:noProof/>
          <w:sz w:val="24"/>
        </w:rPr>
      </w:pPr>
    </w:p>
    <w:p w14:paraId="10433ABC" w14:textId="26B19E0B" w:rsidR="00E040FD" w:rsidRDefault="00740D64">
      <w:pPr>
        <w:pStyle w:val="P68B1DB1-Normal5"/>
        <w:keepNext/>
        <w:spacing w:before="240" w:after="0" w:line="259" w:lineRule="auto"/>
        <w:ind w:left="851"/>
        <w:jc w:val="both"/>
        <w:outlineLvl w:val="2"/>
        <w:rPr>
          <w:rFonts w:eastAsiaTheme="minorEastAsia" w:cs="Times New Roman"/>
          <w:noProof/>
        </w:rPr>
      </w:pPr>
      <w:bookmarkStart w:id="35" w:name="_Toc137472479"/>
      <w:bookmarkStart w:id="36" w:name="_Hlk140143655"/>
      <w:r>
        <w:rPr>
          <w:noProof/>
        </w:rPr>
        <w:t>Investeringar RP-C21-i03: Utökad åtgärd: Energieffektivitet i byggnader som används inom tjänstesektorn</w:t>
      </w:r>
      <w:bookmarkEnd w:id="35"/>
    </w:p>
    <w:bookmarkEnd w:id="36"/>
    <w:p w14:paraId="7E310686" w14:textId="29A7DFDE" w:rsidR="00E040FD" w:rsidRDefault="00740D64">
      <w:pPr>
        <w:pStyle w:val="P68B1DB1-Normal4"/>
        <w:spacing w:after="0"/>
        <w:jc w:val="both"/>
        <w:rPr>
          <w:rFonts w:cs="Times New Roman"/>
          <w:noProof/>
        </w:rPr>
      </w:pPr>
      <w:r>
        <w:rPr>
          <w:noProof/>
        </w:rPr>
        <w:t>Syftet med denna åtgärd är att utöka åtgärden TC-C13 – I03 Energieffektivitet i byggnader som används av tjänstesektorn inom del 13. Den utökade delen av åtgärden ska öka ytan för renoverade privata tjänstebyggnader.</w:t>
      </w:r>
    </w:p>
    <w:p w14:paraId="39D446C7" w14:textId="77777777" w:rsidR="00E040FD" w:rsidRDefault="00740D64">
      <w:pPr>
        <w:pStyle w:val="P68B1DB1-Normal4"/>
        <w:spacing w:after="0"/>
        <w:jc w:val="both"/>
        <w:rPr>
          <w:rFonts w:cs="Times New Roman"/>
          <w:noProof/>
        </w:rPr>
      </w:pPr>
      <w:r>
        <w:rPr>
          <w:noProof/>
        </w:rPr>
        <w:t>Investeringen ska vara genomförd senast den 30 juni 2026.</w:t>
      </w:r>
    </w:p>
    <w:p w14:paraId="09DB76BB" w14:textId="795DCBD2" w:rsidR="00E040FD" w:rsidRDefault="00740D64">
      <w:pPr>
        <w:pStyle w:val="P68B1DB1-Normal5"/>
        <w:keepNext/>
        <w:spacing w:before="240" w:after="0" w:line="259" w:lineRule="auto"/>
        <w:ind w:left="851"/>
        <w:jc w:val="both"/>
        <w:outlineLvl w:val="2"/>
        <w:rPr>
          <w:rFonts w:eastAsiaTheme="minorEastAsia" w:cs="Times New Roman"/>
          <w:noProof/>
        </w:rPr>
      </w:pPr>
      <w:bookmarkStart w:id="37" w:name="_Toc137472480"/>
      <w:r>
        <w:rPr>
          <w:noProof/>
        </w:rPr>
        <w:t>Investering RP-C21-i04-RAM: Energieffektivitet i offentliga byggnader</w:t>
      </w:r>
      <w:bookmarkEnd w:id="37"/>
      <w:r>
        <w:rPr>
          <w:noProof/>
        </w:rPr>
        <w:t xml:space="preserve"> på Madeira</w:t>
      </w:r>
    </w:p>
    <w:p w14:paraId="4366A173" w14:textId="69F8BE3B" w:rsidR="00E040FD" w:rsidRDefault="00740D64">
      <w:pPr>
        <w:pStyle w:val="P68B1DB1-Normal4"/>
        <w:spacing w:before="40" w:after="0" w:line="259" w:lineRule="auto"/>
        <w:jc w:val="both"/>
        <w:rPr>
          <w:rFonts w:cs="Times New Roman"/>
          <w:noProof/>
        </w:rPr>
      </w:pPr>
      <w:r>
        <w:rPr>
          <w:noProof/>
        </w:rPr>
        <w:t>Syftet med denna investering är att främja energirenovering, främja energi- och resurseffektivitet och öka egenförbrukningen av förnybar energi i offentliga byggnader på Madeira.</w:t>
      </w:r>
    </w:p>
    <w:p w14:paraId="534C977C" w14:textId="236F0827" w:rsidR="00E040FD" w:rsidRDefault="00740D64">
      <w:pPr>
        <w:pStyle w:val="P68B1DB1-Normal4"/>
        <w:spacing w:before="40" w:after="0" w:line="259" w:lineRule="auto"/>
        <w:jc w:val="both"/>
        <w:rPr>
          <w:rFonts w:cs="Times New Roman"/>
          <w:noProof/>
        </w:rPr>
      </w:pPr>
      <w:r>
        <w:rPr>
          <w:noProof/>
        </w:rPr>
        <w:t xml:space="preserve">Denna investering ska bestå av åtgärder som främjar renovering, energieffektivitet, utfasning av fossila bränslen, vatteneffektivitet och den cirkulära ekonomin i de offentliga byggnaderna i den autonoma regionen Madeira som leder till medelstora renoveringar. </w:t>
      </w:r>
    </w:p>
    <w:p w14:paraId="3C5C60AA" w14:textId="77777777" w:rsidR="00E040FD" w:rsidRDefault="00740D64">
      <w:pPr>
        <w:pStyle w:val="P68B1DB1-Normal4"/>
        <w:spacing w:before="40" w:after="0" w:line="259" w:lineRule="auto"/>
        <w:jc w:val="both"/>
        <w:rPr>
          <w:rFonts w:cs="Times New Roman"/>
          <w:noProof/>
        </w:rPr>
      </w:pPr>
      <w:r>
        <w:rPr>
          <w:noProof/>
        </w:rPr>
        <w:t xml:space="preserve">Alla byggnader som kan komma i fråga för intervention ska vara offentliga, särskilt inom områdena hälsa, utbildning och regional offentlig förvaltning. </w:t>
      </w:r>
    </w:p>
    <w:p w14:paraId="3EF533D2" w14:textId="5F948B86" w:rsidR="00E040FD" w:rsidRDefault="00740D64">
      <w:pPr>
        <w:pStyle w:val="P68B1DB1-Normal4"/>
        <w:spacing w:before="40" w:after="0" w:line="259" w:lineRule="auto"/>
        <w:jc w:val="both"/>
        <w:rPr>
          <w:rFonts w:cs="Times New Roman"/>
          <w:noProof/>
        </w:rPr>
      </w:pPr>
      <w:r>
        <w:rPr>
          <w:noProof/>
        </w:rPr>
        <w:t>Investeringen ska vara genomförd senast den 31 december 2025.</w:t>
      </w:r>
    </w:p>
    <w:p w14:paraId="5362038B" w14:textId="78F3A9C9" w:rsidR="00E040FD" w:rsidRDefault="00740D64">
      <w:pPr>
        <w:pStyle w:val="P68B1DB1-Normal5"/>
        <w:keepNext/>
        <w:spacing w:before="240" w:after="0" w:line="259" w:lineRule="auto"/>
        <w:ind w:left="851"/>
        <w:jc w:val="both"/>
        <w:outlineLvl w:val="2"/>
        <w:rPr>
          <w:rFonts w:eastAsiaTheme="minorEastAsia" w:cs="Times New Roman"/>
          <w:noProof/>
        </w:rPr>
      </w:pPr>
      <w:bookmarkStart w:id="38" w:name="_Toc137472481"/>
      <w:r>
        <w:rPr>
          <w:noProof/>
        </w:rPr>
        <w:t>Reform RP-C21 – r43: Nationell observationsgrupp för energifattigdom</w:t>
      </w:r>
      <w:bookmarkEnd w:id="38"/>
      <w:r>
        <w:rPr>
          <w:noProof/>
        </w:rPr>
        <w:t xml:space="preserve"> </w:t>
      </w:r>
    </w:p>
    <w:p w14:paraId="722EBB4B" w14:textId="77777777" w:rsidR="00E040FD" w:rsidRDefault="00740D64">
      <w:pPr>
        <w:pStyle w:val="P68B1DB1-Normal4"/>
        <w:spacing w:beforeLines="40" w:before="96" w:after="0" w:line="22" w:lineRule="atLeast"/>
        <w:jc w:val="both"/>
        <w:rPr>
          <w:rFonts w:cs="Times New Roman"/>
          <w:noProof/>
        </w:rPr>
      </w:pPr>
      <w:r>
        <w:rPr>
          <w:noProof/>
        </w:rPr>
        <w:t xml:space="preserve">Syftet med denna reform är att inrätta ett organ för nationella, regionala och lokala myndigheter som ska övervaka situationen när det gäller energifattigdom och analysera och utveckla den offentliga politiken för att utrota den i Portugal. </w:t>
      </w:r>
    </w:p>
    <w:p w14:paraId="05D42E40" w14:textId="672AEEFC" w:rsidR="00E040FD" w:rsidRDefault="00740D64">
      <w:pPr>
        <w:pStyle w:val="P68B1DB1-Normal4"/>
        <w:spacing w:beforeLines="40" w:before="96" w:after="0" w:line="22" w:lineRule="atLeast"/>
        <w:jc w:val="both"/>
        <w:rPr>
          <w:rFonts w:eastAsia="MS Mincho" w:cs="Times New Roman"/>
          <w:noProof/>
        </w:rPr>
      </w:pPr>
      <w:r>
        <w:rPr>
          <w:noProof/>
        </w:rPr>
        <w:t xml:space="preserve">Genom reformen ska det inrättas en nationell observationsgrupp för energifattigdom (ONPE), som ska ansvara för att </w:t>
      </w:r>
    </w:p>
    <w:p w14:paraId="37FF066C" w14:textId="57280600" w:rsidR="00E040FD" w:rsidRDefault="00740D64">
      <w:pPr>
        <w:pStyle w:val="ListParagraph"/>
        <w:keepNext w:val="0"/>
        <w:numPr>
          <w:ilvl w:val="0"/>
          <w:numId w:val="86"/>
        </w:numPr>
        <w:spacing w:beforeLines="40" w:before="96" w:after="0" w:line="22" w:lineRule="atLeast"/>
        <w:rPr>
          <w:rFonts w:eastAsia="MS Mincho"/>
          <w:noProof/>
        </w:rPr>
      </w:pPr>
      <w:r>
        <w:rPr>
          <w:noProof/>
        </w:rPr>
        <w:t>Övervaka, övervaka, samordna och rapportera om genomförandet av den långsiktiga strategin för energifattigdom (ELPPE).</w:t>
      </w:r>
    </w:p>
    <w:p w14:paraId="4DA6276A" w14:textId="77777777" w:rsidR="00E040FD" w:rsidRDefault="00740D64">
      <w:pPr>
        <w:pStyle w:val="ListParagraph"/>
        <w:keepNext w:val="0"/>
        <w:numPr>
          <w:ilvl w:val="0"/>
          <w:numId w:val="86"/>
        </w:numPr>
        <w:spacing w:beforeLines="40" w:before="96" w:after="0" w:line="22" w:lineRule="atLeast"/>
        <w:rPr>
          <w:noProof/>
        </w:rPr>
      </w:pPr>
      <w:r>
        <w:rPr>
          <w:noProof/>
        </w:rPr>
        <w:t>Samordning av det energifattigdomsrelaterade politiska arbetet i samband med utformningen och genomförandet av den nationella energi- och klimatplanen och de nationella sociala klimatplanerna.</w:t>
      </w:r>
    </w:p>
    <w:p w14:paraId="7A42E09A" w14:textId="357B042B" w:rsidR="00E040FD" w:rsidRDefault="00740D64">
      <w:pPr>
        <w:pStyle w:val="ListParagraph"/>
        <w:keepNext w:val="0"/>
        <w:numPr>
          <w:ilvl w:val="0"/>
          <w:numId w:val="86"/>
        </w:numPr>
        <w:spacing w:beforeLines="40" w:before="96" w:after="0" w:line="22" w:lineRule="atLeast"/>
        <w:rPr>
          <w:rFonts w:eastAsia="MS Mincho"/>
          <w:noProof/>
        </w:rPr>
      </w:pPr>
      <w:r>
        <w:rPr>
          <w:noProof/>
        </w:rPr>
        <w:t>Föreslå regeringen tioåriga handlingsplaner (horisonterna 2030, 2040 och 2050) samt en översyn av dessa och en översyn av ELPPE, med en frekvens på minst tre respektive fem år,</w:t>
      </w:r>
    </w:p>
    <w:p w14:paraId="72AF5EA4" w14:textId="77777777" w:rsidR="00E040FD" w:rsidRDefault="00740D64">
      <w:pPr>
        <w:pStyle w:val="ListParagraph"/>
        <w:keepNext w:val="0"/>
        <w:numPr>
          <w:ilvl w:val="0"/>
          <w:numId w:val="86"/>
        </w:numPr>
        <w:spacing w:beforeLines="40" w:before="96" w:after="0" w:line="22" w:lineRule="atLeast"/>
        <w:rPr>
          <w:rFonts w:eastAsia="MS Mincho"/>
          <w:noProof/>
        </w:rPr>
      </w:pPr>
      <w:r>
        <w:rPr>
          <w:noProof/>
        </w:rPr>
        <w:t>Genomföra kapacitetsuppbyggande åtgärder för offentliga och privata, nationella, regionala och lokala aktörer som deltar i genomförandet av den långsiktiga strategin för energifattigdom.</w:t>
      </w:r>
    </w:p>
    <w:p w14:paraId="4CCEAC98" w14:textId="77777777" w:rsidR="00E040FD" w:rsidRDefault="00740D64">
      <w:pPr>
        <w:pStyle w:val="ListParagraph"/>
        <w:keepNext w:val="0"/>
        <w:numPr>
          <w:ilvl w:val="0"/>
          <w:numId w:val="86"/>
        </w:numPr>
        <w:spacing w:beforeLines="40" w:before="96" w:after="0" w:line="22" w:lineRule="atLeast"/>
        <w:rPr>
          <w:noProof/>
        </w:rPr>
      </w:pPr>
      <w:r>
        <w:rPr>
          <w:noProof/>
        </w:rPr>
        <w:t>Identifiera och övervaka hushåll som lever i energifattigdom genom att inrätta och genomföra ett verktyg för regelbundna undersökningar.</w:t>
      </w:r>
    </w:p>
    <w:p w14:paraId="2FC0162A" w14:textId="77777777" w:rsidR="00E040FD" w:rsidRDefault="00740D64">
      <w:pPr>
        <w:pStyle w:val="ListParagraph"/>
        <w:keepNext w:val="0"/>
        <w:numPr>
          <w:ilvl w:val="0"/>
          <w:numId w:val="86"/>
        </w:numPr>
        <w:spacing w:beforeLines="40" w:before="96" w:after="0" w:line="22" w:lineRule="atLeast"/>
        <w:rPr>
          <w:rFonts w:eastAsia="MS Mincho"/>
          <w:noProof/>
        </w:rPr>
      </w:pPr>
      <w:r>
        <w:rPr>
          <w:noProof/>
        </w:rPr>
        <w:t>Föreslå ett finansieringsinstrument (eller skatteinstrument) för energieffektivitetsåtgärder som riktar sig till hushåll som lever i energifattigdom.</w:t>
      </w:r>
    </w:p>
    <w:p w14:paraId="771F2604" w14:textId="77777777" w:rsidR="00E040FD" w:rsidRDefault="00740D64">
      <w:pPr>
        <w:pStyle w:val="ListParagraph"/>
        <w:keepNext w:val="0"/>
        <w:numPr>
          <w:ilvl w:val="0"/>
          <w:numId w:val="86"/>
        </w:numPr>
        <w:spacing w:beforeLines="40" w:before="96" w:after="0" w:line="22" w:lineRule="atLeast"/>
        <w:rPr>
          <w:rFonts w:eastAsia="MS Mincho"/>
          <w:noProof/>
        </w:rPr>
      </w:pPr>
      <w:r>
        <w:rPr>
          <w:noProof/>
        </w:rPr>
        <w:t>Utveckla material och kampanjer för att öka energikompetensen i enlighet med profilen för hushåll som lever i energifattigdom.</w:t>
      </w:r>
    </w:p>
    <w:p w14:paraId="010262B7" w14:textId="77777777" w:rsidR="00E040FD" w:rsidRDefault="00740D64">
      <w:pPr>
        <w:pStyle w:val="ListParagraph"/>
        <w:keepNext w:val="0"/>
        <w:numPr>
          <w:ilvl w:val="0"/>
          <w:numId w:val="86"/>
        </w:numPr>
        <w:spacing w:beforeLines="40" w:before="96" w:after="0" w:line="22" w:lineRule="atLeast"/>
        <w:rPr>
          <w:rFonts w:eastAsia="MS Mincho"/>
          <w:noProof/>
        </w:rPr>
      </w:pPr>
      <w:r>
        <w:rPr>
          <w:noProof/>
        </w:rPr>
        <w:t xml:space="preserve">Främja och sprida arbete med anknytning till energifattigdom, inbegripet inrättande av ett nätverk av enheter och berörda aktörer i syfte att ta itu med frågan. </w:t>
      </w:r>
    </w:p>
    <w:p w14:paraId="5391B250" w14:textId="270C4ECC" w:rsidR="00E040FD" w:rsidRDefault="00740D64">
      <w:pPr>
        <w:pStyle w:val="P68B1DB1-Normal4"/>
        <w:spacing w:beforeLines="40" w:before="96" w:after="0" w:line="22" w:lineRule="atLeast"/>
        <w:jc w:val="both"/>
        <w:rPr>
          <w:rFonts w:eastAsia="@MS Mincho" w:cs="Times New Roman"/>
          <w:noProof/>
        </w:rPr>
      </w:pPr>
      <w:r>
        <w:rPr>
          <w:noProof/>
        </w:rPr>
        <w:t xml:space="preserve">ONPE ska i sin styrningsstruktur inkludera i) en förvaltningsenhet, som ska ansvara för den operativa förvaltningen av ONPE, ii) en strategisk kommitté under ledning av ministeriet för miljö och klimatpolitik och med medlemmar från relevanta statliga områden (såsom bostäder, social trygghet, hälso- och sjukvård, finansiering, utbildning, territoriell sammanhållning), och iii) en rådgivande kommitté, inbegripet etablerade intressenter såsom universitet, kommuner, lokala energiorgan, icke-statliga organisationer som deltar i åtgärder för att utrota energifattigdom, energinätoperatörer, konsumenter och fastighetsägarföreningar, branschorganisationer och privata finansenheter. Reformen ska säkerställa att dessa organ samarbetar och har en tydlig roll när det gäller att uppnå de mål som fastställs i mandatet för ONPE. Samarbete mellan ONPE och de portugisiska statistikorganen ska säkerställas för uppgiftsinsamlingen. </w:t>
      </w:r>
    </w:p>
    <w:p w14:paraId="17728ADF" w14:textId="315EB82E" w:rsidR="00E040FD" w:rsidRDefault="00740D64">
      <w:pPr>
        <w:pStyle w:val="P68B1DB1-Normal4"/>
        <w:spacing w:beforeLines="40" w:before="96" w:after="0" w:line="22" w:lineRule="atLeast"/>
        <w:jc w:val="both"/>
        <w:rPr>
          <w:rFonts w:cs="Times New Roman"/>
          <w:noProof/>
        </w:rPr>
      </w:pPr>
      <w:r>
        <w:rPr>
          <w:noProof/>
        </w:rPr>
        <w:t>Reformen ska också säkerställa inrättandet av ett finansieringsinstrument för energieffektivitetsåtgärder inom bostadssektorn för att bekämpa energifattigdom för de identifierade hushållsprofilerna, som antas genom ikraftträdandet av en lag eller antagandet av ett beslut av ett relevant finansinstitut.</w:t>
      </w:r>
    </w:p>
    <w:p w14:paraId="204649DB" w14:textId="77777777" w:rsidR="00E040FD" w:rsidRDefault="00740D64">
      <w:pPr>
        <w:pStyle w:val="P68B1DB1-Normal4"/>
        <w:spacing w:beforeLines="40" w:before="96" w:after="0" w:line="22" w:lineRule="atLeast"/>
        <w:jc w:val="both"/>
        <w:rPr>
          <w:rFonts w:cs="Times New Roman"/>
          <w:noProof/>
        </w:rPr>
      </w:pPr>
      <w:r>
        <w:rPr>
          <w:noProof/>
        </w:rPr>
        <w:t xml:space="preserve">Genomförandet av denna reform ska vara slutfört senast den 31 mars 2025.  </w:t>
      </w:r>
    </w:p>
    <w:p w14:paraId="6F25AA6D" w14:textId="339B7EBE" w:rsidR="00E040FD" w:rsidRDefault="00740D64">
      <w:pPr>
        <w:pStyle w:val="P68B1DB1-Normal5"/>
        <w:keepNext/>
        <w:spacing w:before="240" w:after="0" w:line="259" w:lineRule="auto"/>
        <w:ind w:left="851"/>
        <w:jc w:val="both"/>
        <w:outlineLvl w:val="2"/>
        <w:rPr>
          <w:rFonts w:eastAsiaTheme="minorEastAsia" w:cs="Times New Roman"/>
          <w:noProof/>
        </w:rPr>
      </w:pPr>
      <w:bookmarkStart w:id="39" w:name="_Toc137472482"/>
      <w:r>
        <w:rPr>
          <w:noProof/>
        </w:rPr>
        <w:t xml:space="preserve">Reform RP-C21 – r44: Utveckling av gemensamma kontaktpunkter för energieffektivitet för medborgarna (medborgarnas energiområden) </w:t>
      </w:r>
      <w:bookmarkEnd w:id="39"/>
    </w:p>
    <w:p w14:paraId="13080FDC" w14:textId="77777777" w:rsidR="00E040FD" w:rsidRDefault="00740D64">
      <w:pPr>
        <w:pStyle w:val="P68B1DB1-Normal4"/>
        <w:spacing w:beforeLines="40" w:before="96" w:after="0" w:line="22" w:lineRule="atLeast"/>
        <w:jc w:val="both"/>
        <w:rPr>
          <w:rFonts w:cs="Times New Roman"/>
          <w:noProof/>
        </w:rPr>
      </w:pPr>
      <w:r>
        <w:rPr>
          <w:noProof/>
        </w:rPr>
        <w:t xml:space="preserve">Syftet med denna reform är att stödja medborgarna i utarbetandet och genomförandet av åtgärder för energieffektivitet och förnybar energi och att anta hållbara beteenden när det gäller energianvändning genom ökad energikompetens. </w:t>
      </w:r>
    </w:p>
    <w:p w14:paraId="375532EE" w14:textId="046F8E8A" w:rsidR="00E040FD" w:rsidRDefault="00740D64">
      <w:pPr>
        <w:pStyle w:val="P68B1DB1-Normal4"/>
        <w:spacing w:beforeLines="40" w:before="96" w:after="0" w:line="22" w:lineRule="atLeast"/>
        <w:jc w:val="both"/>
        <w:rPr>
          <w:rFonts w:cs="Times New Roman"/>
          <w:noProof/>
        </w:rPr>
      </w:pPr>
      <w:r>
        <w:rPr>
          <w:noProof/>
        </w:rPr>
        <w:t>På grundval av det pilotprojekt som utvecklats inom ramen för investeringar TC-C13 – I01.01 ska reformen skapa gemensamma kontaktpunkter för energieffektivitet för medborgarna (medborgarenergiområden</w:t>
      </w:r>
      <w:r>
        <w:rPr>
          <w:i/>
          <w:noProof/>
        </w:rPr>
        <w:t xml:space="preserve"> </w:t>
      </w:r>
      <w:r>
        <w:rPr>
          <w:noProof/>
        </w:rPr>
        <w:t xml:space="preserve">– </w:t>
      </w:r>
      <w:r>
        <w:rPr>
          <w:i/>
          <w:noProof/>
        </w:rPr>
        <w:t>Espaços Cidadão Energia</w:t>
      </w:r>
      <w:r>
        <w:rPr>
          <w:noProof/>
        </w:rPr>
        <w:t>) som inrättas av lokala eller regionala myndigheter eller andra lokala enheter och som ska ingå i de kommunala klimathandlingsplanerna i enlighet med lag nr 98/2021 och erbjuda en rad tjänster till invånarna, såsom</w:t>
      </w:r>
    </w:p>
    <w:p w14:paraId="5A8F9D4A" w14:textId="77777777" w:rsidR="00E040FD" w:rsidRDefault="00740D64">
      <w:pPr>
        <w:pStyle w:val="ListParagraph"/>
        <w:keepNext w:val="0"/>
        <w:numPr>
          <w:ilvl w:val="0"/>
          <w:numId w:val="87"/>
        </w:numPr>
        <w:spacing w:beforeLines="40" w:before="96" w:after="0" w:line="22" w:lineRule="atLeast"/>
        <w:rPr>
          <w:noProof/>
        </w:rPr>
      </w:pPr>
      <w:r>
        <w:rPr>
          <w:noProof/>
        </w:rPr>
        <w:t>Tillhandahållande av information och tekniskt stöd, från tolkning av energiräkningar till hållbar energianvändning och konsumenträttigheter.</w:t>
      </w:r>
    </w:p>
    <w:p w14:paraId="52920F00" w14:textId="77777777" w:rsidR="00E040FD" w:rsidRDefault="00740D64">
      <w:pPr>
        <w:pStyle w:val="ListParagraph"/>
        <w:keepNext w:val="0"/>
        <w:numPr>
          <w:ilvl w:val="0"/>
          <w:numId w:val="87"/>
        </w:numPr>
        <w:spacing w:beforeLines="40" w:before="96" w:after="0" w:line="22" w:lineRule="atLeast"/>
        <w:rPr>
          <w:noProof/>
        </w:rPr>
      </w:pPr>
      <w:r>
        <w:rPr>
          <w:noProof/>
        </w:rPr>
        <w:t>Rådgivning, inbegripet för upphandling av energi, inköp av utrustning, val av lösningar för energieffektivitet och förnybar energi, urval av kommersiella erbjudanden för genomförande av lösningar.</w:t>
      </w:r>
    </w:p>
    <w:p w14:paraId="48565B26" w14:textId="77777777" w:rsidR="00E040FD" w:rsidRDefault="00740D64">
      <w:pPr>
        <w:pStyle w:val="ListParagraph"/>
        <w:keepNext w:val="0"/>
        <w:numPr>
          <w:ilvl w:val="0"/>
          <w:numId w:val="87"/>
        </w:numPr>
        <w:spacing w:beforeLines="40" w:before="96" w:after="0" w:line="22" w:lineRule="atLeast"/>
        <w:rPr>
          <w:noProof/>
        </w:rPr>
      </w:pPr>
      <w:r>
        <w:rPr>
          <w:noProof/>
        </w:rPr>
        <w:t>Energibedömning av bostäder och investeringsförslag i syfte att öka värmekomforten och minska energikostnaderna.</w:t>
      </w:r>
    </w:p>
    <w:p w14:paraId="33F3AD14" w14:textId="77777777" w:rsidR="00E040FD" w:rsidRDefault="00740D64">
      <w:pPr>
        <w:pStyle w:val="ListParagraph"/>
        <w:keepNext w:val="0"/>
        <w:numPr>
          <w:ilvl w:val="0"/>
          <w:numId w:val="87"/>
        </w:numPr>
        <w:spacing w:beforeLines="40" w:before="96" w:after="0" w:line="22" w:lineRule="atLeast"/>
        <w:rPr>
          <w:noProof/>
        </w:rPr>
      </w:pPr>
      <w:r>
        <w:rPr>
          <w:noProof/>
        </w:rPr>
        <w:t>Rådgivning om tillgång till incitament och finansieringsinstrument, offentliga och privata, nationella och lokala.</w:t>
      </w:r>
    </w:p>
    <w:p w14:paraId="26439DCD" w14:textId="77777777" w:rsidR="00E040FD" w:rsidRDefault="00740D64">
      <w:pPr>
        <w:pStyle w:val="ListParagraph"/>
        <w:keepNext w:val="0"/>
        <w:numPr>
          <w:ilvl w:val="0"/>
          <w:numId w:val="87"/>
        </w:numPr>
        <w:spacing w:beforeLines="40" w:before="96" w:after="0" w:line="22" w:lineRule="atLeast"/>
        <w:rPr>
          <w:noProof/>
        </w:rPr>
      </w:pPr>
      <w:r>
        <w:rPr>
          <w:noProof/>
        </w:rPr>
        <w:t>Samla in uppgifter om användare som ska delas med den nationella observationsgruppen för energifattigdom.</w:t>
      </w:r>
    </w:p>
    <w:p w14:paraId="0B098A88" w14:textId="214DA97F" w:rsidR="00E040FD" w:rsidRDefault="00740D64">
      <w:pPr>
        <w:pStyle w:val="P68B1DB1-Normal4"/>
        <w:spacing w:beforeLines="40" w:before="96" w:after="0" w:line="22" w:lineRule="atLeast"/>
        <w:jc w:val="both"/>
        <w:rPr>
          <w:rFonts w:cs="Times New Roman"/>
          <w:i/>
          <w:noProof/>
        </w:rPr>
      </w:pPr>
      <w:r>
        <w:rPr>
          <w:noProof/>
        </w:rPr>
        <w:t>Kapacitetsuppbyggande åtgärder ska vidtas för att se till att minst trehundra personer utbildas i driften av medborgarnas energiområden</w:t>
      </w:r>
      <w:r>
        <w:rPr>
          <w:i/>
          <w:noProof/>
        </w:rPr>
        <w:t>.</w:t>
      </w:r>
    </w:p>
    <w:p w14:paraId="08143AB5" w14:textId="77777777" w:rsidR="00E040FD" w:rsidRDefault="00740D64">
      <w:pPr>
        <w:pStyle w:val="P68B1DB1-Normal4"/>
        <w:spacing w:beforeLines="40" w:before="96" w:after="0" w:line="22" w:lineRule="atLeast"/>
        <w:jc w:val="both"/>
        <w:rPr>
          <w:rFonts w:cs="Times New Roman"/>
          <w:noProof/>
        </w:rPr>
      </w:pPr>
      <w:r>
        <w:rPr>
          <w:noProof/>
        </w:rPr>
        <w:t xml:space="preserve">Genomförandet av denna reform ska vara slutfört senast den 31 mars 2025. </w:t>
      </w:r>
    </w:p>
    <w:p w14:paraId="52B18F1E" w14:textId="4BD6F41C" w:rsidR="00E040FD" w:rsidRDefault="00740D64">
      <w:pPr>
        <w:pStyle w:val="P68B1DB1-Normal5"/>
        <w:keepNext/>
        <w:spacing w:before="240" w:after="0" w:line="259" w:lineRule="auto"/>
        <w:ind w:left="851"/>
        <w:jc w:val="both"/>
        <w:outlineLvl w:val="2"/>
        <w:rPr>
          <w:rFonts w:eastAsiaTheme="minorEastAsia" w:cs="Times New Roman"/>
          <w:noProof/>
        </w:rPr>
      </w:pPr>
      <w:bookmarkStart w:id="40" w:name="_Toc137472487"/>
      <w:r>
        <w:rPr>
          <w:noProof/>
        </w:rPr>
        <w:t>Investeringar RP-C21-i05: Stöd till utvecklingen av grön industri</w:t>
      </w:r>
    </w:p>
    <w:bookmarkEnd w:id="40"/>
    <w:p w14:paraId="00CC59FA" w14:textId="4B5BBB1D" w:rsidR="00E040FD" w:rsidRDefault="00740D64">
      <w:pPr>
        <w:pStyle w:val="P68B1DB1-Normal4"/>
        <w:spacing w:beforeLines="40" w:before="96" w:after="0" w:line="22" w:lineRule="atLeast"/>
        <w:jc w:val="both"/>
        <w:rPr>
          <w:rFonts w:cs="Times New Roman"/>
          <w:noProof/>
          <w:highlight w:val="yellow"/>
        </w:rPr>
      </w:pPr>
      <w:r>
        <w:rPr>
          <w:noProof/>
        </w:rPr>
        <w:t>Syftet med denna investering, som riktar sig till företag, är att öka produktionskapaciteten för teknik för förnybar energi, utfasning av fossila bränslen och energieffektivitet, i linje med målen i den nationella energi- och klimatplanen för 2030 och målen i industriplanen för den europeiska gröna given (COM (2023) 62 final).</w:t>
      </w:r>
    </w:p>
    <w:p w14:paraId="556C247F" w14:textId="1E2A984E" w:rsidR="00E040FD" w:rsidRDefault="00740D64">
      <w:pPr>
        <w:pStyle w:val="P68B1DB1-Normal4"/>
        <w:spacing w:beforeLines="40" w:before="96" w:after="0" w:line="22" w:lineRule="atLeast"/>
        <w:jc w:val="both"/>
        <w:rPr>
          <w:rFonts w:cs="Times New Roman"/>
          <w:noProof/>
        </w:rPr>
      </w:pPr>
      <w:r>
        <w:rPr>
          <w:noProof/>
        </w:rPr>
        <w:t xml:space="preserve">Investeringen ska bestå av bidrag som riktar sig till enskilda företag eller projekt och ska stödja industriella investeringar i produktion av strategisk teknik för klimatomställningen, som ska vara direkt kopplad till solceller och solceller, elektrolysanläggningar och bränsleceller, landbaserad vindkraft och havsbaserad förnybar energi, hållbar biogas/biometan, batterier och lagring, avskiljning och lagring av koldioxid, värmepumpar, energieffektivitet, geotermisk energi eller nätlösningar.  </w:t>
      </w:r>
    </w:p>
    <w:p w14:paraId="30C0F048" w14:textId="78A9077F" w:rsidR="00E040FD" w:rsidRDefault="00740D64">
      <w:pPr>
        <w:pStyle w:val="P68B1DB1-Normal4"/>
        <w:spacing w:beforeLines="40" w:before="96" w:after="0" w:line="22" w:lineRule="atLeast"/>
        <w:jc w:val="both"/>
        <w:rPr>
          <w:rFonts w:cs="Times New Roman"/>
          <w:noProof/>
        </w:rPr>
      </w:pPr>
      <w:r>
        <w:rPr>
          <w:noProof/>
        </w:rPr>
        <w:t>För att säkerställa att åtgärden är förenlig med principen om att inte orsaka betydande skada inom ramen för faciliteten för återhämtning och resiliens i enlighet med den tekniska vägledningen om att inte orsaka betydande skada (2021/C58/01) ska de kriterier för stödberättigande som ingår i kravspecifikationen för kommande ansökningsomgångar för projekt</w:t>
      </w:r>
    </w:p>
    <w:p w14:paraId="74CED351" w14:textId="01F86180" w:rsidR="00E040FD" w:rsidRDefault="00740D64">
      <w:pPr>
        <w:pStyle w:val="ListParagraph"/>
        <w:keepNext w:val="0"/>
        <w:numPr>
          <w:ilvl w:val="0"/>
          <w:numId w:val="118"/>
        </w:numPr>
        <w:spacing w:line="240" w:lineRule="auto"/>
        <w:rPr>
          <w:noProof/>
        </w:rPr>
      </w:pPr>
      <w:r>
        <w:rPr>
          <w:noProof/>
        </w:rPr>
        <w:t>undanta följande verksamheter och tillgångar från stödberättigande: (i) Verksamhet och tillgångar med anknytning till fossila bränslen, inbegripet användning i senare led</w:t>
      </w:r>
      <w:r>
        <w:rPr>
          <w:rStyle w:val="FootnoteReference"/>
          <w:noProof/>
        </w:rPr>
        <w:footnoteReference w:id="78"/>
      </w:r>
      <w:r>
        <w:rPr>
          <w:noProof/>
        </w:rPr>
        <w:t>. II) Verksamhet och tillgångar inom ramen för EU:s utsläppshandelssystem som uppnår beräknade växthusgasutsläpp som inte är lägre än de relevanta riktmärkena</w:t>
      </w:r>
      <w:r>
        <w:rPr>
          <w:rStyle w:val="FootnoteReference"/>
          <w:noProof/>
        </w:rPr>
        <w:footnoteReference w:id="79"/>
      </w:r>
      <w:r>
        <w:rPr>
          <w:noProof/>
        </w:rPr>
        <w:t xml:space="preserve"> och de mekaniska biologiska reningsverken</w:t>
      </w:r>
      <w:r>
        <w:rPr>
          <w:rStyle w:val="FootnoteReference"/>
          <w:noProof/>
        </w:rPr>
        <w:footnoteReference w:id="80"/>
      </w:r>
      <w:r>
        <w:rPr>
          <w:noProof/>
        </w:rPr>
        <w:t>. III) Verksamhet och tillgångar i samband med avfallsdeponier, förbränningsanläggningar</w:t>
      </w:r>
      <w:r>
        <w:rPr>
          <w:rStyle w:val="FootnoteReference"/>
          <w:noProof/>
        </w:rPr>
        <w:footnoteReference w:id="81"/>
      </w:r>
      <w:r>
        <w:rPr>
          <w:noProof/>
        </w:rPr>
        <w:t xml:space="preserve"> och anläggningar för mekanisk biologisk behandling</w:t>
      </w:r>
      <w:r>
        <w:rPr>
          <w:rStyle w:val="FootnoteReference"/>
          <w:noProof/>
        </w:rPr>
        <w:footnoteReference w:id="82"/>
      </w:r>
      <w:r>
        <w:rPr>
          <w:noProof/>
        </w:rPr>
        <w:t xml:space="preserve">. och </w:t>
      </w:r>
    </w:p>
    <w:p w14:paraId="3D8DD079" w14:textId="77777777" w:rsidR="00E040FD" w:rsidRDefault="00740D64">
      <w:pPr>
        <w:pStyle w:val="ListParagraph"/>
        <w:numPr>
          <w:ilvl w:val="0"/>
          <w:numId w:val="74"/>
        </w:numPr>
        <w:spacing w:beforeLines="40" w:before="96" w:after="0" w:line="240" w:lineRule="auto"/>
        <w:rPr>
          <w:noProof/>
        </w:rPr>
      </w:pPr>
      <w:r>
        <w:rPr>
          <w:noProof/>
        </w:rPr>
        <w:t>kräva att mottagaren följer relevant EU-lagstiftning och nationell miljölagstiftning.</w:t>
      </w:r>
    </w:p>
    <w:p w14:paraId="04838A27" w14:textId="77777777" w:rsidR="00E040FD" w:rsidRDefault="00740D64">
      <w:pPr>
        <w:pStyle w:val="P68B1DB1-Normal4"/>
        <w:spacing w:beforeLines="40" w:before="96" w:after="0" w:line="22" w:lineRule="atLeast"/>
        <w:jc w:val="both"/>
        <w:rPr>
          <w:rFonts w:eastAsia="MS Mincho" w:cs="Times New Roman"/>
          <w:noProof/>
        </w:rPr>
      </w:pPr>
      <w:r>
        <w:rPr>
          <w:noProof/>
        </w:rPr>
        <w:t xml:space="preserve">Genomförandet av denna investering ska vara slutfört senast den 30 juni 2026.  </w:t>
      </w:r>
    </w:p>
    <w:p w14:paraId="2F9D54F1" w14:textId="2C2676E2"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Reform RP-C21 – r45: Grön kompetens</w:t>
      </w:r>
    </w:p>
    <w:p w14:paraId="41D07A31" w14:textId="03311566" w:rsidR="00E040FD" w:rsidRDefault="00740D64">
      <w:pPr>
        <w:pStyle w:val="P68B1DB1-Normal4"/>
        <w:spacing w:beforeLines="40" w:before="96" w:after="0" w:line="22" w:lineRule="atLeast"/>
        <w:jc w:val="both"/>
        <w:rPr>
          <w:rFonts w:cs="Times New Roman"/>
          <w:noProof/>
        </w:rPr>
      </w:pPr>
      <w:r>
        <w:rPr>
          <w:noProof/>
        </w:rPr>
        <w:t xml:space="preserve">Syftet med denna reform är att skapa ett erbjudande om långsiktig yrkesutbildning för utveckling, erkännande, validering och certifiering av grön kompetens i syfte att förebygga risken för arbetslöshet, främja bibehållande av arbetstillfällen och stimulera skapandet av nya arbetstillfällen. </w:t>
      </w:r>
    </w:p>
    <w:p w14:paraId="75EC7F11" w14:textId="0661E934" w:rsidR="00E040FD" w:rsidRDefault="00740D64">
      <w:pPr>
        <w:pStyle w:val="P68B1DB1-Normal4"/>
        <w:spacing w:beforeLines="40" w:before="96" w:after="0" w:line="22" w:lineRule="atLeast"/>
        <w:jc w:val="both"/>
        <w:rPr>
          <w:rFonts w:cs="Times New Roman"/>
          <w:noProof/>
        </w:rPr>
      </w:pPr>
      <w:r>
        <w:rPr>
          <w:noProof/>
        </w:rPr>
        <w:t>Reformen ska bestå av följande:</w:t>
      </w:r>
    </w:p>
    <w:p w14:paraId="0CD3A424" w14:textId="41E7B03D" w:rsidR="00E040FD" w:rsidRDefault="00740D64">
      <w:pPr>
        <w:pStyle w:val="ListParagraph"/>
        <w:keepNext w:val="0"/>
        <w:numPr>
          <w:ilvl w:val="0"/>
          <w:numId w:val="88"/>
        </w:numPr>
        <w:spacing w:beforeLines="40" w:before="96" w:after="0" w:line="22" w:lineRule="atLeast"/>
        <w:rPr>
          <w:noProof/>
        </w:rPr>
      </w:pPr>
      <w:r>
        <w:rPr>
          <w:noProof/>
        </w:rPr>
        <w:t>Programmet för grönt arbete och grön kompetens: tillhandahålla yrkesutbildning och omskolning till 12 500 arbetstagare som deltar i deras arbetsgivares energiomställningsprocesser, arbetstagare som riskerar att bli arbetslösa på grund av nedläggningen av fossilbränsleindustrier samt arbetslösa personer. Den ska genomföras av institutet för sysselsättning och yrkesutbildning genom utbildning på kort och medellång sikt och bör inriktas på utveckling av grön kompetens.</w:t>
      </w:r>
    </w:p>
    <w:p w14:paraId="480A983D" w14:textId="34B135A1" w:rsidR="00E040FD" w:rsidRDefault="00740D64">
      <w:pPr>
        <w:pStyle w:val="ListParagraph"/>
        <w:keepNext w:val="0"/>
        <w:numPr>
          <w:ilvl w:val="0"/>
          <w:numId w:val="88"/>
        </w:numPr>
        <w:spacing w:beforeLines="40" w:before="96" w:after="0" w:line="22" w:lineRule="atLeast"/>
        <w:rPr>
          <w:noProof/>
        </w:rPr>
      </w:pPr>
      <w:r>
        <w:rPr>
          <w:noProof/>
        </w:rPr>
        <w:t xml:space="preserve">Kurser i utbildningscentrumet för energiomställning: tillhandahållande av långsiktig utbildning för ytterligare 12 500 personer på områdena energiomställning och klimatåtgärder, inbegripet förnybar energi, grön vätgas, syntetiska icke-biologiska bränslen och energieffektivitet. </w:t>
      </w:r>
    </w:p>
    <w:p w14:paraId="492E8053" w14:textId="095C1539" w:rsidR="00E040FD" w:rsidRDefault="00740D64">
      <w:pPr>
        <w:pStyle w:val="P68B1DB1-Normal4"/>
        <w:spacing w:beforeLines="40" w:before="96" w:after="0" w:line="22" w:lineRule="atLeast"/>
        <w:jc w:val="both"/>
        <w:rPr>
          <w:noProof/>
        </w:rPr>
      </w:pPr>
      <w:r>
        <w:rPr>
          <w:noProof/>
        </w:rPr>
        <w:t xml:space="preserve">Utöver stödmottagarna i programmet för grönt arbete och grön kompetens ska prioritet ges de stödmottagare som är villiga att förvärva färdigheter som identifierats som avgörande för genomförandet av projekt för förnybar energi (inklusive vätgas) och energieffektivitet. </w:t>
      </w:r>
    </w:p>
    <w:p w14:paraId="2E4CC163" w14:textId="3B761BEC" w:rsidR="00E040FD" w:rsidRDefault="00740D64">
      <w:pPr>
        <w:pStyle w:val="P68B1DB1-Normal4"/>
        <w:spacing w:beforeLines="40" w:before="96" w:after="0" w:line="22" w:lineRule="atLeast"/>
        <w:jc w:val="both"/>
        <w:rPr>
          <w:rFonts w:eastAsiaTheme="minorEastAsia" w:cs="Times New Roman"/>
          <w:noProof/>
        </w:rPr>
      </w:pPr>
      <w:r>
        <w:rPr>
          <w:noProof/>
        </w:rPr>
        <w:t xml:space="preserve">Utbildningsvägar ska utvecklas i enlighet med de behov som identifierats av marknaden och branschorganisationerna. Aktörerna på området förnybar energi och energieffektivitet ska identifiera vilka färdigheter som anses vara avgörande på grundval av efterfrågan på arbetsmarknaden. Utbildningens innehåll ska återspegla dessa behov. Utbildningsutbudet ska utvecklas av utbildningscentrumet för energiomställning. </w:t>
      </w:r>
      <w:bookmarkStart w:id="41" w:name="_Int_OV5GmRrb"/>
      <w:bookmarkStart w:id="42" w:name="_Int_knsy2AsN"/>
      <w:bookmarkEnd w:id="41"/>
      <w:bookmarkEnd w:id="42"/>
    </w:p>
    <w:p w14:paraId="1A64A2BF" w14:textId="77777777" w:rsidR="00E040FD" w:rsidRDefault="00740D64">
      <w:pPr>
        <w:pStyle w:val="P68B1DB1-Normal4"/>
        <w:spacing w:beforeLines="40" w:before="96" w:after="0" w:line="22" w:lineRule="atLeast"/>
        <w:jc w:val="both"/>
        <w:rPr>
          <w:rFonts w:cs="Times New Roman"/>
          <w:noProof/>
        </w:rPr>
      </w:pPr>
      <w:r>
        <w:rPr>
          <w:noProof/>
        </w:rPr>
        <w:t xml:space="preserve">Genomförandet av reformen ska vara slutfört senast den 31 december 2025.  </w:t>
      </w:r>
    </w:p>
    <w:p w14:paraId="52BA1BAC" w14:textId="753C1FAF"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Reform RP-C21 – r46: Regelverk för förnybar vätgas</w:t>
      </w:r>
    </w:p>
    <w:p w14:paraId="48C489B3" w14:textId="77777777" w:rsidR="00E040FD" w:rsidRDefault="00740D64">
      <w:pPr>
        <w:pStyle w:val="P68B1DB1-Normal4"/>
        <w:spacing w:before="40" w:after="0" w:line="259" w:lineRule="auto"/>
        <w:jc w:val="both"/>
        <w:rPr>
          <w:rFonts w:cs="Times New Roman"/>
          <w:noProof/>
        </w:rPr>
      </w:pPr>
      <w:r>
        <w:rPr>
          <w:noProof/>
        </w:rPr>
        <w:t>Syftet med denna reform är att uppmuntra främjandet av förnybar vätgas som en del av en mer omfattande övergångsstrategi mot en koldioxidsnål ekonomi. Reformen syftar också till att skapa förutsättningar för utfasning av fossila bränslen i naturgasnätet och bidra till utvecklingen av värdekedjan för förnybar vätgas.</w:t>
      </w:r>
    </w:p>
    <w:p w14:paraId="36E3674D" w14:textId="1E98692D" w:rsidR="00E040FD" w:rsidRDefault="00740D64">
      <w:pPr>
        <w:pStyle w:val="P68B1DB1-Normal4"/>
        <w:spacing w:before="40" w:after="0" w:line="259" w:lineRule="auto"/>
        <w:jc w:val="both"/>
        <w:rPr>
          <w:rFonts w:cs="Times New Roman"/>
          <w:noProof/>
        </w:rPr>
      </w:pPr>
      <w:r>
        <w:rPr>
          <w:noProof/>
        </w:rPr>
        <w:t xml:space="preserve">Reformen ska bestå av en översyn av förordningen om det nationella överföringsnätet för gas och förordningen om det nationella distributionsnätet för gas, som ska godkännas av generaldirektoratet för energi och geologi (nämligen förordning nr 806-B/2022 och förordning nr 806-C/2022). De två ändrade förordningarna ska fastställa de tekniska kriterierna och driftsaspekterna för produktion av förnybar vätgas, certifiering, transport, lagring, undvikande av läckage och, i förekommande fall, för injektion i gasnätet, fastställa vilken enhet som ansvarar för hanteringen av injektionen och fastställa kriterier för att inte överskrida den högsta tillåtna koncentrationen av vätgas i gasnätet (i linje med Portugals reviderade nationella vätgasstrategi). De ska också definiera slutanvändarna av förnybar vätgas i linje med EU:s vätgasstrategi, med inriktning på tillämpningar som är svåra att fasa ut fossila bränslen inom industri- och transportsektorerna, och regler för att säkerställa transparens i fråga om faktureringssystem, uppvärmningskapacitet och gaskvalitet (såsom bruttovärmevärde (GCV), Wobbetal (kvalitetsindex för förbränningen) och förekomsten av ytterligare komponenter (såsom CO2, kolväten, H2O, svavel osv.).  </w:t>
      </w:r>
    </w:p>
    <w:p w14:paraId="4CFED58E" w14:textId="3EFE5584" w:rsidR="00E040FD" w:rsidRDefault="00740D64">
      <w:pPr>
        <w:pStyle w:val="P68B1DB1-Normal4"/>
        <w:spacing w:before="40" w:after="0" w:line="259" w:lineRule="auto"/>
        <w:jc w:val="both"/>
        <w:rPr>
          <w:rFonts w:cs="Times New Roman"/>
          <w:noProof/>
        </w:rPr>
      </w:pPr>
      <w:r>
        <w:rPr>
          <w:noProof/>
        </w:rPr>
        <w:t>Dessutom ska en administrativ eller rättslig akt offentliggöras i Europeiska unionens officiella tidning – Diário da República och träda i kraft, där det anges att endast industrienheter som uppfyller kraven i direktivet om förnybar energi och dess delegerade akter (2018/2001/EU) ska betraktas som anläggningar för produktion av förnybar vätgas. Akten ska också fastställa det förfarande som ska följas av dem som ansöker om licenser för att producera gaser av förnybart ursprung, och kräva att de som ansöker om tillstånd lämnar in en deklaration för att anta ett åtagande om att uppfylla kraven för användning av energi från förnybara energikällor enligt direktivet om förnybar energi och dess delegerade akter (2018/2001/EU) och att säkerställa det förnybara ursprunget för den vätgas som produceras.</w:t>
      </w:r>
    </w:p>
    <w:p w14:paraId="67538798" w14:textId="16C7329E" w:rsidR="00E040FD" w:rsidRDefault="00740D64">
      <w:pPr>
        <w:pStyle w:val="P68B1DB1-Normal4"/>
        <w:spacing w:before="40" w:after="0" w:line="259" w:lineRule="auto"/>
        <w:jc w:val="both"/>
        <w:rPr>
          <w:rFonts w:cs="Times New Roman"/>
          <w:noProof/>
        </w:rPr>
      </w:pPr>
      <w:r>
        <w:rPr>
          <w:noProof/>
        </w:rPr>
        <w:t>I den ovannämnda administrativa eller rättsliga akten ska det också krävas att sökanden, innan produktionen av förnybar vätgas inleds, för att erhålla ”tillstånd för uppförande och drift av industrianläggningen”, i förekommande fall måste lägga fram det slutliga avtalet om inköp av förnybar energi som sökanden ska förbruka i produktionsprocessen samt de uppgifter som krävs för att visa att de åtaganden som gjorts i försäkran har fullgjorts.</w:t>
      </w:r>
    </w:p>
    <w:p w14:paraId="0A85B859" w14:textId="77777777" w:rsidR="00E040FD" w:rsidRDefault="00740D64">
      <w:pPr>
        <w:pStyle w:val="P68B1DB1-Normal4"/>
        <w:spacing w:before="40" w:after="0" w:line="259" w:lineRule="auto"/>
        <w:jc w:val="both"/>
        <w:rPr>
          <w:rFonts w:eastAsiaTheme="minorEastAsia" w:cs="Times New Roman"/>
          <w:noProof/>
        </w:rPr>
      </w:pPr>
      <w:r>
        <w:rPr>
          <w:noProof/>
        </w:rPr>
        <w:t>Genomförandet av reformen ska vara slutfört senast den 30 juni 2024.</w:t>
      </w:r>
    </w:p>
    <w:p w14:paraId="6FC4D499" w14:textId="16F151BF" w:rsidR="00E040FD" w:rsidRDefault="00740D64">
      <w:pPr>
        <w:pStyle w:val="P68B1DB1-Normal5"/>
        <w:keepNext/>
        <w:spacing w:before="240" w:after="0" w:line="259" w:lineRule="auto"/>
        <w:ind w:left="851"/>
        <w:jc w:val="both"/>
        <w:outlineLvl w:val="2"/>
        <w:rPr>
          <w:rFonts w:eastAsiaTheme="minorEastAsia"/>
          <w:noProof/>
        </w:rPr>
      </w:pPr>
      <w:bookmarkStart w:id="43" w:name="bookmark30"/>
      <w:r>
        <w:rPr>
          <w:noProof/>
        </w:rPr>
        <w:t>Reform RP-C21 – r47: Första auktionen för en hållbar handlingsplan för biometan</w:t>
      </w:r>
      <w:bookmarkEnd w:id="43"/>
      <w:r>
        <w:rPr>
          <w:noProof/>
        </w:rPr>
        <w:t xml:space="preserve"> och biometan</w:t>
      </w:r>
    </w:p>
    <w:p w14:paraId="6D1CD5D5" w14:textId="1350F59D" w:rsidR="00E040FD" w:rsidRDefault="00740D64">
      <w:pPr>
        <w:pStyle w:val="P68B1DB1-Normal4"/>
        <w:spacing w:before="40" w:after="0" w:line="259" w:lineRule="auto"/>
        <w:jc w:val="both"/>
        <w:rPr>
          <w:rFonts w:cs="Times New Roman"/>
          <w:noProof/>
        </w:rPr>
      </w:pPr>
      <w:r>
        <w:rPr>
          <w:noProof/>
        </w:rPr>
        <w:t xml:space="preserve">Syftet med denna reform är att främja och stimulera produktion och konsumtion av hållbar biometan och skapa de nödvändiga förutsättningarna för utvecklingen av en biometanekonomi i Portugal. </w:t>
      </w:r>
    </w:p>
    <w:p w14:paraId="06444E15" w14:textId="479A0C14" w:rsidR="00E040FD" w:rsidRDefault="00740D64">
      <w:pPr>
        <w:pStyle w:val="P68B1DB1-Normal4"/>
        <w:spacing w:before="40" w:after="0" w:line="259" w:lineRule="auto"/>
        <w:jc w:val="both"/>
        <w:rPr>
          <w:rFonts w:cs="Times New Roman"/>
          <w:noProof/>
        </w:rPr>
      </w:pPr>
      <w:r>
        <w:rPr>
          <w:noProof/>
        </w:rPr>
        <w:t>Reformen ska innebära att den första auktionen för centraliserade inköp av hållbar biometan inleds av Wholesale Last Resort Marketer (CURg) i enlighet med regeringsförordning nr 15/2023 av den 4 januari. Auktionen ska syfta till att köpa in 150 GWh biometan per år för injektion i det nationella gasnätet. Reformen ska också inbegripa antagandet av handlingsplanen för biometan som ska innehålla en strategi för utvecklingen av biometan i Portugal. Handlingsplanen ska föreslå åtgärder för att säkerställa ett gynnsamt regelverk, tillsammans med en uppsättning offentliga strategier som stöder skapandet av en inre marknad för biometan, både för att stödja produktionen och främja konsumtionen.</w:t>
      </w:r>
    </w:p>
    <w:p w14:paraId="05743F4B" w14:textId="77777777" w:rsidR="00E040FD" w:rsidRDefault="00740D64">
      <w:pPr>
        <w:pStyle w:val="P68B1DB1-Normal4"/>
        <w:spacing w:before="40" w:after="0" w:line="259" w:lineRule="auto"/>
        <w:jc w:val="both"/>
        <w:rPr>
          <w:rFonts w:eastAsiaTheme="minorEastAsia" w:cs="Times New Roman"/>
          <w:noProof/>
        </w:rPr>
      </w:pPr>
      <w:r>
        <w:rPr>
          <w:noProof/>
        </w:rPr>
        <w:t>Genomförandet av reformen ska vara slutfört senast den 31 mars 2024.</w:t>
      </w:r>
    </w:p>
    <w:p w14:paraId="69A70CF0" w14:textId="37012EB1"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Reform RP-C21 – r48: Förenkling av den rättsliga ramen för projekt för förnybar energi</w:t>
      </w:r>
    </w:p>
    <w:p w14:paraId="48A84454" w14:textId="77777777" w:rsidR="00E040FD" w:rsidRDefault="00740D64">
      <w:pPr>
        <w:pStyle w:val="P68B1DB1-Bodytext2020"/>
        <w:spacing w:before="40" w:after="0" w:line="259" w:lineRule="auto"/>
        <w:ind w:firstLine="0"/>
        <w:jc w:val="both"/>
        <w:rPr>
          <w:rFonts w:cs="Times New Roman"/>
          <w:b/>
          <w:noProof/>
        </w:rPr>
      </w:pPr>
      <w:r>
        <w:rPr>
          <w:noProof/>
        </w:rPr>
        <w:t xml:space="preserve">Syftet med denna reform är att främja projekt för förnybar energi genom att förenkla lagstiftningen och regelverket för tillståndsgivning för förnybar energi och utbildning av dem som arbetar med tillståndsgivning och det digitala verktyg som berörs. </w:t>
      </w:r>
    </w:p>
    <w:p w14:paraId="7A522EFE" w14:textId="77777777" w:rsidR="00E040FD" w:rsidRDefault="00740D64">
      <w:pPr>
        <w:pStyle w:val="P68B1DB1-Bodytext2020"/>
        <w:spacing w:before="40" w:after="0" w:line="259" w:lineRule="auto"/>
        <w:ind w:firstLine="0"/>
        <w:jc w:val="both"/>
        <w:rPr>
          <w:rFonts w:cs="Times New Roman"/>
          <w:b/>
          <w:noProof/>
        </w:rPr>
      </w:pPr>
      <w:r>
        <w:rPr>
          <w:noProof/>
        </w:rPr>
        <w:t>Reformen ska omfatta följande:</w:t>
      </w:r>
    </w:p>
    <w:p w14:paraId="3DE1B65E" w14:textId="44219824" w:rsidR="00E040FD" w:rsidRDefault="00740D64">
      <w:pPr>
        <w:pStyle w:val="ListParagraph"/>
        <w:keepNext w:val="0"/>
        <w:numPr>
          <w:ilvl w:val="0"/>
          <w:numId w:val="89"/>
        </w:numPr>
        <w:spacing w:before="40" w:after="0" w:line="259" w:lineRule="auto"/>
        <w:rPr>
          <w:noProof/>
        </w:rPr>
      </w:pPr>
      <w:r>
        <w:rPr>
          <w:noProof/>
        </w:rPr>
        <w:t>Ikraftträdandet av lagstiftningsakten om inrättande av uppdragsenheten för licensiering av projekt för förnybar energi 2030 (samlare 2030). Umer 2030 ska bland annat ha följande uppgifter:</w:t>
      </w:r>
    </w:p>
    <w:p w14:paraId="171E03CD" w14:textId="77777777" w:rsidR="00E040FD" w:rsidRDefault="00740D64">
      <w:pPr>
        <w:pStyle w:val="ListParagraph"/>
        <w:keepNext w:val="0"/>
        <w:numPr>
          <w:ilvl w:val="1"/>
          <w:numId w:val="89"/>
        </w:numPr>
        <w:spacing w:before="40" w:after="0" w:line="259" w:lineRule="auto"/>
        <w:rPr>
          <w:noProof/>
        </w:rPr>
      </w:pPr>
      <w:r>
        <w:rPr>
          <w:noProof/>
        </w:rPr>
        <w:t>Säkerställa att målen i den reviderade nationella energi- och klimatplanen för 2030 uppnås och att påskynda genomförandet av projekt för förnybar energi i Portugal,</w:t>
      </w:r>
    </w:p>
    <w:p w14:paraId="7584862B" w14:textId="77777777" w:rsidR="00E040FD" w:rsidRDefault="00740D64">
      <w:pPr>
        <w:pStyle w:val="ListParagraph"/>
        <w:keepNext w:val="0"/>
        <w:numPr>
          <w:ilvl w:val="1"/>
          <w:numId w:val="89"/>
        </w:numPr>
        <w:spacing w:before="40" w:after="0" w:line="259" w:lineRule="auto"/>
        <w:rPr>
          <w:noProof/>
        </w:rPr>
      </w:pPr>
      <w:r>
        <w:rPr>
          <w:noProof/>
        </w:rPr>
        <w:t xml:space="preserve">Utarbeta en handbok med förfaranden för att stödja och förenkla licensieringsförfarandet för egenförbrukning och gemenskaper för förnybar energi. </w:t>
      </w:r>
    </w:p>
    <w:p w14:paraId="781C1063" w14:textId="77777777" w:rsidR="00E040FD" w:rsidRDefault="00740D64">
      <w:pPr>
        <w:pStyle w:val="ListParagraph"/>
        <w:keepNext w:val="0"/>
        <w:numPr>
          <w:ilvl w:val="1"/>
          <w:numId w:val="89"/>
        </w:numPr>
        <w:spacing w:before="40" w:after="0" w:line="259" w:lineRule="auto"/>
        <w:rPr>
          <w:noProof/>
        </w:rPr>
      </w:pPr>
      <w:r>
        <w:rPr>
          <w:noProof/>
        </w:rPr>
        <w:t xml:space="preserve">Att utveckla, genomföra och förvalta den </w:t>
      </w:r>
      <w:r>
        <w:rPr>
          <w:i/>
          <w:noProof/>
        </w:rPr>
        <w:t>gemensamma kontaktpunkten</w:t>
      </w:r>
      <w:r>
        <w:rPr>
          <w:noProof/>
        </w:rPr>
        <w:t xml:space="preserve"> för licensiering och övervakning av projekt för förnybar energi (RP-C14-i02).</w:t>
      </w:r>
    </w:p>
    <w:p w14:paraId="67AD8E0A" w14:textId="77777777" w:rsidR="00E040FD" w:rsidRDefault="00740D64">
      <w:pPr>
        <w:pStyle w:val="ListParagraph"/>
        <w:keepNext w:val="0"/>
        <w:numPr>
          <w:ilvl w:val="1"/>
          <w:numId w:val="89"/>
        </w:numPr>
        <w:spacing w:before="40" w:after="0" w:line="259" w:lineRule="auto"/>
        <w:rPr>
          <w:noProof/>
        </w:rPr>
      </w:pPr>
      <w:r>
        <w:rPr>
          <w:noProof/>
        </w:rPr>
        <w:t>Att utarbeta ett förslag till ett sektorsprogram för förnybara fokusområden.</w:t>
      </w:r>
    </w:p>
    <w:p w14:paraId="082EFB04" w14:textId="77777777" w:rsidR="00E040FD" w:rsidRDefault="00740D64">
      <w:pPr>
        <w:pStyle w:val="ListParagraph"/>
        <w:keepNext w:val="0"/>
        <w:numPr>
          <w:ilvl w:val="1"/>
          <w:numId w:val="89"/>
        </w:numPr>
        <w:spacing w:before="40" w:after="0" w:line="259" w:lineRule="auto"/>
        <w:rPr>
          <w:noProof/>
        </w:rPr>
      </w:pPr>
      <w:r>
        <w:rPr>
          <w:noProof/>
        </w:rPr>
        <w:t>Att konsolidera den rättsliga ram som är tillämplig på el- och miljölicensiering av projekt för förnybar energi och lagring.</w:t>
      </w:r>
    </w:p>
    <w:p w14:paraId="0D6072B7" w14:textId="77777777" w:rsidR="00E040FD" w:rsidRDefault="00740D64">
      <w:pPr>
        <w:pStyle w:val="P68B1DB1-Bodytext2020"/>
        <w:widowControl/>
        <w:numPr>
          <w:ilvl w:val="0"/>
          <w:numId w:val="89"/>
        </w:numPr>
        <w:shd w:val="clear" w:color="auto" w:fill="auto"/>
        <w:spacing w:before="40" w:after="0" w:line="259" w:lineRule="auto"/>
        <w:jc w:val="both"/>
        <w:rPr>
          <w:rFonts w:eastAsiaTheme="minorEastAsia" w:cs="Times New Roman"/>
          <w:b/>
          <w:noProof/>
        </w:rPr>
      </w:pPr>
      <w:r>
        <w:rPr>
          <w:noProof/>
        </w:rPr>
        <w:t>Reformen ska också innebära att det införs en förordning om kommunal licensiering av projekt för förnybar energi och lagring genom ändring av ministerdekret 113/2015, i vilken de relevanta delar som ska lämnas in för det kommunala tillståndsförfarandet för projekt för förnybar energi fastställs.</w:t>
      </w:r>
    </w:p>
    <w:p w14:paraId="481D9B0A" w14:textId="77777777" w:rsidR="00E040FD" w:rsidRDefault="00740D64">
      <w:pPr>
        <w:pStyle w:val="P68B1DB1-Bodytext2020"/>
        <w:widowControl/>
        <w:numPr>
          <w:ilvl w:val="0"/>
          <w:numId w:val="89"/>
        </w:numPr>
        <w:shd w:val="clear" w:color="auto" w:fill="auto"/>
        <w:spacing w:before="40" w:after="0" w:line="259" w:lineRule="auto"/>
        <w:jc w:val="both"/>
        <w:rPr>
          <w:rFonts w:cs="Times New Roman"/>
          <w:b/>
          <w:noProof/>
        </w:rPr>
      </w:pPr>
      <w:r>
        <w:rPr>
          <w:noProof/>
        </w:rPr>
        <w:t>Reformen ska också innehålla en tidsplan för tilldelningen av ny kapacitet för förnybar energi, med särskilt fokus på de geografiska områden som följer av sektorsprogrammet för förnybar energi.</w:t>
      </w:r>
    </w:p>
    <w:p w14:paraId="32D1B031" w14:textId="77777777" w:rsidR="00E040FD" w:rsidRDefault="00740D64">
      <w:pPr>
        <w:pStyle w:val="P68B1DB1-Bodytext2020"/>
        <w:widowControl/>
        <w:numPr>
          <w:ilvl w:val="0"/>
          <w:numId w:val="89"/>
        </w:numPr>
        <w:shd w:val="clear" w:color="auto" w:fill="auto"/>
        <w:spacing w:before="40" w:after="0" w:line="259" w:lineRule="auto"/>
        <w:jc w:val="both"/>
        <w:rPr>
          <w:rFonts w:cs="Times New Roman"/>
          <w:b/>
          <w:noProof/>
        </w:rPr>
      </w:pPr>
      <w:r>
        <w:rPr>
          <w:noProof/>
        </w:rPr>
        <w:t xml:space="preserve">Reformen ska också omfatta utbildning av 500 chefer och tekniker vid den centrala, regionala och lokala offentliga förvaltningen i samband med tillståndsförfaranden för projekt för förnybar energi och energilagring. </w:t>
      </w:r>
    </w:p>
    <w:p w14:paraId="31610E4F" w14:textId="77777777" w:rsidR="00E040FD" w:rsidRDefault="00740D64">
      <w:pPr>
        <w:pStyle w:val="P68B1DB1-Normal4"/>
        <w:spacing w:before="40" w:after="0" w:line="259" w:lineRule="auto"/>
        <w:jc w:val="both"/>
        <w:rPr>
          <w:rFonts w:cs="Times New Roman"/>
          <w:noProof/>
        </w:rPr>
      </w:pPr>
      <w:r>
        <w:rPr>
          <w:noProof/>
        </w:rPr>
        <w:t>Genomförandet av reformen ska vara slutfört senast den 30 juni 2024.</w:t>
      </w:r>
    </w:p>
    <w:p w14:paraId="2D61E7C0" w14:textId="436900C9" w:rsidR="00E040FD" w:rsidRDefault="00740D64">
      <w:pPr>
        <w:pStyle w:val="P68B1DB1-Normal5"/>
        <w:keepNext/>
        <w:spacing w:before="240" w:after="0" w:line="259" w:lineRule="auto"/>
        <w:ind w:left="851"/>
        <w:jc w:val="both"/>
        <w:outlineLvl w:val="2"/>
        <w:rPr>
          <w:rFonts w:eastAsiaTheme="minorEastAsia" w:cs="Times New Roman"/>
          <w:noProof/>
        </w:rPr>
      </w:pPr>
      <w:bookmarkStart w:id="44" w:name="_Hlk140157845"/>
      <w:r>
        <w:rPr>
          <w:noProof/>
        </w:rPr>
        <w:t xml:space="preserve">Utökad investeringsåtgärd RP-C21 </w:t>
      </w:r>
      <w:bookmarkEnd w:id="44"/>
      <w:r>
        <w:rPr>
          <w:noProof/>
        </w:rPr>
        <w:t>– i06: Vätgas och förnybara gaser</w:t>
      </w:r>
    </w:p>
    <w:p w14:paraId="20046906" w14:textId="77777777" w:rsidR="00E040FD" w:rsidRDefault="00740D64">
      <w:pPr>
        <w:pStyle w:val="P68B1DB1-Normal4"/>
        <w:spacing w:before="40" w:after="0" w:line="259" w:lineRule="auto"/>
        <w:jc w:val="both"/>
        <w:rPr>
          <w:rFonts w:cs="Times New Roman"/>
          <w:noProof/>
        </w:rPr>
      </w:pPr>
      <w:r>
        <w:rPr>
          <w:noProof/>
        </w:rPr>
        <w:t xml:space="preserve">Syftet med denna investering är att utöka den befintliga investeringen C14 – </w:t>
      </w:r>
      <w:r>
        <w:rPr>
          <w:i/>
          <w:noProof/>
        </w:rPr>
        <w:t xml:space="preserve">I01: Vätgas och förnybara gaser </w:t>
      </w:r>
      <w:r>
        <w:rPr>
          <w:noProof/>
        </w:rPr>
        <w:t>enligt komponent 14.</w:t>
      </w:r>
    </w:p>
    <w:p w14:paraId="643DCE77" w14:textId="77777777" w:rsidR="00E040FD" w:rsidRDefault="00740D64">
      <w:pPr>
        <w:pStyle w:val="P68B1DB1-Bodytext2020"/>
        <w:spacing w:before="40" w:after="0" w:line="259" w:lineRule="auto"/>
        <w:ind w:firstLine="0"/>
        <w:jc w:val="both"/>
        <w:rPr>
          <w:rFonts w:eastAsiaTheme="minorEastAsia" w:cs="Times New Roman"/>
          <w:b/>
          <w:noProof/>
        </w:rPr>
      </w:pPr>
      <w:r>
        <w:rPr>
          <w:noProof/>
        </w:rPr>
        <w:t>Den utökade delen av åtgärden ska öka produktionskapaciteten för förnybar vätgas och förnybar gas. Åtgärden ska bestå av åtgärder för att främja produktion, lagring, transport och distribution av förnybara gaser som syftar till att öka de förnybara gasernas bidrag till energiförbrukningen, minska växthusgasutsläppen, minska energiberoendet och förbättra energiförsörjningstryggheten.</w:t>
      </w:r>
    </w:p>
    <w:p w14:paraId="3226896B" w14:textId="77777777" w:rsidR="00E040FD" w:rsidRDefault="00740D64">
      <w:pPr>
        <w:pStyle w:val="P68B1DB1-Bodytext2020"/>
        <w:spacing w:before="40" w:after="0" w:line="259" w:lineRule="auto"/>
        <w:ind w:firstLine="0"/>
        <w:jc w:val="both"/>
        <w:rPr>
          <w:rFonts w:eastAsiaTheme="minorEastAsia" w:cs="Times New Roman"/>
          <w:b/>
          <w:noProof/>
        </w:rPr>
      </w:pPr>
      <w:r>
        <w:rPr>
          <w:noProof/>
        </w:rPr>
        <w:t xml:space="preserve">Olika tillämpningar ska stödjas, såsom användning av förnybara gaser för transport och injektion av förnybara gaser i naturgasnätet. </w:t>
      </w:r>
    </w:p>
    <w:p w14:paraId="0B728DB7" w14:textId="77777777" w:rsidR="00E040FD" w:rsidRDefault="00740D64">
      <w:pPr>
        <w:pStyle w:val="P68B1DB1-Bodytext2020"/>
        <w:spacing w:before="40" w:after="0" w:line="259" w:lineRule="auto"/>
        <w:ind w:firstLine="0"/>
        <w:jc w:val="both"/>
        <w:rPr>
          <w:rFonts w:eastAsiaTheme="minorEastAsia" w:cs="Times New Roman"/>
          <w:b/>
          <w:noProof/>
        </w:rPr>
      </w:pPr>
      <w:r>
        <w:rPr>
          <w:noProof/>
        </w:rPr>
        <w:t xml:space="preserve">För produktion av förnybar vätgas ska endast elektrolys användas. </w:t>
      </w:r>
    </w:p>
    <w:p w14:paraId="44B34FAA" w14:textId="77777777" w:rsidR="00E040FD" w:rsidRDefault="00740D64">
      <w:pPr>
        <w:pStyle w:val="P68B1DB1-Bodytext2020"/>
        <w:spacing w:before="40" w:after="0" w:line="259" w:lineRule="auto"/>
        <w:ind w:firstLine="0"/>
        <w:jc w:val="both"/>
        <w:rPr>
          <w:rFonts w:eastAsiaTheme="minorEastAsia" w:cs="Times New Roman"/>
          <w:b/>
          <w:noProof/>
        </w:rPr>
      </w:pPr>
      <w:r>
        <w:rPr>
          <w:noProof/>
        </w:rPr>
        <w:t xml:space="preserve">För produktion av andra gaser av förnybart ursprung ska annan teknik användas termokemiska och hydrotermiska processer (uteslutande för produktion av hållbar biometan). biologiska processer (bifotolys och fermentering). biogasanrikning från anaerob nedbrytning av biomassabasmaterial ska uteslutande användas för produktion av hållbar biometan (biogasproduktion skulle kunna stödjas om den också omfattar uppgradering av biogas till hållbar biometan). och d) metanbildning får endast framställas av bioavfall. </w:t>
      </w:r>
    </w:p>
    <w:p w14:paraId="2E0410B7" w14:textId="77C7C6FA" w:rsidR="00E040FD" w:rsidRDefault="00740D64">
      <w:pPr>
        <w:pStyle w:val="P68B1DB1-Bodytext2020"/>
        <w:spacing w:before="40" w:after="0" w:line="259" w:lineRule="auto"/>
        <w:ind w:firstLine="0"/>
        <w:jc w:val="both"/>
        <w:rPr>
          <w:rFonts w:eastAsiaTheme="minorEastAsia" w:cs="Times New Roman"/>
          <w:b/>
          <w:noProof/>
        </w:rPr>
      </w:pPr>
      <w:r>
        <w:rPr>
          <w:noProof/>
        </w:rPr>
        <w:t xml:space="preserve">Produktionen av förnybar vätgas andra gaser av förnybart ursprung måste uppfylla kraven i direktivet om förnybar energi och dess delegerade akter (2018/2001/EU). </w:t>
      </w:r>
    </w:p>
    <w:p w14:paraId="6D01FBCB" w14:textId="34B7C01C" w:rsidR="00E040FD" w:rsidRDefault="00740D64">
      <w:pPr>
        <w:pStyle w:val="P68B1DB1-Bodytext2020"/>
        <w:spacing w:before="40" w:after="0" w:line="259" w:lineRule="auto"/>
        <w:ind w:firstLine="0"/>
        <w:jc w:val="both"/>
        <w:rPr>
          <w:rFonts w:eastAsiaTheme="minorEastAsia" w:cs="Times New Roman"/>
          <w:b/>
          <w:noProof/>
        </w:rPr>
      </w:pPr>
      <w:r>
        <w:rPr>
          <w:noProof/>
        </w:rPr>
        <w:t xml:space="preserve">Investeringarna ska ha ett mycket specifikt fokus och syfta till att öka den installerade kapaciteten för produktion av förnybar vätgas och andra förnybara gaser, inbegripet installerad kapacitet i elektrolysanläggningar för produktion av förnybar vätgas. Projektet ska genomföras genom öppna anbudsinfordringar i syfte att stödja projekt med högst 15 000 000 EUR per projekt. </w:t>
      </w:r>
    </w:p>
    <w:p w14:paraId="0025873F" w14:textId="77777777" w:rsidR="00E040FD" w:rsidRDefault="00740D64">
      <w:pPr>
        <w:pStyle w:val="P68B1DB1-Bodytext2020"/>
        <w:spacing w:before="40" w:after="0" w:line="259" w:lineRule="auto"/>
        <w:ind w:firstLine="0"/>
        <w:jc w:val="both"/>
        <w:rPr>
          <w:rFonts w:eastAsiaTheme="minorEastAsia" w:cs="Times New Roman"/>
          <w:b/>
          <w:noProof/>
        </w:rPr>
      </w:pPr>
      <w:r>
        <w:rPr>
          <w:noProof/>
        </w:rPr>
        <w:t>Denna åtgärd ska stödja mogen teknik (TRL &gt; 8) och uppmuntra inte bara produktion av förnybar vätgas, utan även produktion av andra förnybara gaser genom energiåtervinning av den organiska komponenten i kommunalt avfall, slam från avloppsreningsverk, avloppsvatten från jordbruk och industri (utom plastavfall). Produktion av återvunna kolbaserade bränslen ska inte planeras som en del av denna investering.</w:t>
      </w:r>
    </w:p>
    <w:p w14:paraId="46B6D36C" w14:textId="77777777" w:rsidR="00E040FD" w:rsidRDefault="00740D64">
      <w:pPr>
        <w:pStyle w:val="P68B1DB1-Bodytext2020"/>
        <w:spacing w:before="40" w:after="0" w:line="259" w:lineRule="auto"/>
        <w:ind w:firstLine="0"/>
        <w:jc w:val="both"/>
        <w:rPr>
          <w:rFonts w:eastAsiaTheme="minorEastAsia" w:cs="Times New Roman"/>
          <w:b/>
          <w:noProof/>
        </w:rPr>
      </w:pPr>
      <w:r>
        <w:rPr>
          <w:noProof/>
        </w:rPr>
        <w:t>Investeringen ska vara genomförd senast den 30 juni 2026.</w:t>
      </w:r>
    </w:p>
    <w:p w14:paraId="1D5BE002" w14:textId="08876800" w:rsidR="00E040FD" w:rsidRDefault="00740D64">
      <w:pPr>
        <w:pStyle w:val="P68B1DB1-Normal5"/>
        <w:keepNext/>
        <w:spacing w:before="240" w:after="0" w:line="259" w:lineRule="auto"/>
        <w:ind w:left="851"/>
        <w:jc w:val="both"/>
        <w:outlineLvl w:val="2"/>
        <w:rPr>
          <w:rFonts w:eastAsiaTheme="minorEastAsia" w:cs="Times New Roman"/>
          <w:noProof/>
        </w:rPr>
      </w:pPr>
      <w:bookmarkStart w:id="45" w:name="bookmark45"/>
      <w:r>
        <w:rPr>
          <w:noProof/>
        </w:rPr>
        <w:t>Investeringar RP-C21-i07: Tekniska studier av potentialen för havsbaserad energi</w:t>
      </w:r>
      <w:bookmarkEnd w:id="45"/>
    </w:p>
    <w:p w14:paraId="68AD5D6E" w14:textId="77777777" w:rsidR="00E040FD" w:rsidRDefault="00740D64">
      <w:pPr>
        <w:pStyle w:val="P68B1DB1-Bodytext2020"/>
        <w:spacing w:before="40" w:after="0" w:line="259" w:lineRule="auto"/>
        <w:ind w:firstLine="0"/>
        <w:jc w:val="both"/>
        <w:rPr>
          <w:rFonts w:eastAsiaTheme="minorEastAsia" w:cs="Times New Roman"/>
          <w:noProof/>
        </w:rPr>
      </w:pPr>
      <w:bookmarkStart w:id="46" w:name="_Hlk137476371"/>
      <w:r>
        <w:rPr>
          <w:noProof/>
        </w:rPr>
        <w:t xml:space="preserve">Syftet med denna investering är att göra det möjligt för den portugisiska staten att genomföra konkurrensutsatta anbudsförfaranden för installation av flytande havsbaserad vindkraft. </w:t>
      </w:r>
    </w:p>
    <w:p w14:paraId="023D26BD" w14:textId="77777777" w:rsidR="00E040FD" w:rsidRDefault="00740D64">
      <w:pPr>
        <w:pStyle w:val="P68B1DB1-Bodytext2020"/>
        <w:spacing w:before="40" w:after="0" w:line="259" w:lineRule="auto"/>
        <w:ind w:firstLine="0"/>
        <w:jc w:val="both"/>
        <w:rPr>
          <w:rFonts w:eastAsiaTheme="minorEastAsia" w:cs="Times New Roman"/>
          <w:noProof/>
        </w:rPr>
      </w:pPr>
      <w:r>
        <w:rPr>
          <w:noProof/>
        </w:rPr>
        <w:t xml:space="preserve">Investeringen ska bestå av utveckling av geofysiska, geotekniska, vind-, våg- och strömstudier med hög upplösning i ett område på minst 2 000 km² i Atlanten. Studierna ska, efter det att de slutförts, ligga till grund för efterföljande auktioner för de offshore-områden som förtecknas i den nationella planen för fysisk planering i kust- och havsområden (PSOEM). </w:t>
      </w:r>
    </w:p>
    <w:p w14:paraId="609A2BBF" w14:textId="28DEB11B" w:rsidR="00E040FD" w:rsidRDefault="00740D64">
      <w:pPr>
        <w:pStyle w:val="P68B1DB1-Bodytext2020"/>
        <w:spacing w:before="40" w:after="0" w:line="259" w:lineRule="auto"/>
        <w:ind w:firstLine="0"/>
        <w:jc w:val="both"/>
        <w:rPr>
          <w:rFonts w:eastAsiaTheme="minorEastAsia" w:cs="Times New Roman"/>
          <w:noProof/>
        </w:rPr>
      </w:pPr>
      <w:r>
        <w:rPr>
          <w:noProof/>
        </w:rPr>
        <w:t xml:space="preserve">Investeringen ska vara genomförd senast den 30 juni 2026. </w:t>
      </w:r>
    </w:p>
    <w:bookmarkEnd w:id="46"/>
    <w:p w14:paraId="42F0CC47" w14:textId="36768B60"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Investeringar RP-C21-i08: Nätflexibilitet och lagring</w:t>
      </w:r>
    </w:p>
    <w:p w14:paraId="2AD9942A" w14:textId="77777777" w:rsidR="00E040FD" w:rsidRDefault="00740D64">
      <w:pPr>
        <w:pStyle w:val="P68B1DB1-Bodytext2020"/>
        <w:spacing w:before="40" w:after="0" w:line="259" w:lineRule="auto"/>
        <w:ind w:firstLine="0"/>
        <w:jc w:val="both"/>
        <w:rPr>
          <w:rFonts w:eastAsiaTheme="minorEastAsia" w:cs="Times New Roman"/>
          <w:noProof/>
        </w:rPr>
      </w:pPr>
      <w:r>
        <w:rPr>
          <w:noProof/>
        </w:rPr>
        <w:t xml:space="preserve">Syftet med denna investering är att öka flexibiliteten i det offentliga elnätet och möjliggöra optimering och flexibel förvaltning av elsystemet, även med tanke på den förväntade ökningen av produktionen och förbrukningen av förnybar el. </w:t>
      </w:r>
    </w:p>
    <w:p w14:paraId="7815D6F6" w14:textId="0347E7C2" w:rsidR="00E040FD" w:rsidRDefault="00740D64">
      <w:pPr>
        <w:pStyle w:val="P68B1DB1-Bodytext2020"/>
        <w:spacing w:before="40" w:after="0" w:line="259" w:lineRule="auto"/>
        <w:ind w:firstLine="0"/>
        <w:jc w:val="both"/>
        <w:rPr>
          <w:rFonts w:eastAsiaTheme="minorEastAsia" w:cs="Times New Roman"/>
          <w:noProof/>
        </w:rPr>
      </w:pPr>
      <w:r>
        <w:rPr>
          <w:noProof/>
        </w:rPr>
        <w:t>Investeringen ska omfatta stöd till installation av minst 500 MW energilagringskapacitet i elnätet (både på överförings- och distributionsnivå). Lagringskapacitet ska tilldelas på grundval av förhandsidentifiering av de mest behövande områdena, såsom de områden som har störst nätbegränsningar eller störst genomslag för förnybar energi. Projekt ska få stöd med upp till 20 % av de stödberättigande kostnaderna.</w:t>
      </w:r>
    </w:p>
    <w:p w14:paraId="78E4950C" w14:textId="77777777" w:rsidR="00E040FD" w:rsidRDefault="00740D64">
      <w:pPr>
        <w:pStyle w:val="P68B1DB1-Bodytext2020"/>
        <w:spacing w:before="40" w:after="0" w:line="259" w:lineRule="auto"/>
        <w:ind w:firstLine="0"/>
        <w:jc w:val="both"/>
        <w:rPr>
          <w:rFonts w:eastAsiaTheme="minorEastAsia" w:cs="Times New Roman"/>
          <w:noProof/>
        </w:rPr>
      </w:pPr>
      <w:r>
        <w:rPr>
          <w:noProof/>
        </w:rPr>
        <w:t>Genomförandet av denna investering ska vara slutfört senast den 31 december 2025.</w:t>
      </w:r>
    </w:p>
    <w:p w14:paraId="60EBD781" w14:textId="7CCDA1C9" w:rsidR="00E040FD" w:rsidRDefault="00740D64">
      <w:pPr>
        <w:pStyle w:val="P68B1DB1-Normal5"/>
        <w:keepNext/>
        <w:spacing w:before="240" w:after="0" w:line="259" w:lineRule="auto"/>
        <w:ind w:left="851"/>
        <w:jc w:val="both"/>
        <w:outlineLvl w:val="2"/>
        <w:rPr>
          <w:rFonts w:eastAsiaTheme="minorEastAsia" w:cs="Times New Roman"/>
          <w:noProof/>
        </w:rPr>
      </w:pPr>
      <w:bookmarkStart w:id="47" w:name="_Toc137472488"/>
      <w:r>
        <w:rPr>
          <w:noProof/>
        </w:rPr>
        <w:t xml:space="preserve">Investeringar RP-C21-i09: En enda kontaktpunkt för licensiering och övervakning av projekt </w:t>
      </w:r>
      <w:bookmarkEnd w:id="47"/>
      <w:r>
        <w:rPr>
          <w:noProof/>
        </w:rPr>
        <w:t>för förnybar energi</w:t>
      </w:r>
    </w:p>
    <w:p w14:paraId="52B75311" w14:textId="7CBD5A8C" w:rsidR="00E040FD" w:rsidRDefault="00740D64">
      <w:pPr>
        <w:pStyle w:val="P68B1DB1-Normal4"/>
        <w:spacing w:beforeLines="40" w:before="96" w:after="0" w:line="22" w:lineRule="atLeast"/>
        <w:jc w:val="both"/>
        <w:rPr>
          <w:rFonts w:cs="Times New Roman"/>
          <w:noProof/>
        </w:rPr>
      </w:pPr>
      <w:r>
        <w:rPr>
          <w:noProof/>
        </w:rPr>
        <w:t xml:space="preserve">Syftet med denna investering är att underlätta utvecklingen av projekt för förnybar energi genom att utveckla en digital gemensam kontaktpunkt för tillståndsgivning och övervakning av projekt för förnybar energi. </w:t>
      </w:r>
    </w:p>
    <w:p w14:paraId="5DFA9FE5" w14:textId="6B59B56A" w:rsidR="00E040FD" w:rsidRDefault="00740D64">
      <w:pPr>
        <w:pStyle w:val="P68B1DB1-Normal4"/>
        <w:spacing w:beforeLines="40" w:before="96" w:after="0" w:line="22" w:lineRule="atLeast"/>
        <w:jc w:val="both"/>
        <w:rPr>
          <w:rFonts w:cs="Times New Roman"/>
          <w:noProof/>
        </w:rPr>
      </w:pPr>
      <w:r>
        <w:rPr>
          <w:noProof/>
        </w:rPr>
        <w:t>Investeringen ska bestå av utveckling och lansering av den digitala plattformen med en enda kontaktpunkt. Plattformen ska omfatta följande funktioner:</w:t>
      </w:r>
    </w:p>
    <w:p w14:paraId="72D50388" w14:textId="364D295F" w:rsidR="00E040FD" w:rsidRDefault="00740D64">
      <w:pPr>
        <w:pStyle w:val="ListParagraph"/>
        <w:keepNext w:val="0"/>
        <w:numPr>
          <w:ilvl w:val="0"/>
          <w:numId w:val="91"/>
        </w:numPr>
        <w:spacing w:beforeLines="40" w:before="96" w:after="0" w:line="22" w:lineRule="atLeast"/>
        <w:rPr>
          <w:rFonts w:eastAsia="MS Mincho"/>
          <w:noProof/>
        </w:rPr>
      </w:pPr>
      <w:r>
        <w:rPr>
          <w:noProof/>
        </w:rPr>
        <w:t>Licensieringsmodul för projekt för egenförbrukning och gemenskaper för förnybar energi och för lagring i system bakom mätaren.</w:t>
      </w:r>
    </w:p>
    <w:p w14:paraId="70F57575" w14:textId="53348937" w:rsidR="00E040FD" w:rsidRDefault="00740D64">
      <w:pPr>
        <w:pStyle w:val="ListParagraph"/>
        <w:keepNext w:val="0"/>
        <w:numPr>
          <w:ilvl w:val="0"/>
          <w:numId w:val="91"/>
        </w:numPr>
        <w:spacing w:beforeLines="40" w:before="96" w:after="0" w:line="22" w:lineRule="atLeast"/>
        <w:rPr>
          <w:rFonts w:eastAsia="MS Mincho"/>
          <w:noProof/>
        </w:rPr>
      </w:pPr>
      <w:r>
        <w:rPr>
          <w:noProof/>
        </w:rPr>
        <w:t>Licensieringsmodul för centraliserade projekt för enbart nätbaserad förnybar energi och för lagring i system bakom mätaren.</w:t>
      </w:r>
    </w:p>
    <w:p w14:paraId="13A80FDA" w14:textId="77777777" w:rsidR="00E040FD" w:rsidRDefault="00740D64">
      <w:pPr>
        <w:pStyle w:val="ListParagraph"/>
        <w:keepNext w:val="0"/>
        <w:numPr>
          <w:ilvl w:val="0"/>
          <w:numId w:val="91"/>
        </w:numPr>
        <w:spacing w:beforeLines="40" w:before="96" w:after="0" w:line="22" w:lineRule="atLeast"/>
        <w:rPr>
          <w:rFonts w:eastAsia="MS Mincho"/>
          <w:noProof/>
        </w:rPr>
      </w:pPr>
      <w:r>
        <w:rPr>
          <w:noProof/>
        </w:rPr>
        <w:t xml:space="preserve">Licensieringsmodul för projekt med enbart lagring. </w:t>
      </w:r>
    </w:p>
    <w:p w14:paraId="3174EBE6" w14:textId="31F04ED3" w:rsidR="00E040FD" w:rsidRDefault="00740D64">
      <w:pPr>
        <w:pStyle w:val="ListParagraph"/>
        <w:keepNext w:val="0"/>
        <w:numPr>
          <w:ilvl w:val="0"/>
          <w:numId w:val="91"/>
        </w:numPr>
        <w:spacing w:beforeLines="40" w:before="96" w:after="0" w:line="22" w:lineRule="atLeast"/>
        <w:rPr>
          <w:rFonts w:eastAsia="MS Mincho"/>
          <w:noProof/>
        </w:rPr>
      </w:pPr>
      <w:r>
        <w:rPr>
          <w:noProof/>
        </w:rPr>
        <w:t>Observations- och statistikmodul för projekt för förnybar energi.</w:t>
      </w:r>
    </w:p>
    <w:p w14:paraId="6D8A97E4" w14:textId="33FAB76E" w:rsidR="00E040FD" w:rsidRDefault="00740D64">
      <w:pPr>
        <w:pStyle w:val="P68B1DB1-Normal4"/>
        <w:spacing w:beforeLines="40" w:before="96" w:after="0" w:line="22" w:lineRule="atLeast"/>
        <w:jc w:val="both"/>
        <w:rPr>
          <w:rFonts w:eastAsia="MS Mincho" w:cs="Times New Roman"/>
          <w:noProof/>
        </w:rPr>
      </w:pPr>
      <w:r>
        <w:rPr>
          <w:noProof/>
        </w:rPr>
        <w:t xml:space="preserve">Den enda kontaktpunkten ska utvecklas i två faser: </w:t>
      </w:r>
    </w:p>
    <w:p w14:paraId="78F1EEA6" w14:textId="77777777" w:rsidR="00E040FD" w:rsidRDefault="00740D64">
      <w:pPr>
        <w:pStyle w:val="ListParagraph"/>
        <w:keepNext w:val="0"/>
        <w:numPr>
          <w:ilvl w:val="0"/>
          <w:numId w:val="92"/>
        </w:numPr>
        <w:spacing w:beforeLines="40" w:before="96" w:after="0" w:line="22" w:lineRule="atLeast"/>
        <w:rPr>
          <w:rFonts w:eastAsia="MS Mincho"/>
          <w:noProof/>
        </w:rPr>
      </w:pPr>
      <w:r>
        <w:rPr>
          <w:noProof/>
        </w:rPr>
        <w:t xml:space="preserve">I den första fasen ska den digitala plattformen ha de tre licensieringsmodulerna i drift, så att användarna kan övervaka olika steg i licensieringsförfarandet (inbegripet utvecklings-, idriftsättnings-, testnings- och uppskjutningsfaserna). Plattformen ska presentera kraven och tidsfristerna för licensiering av projekt som rör förnybar energi. </w:t>
      </w:r>
    </w:p>
    <w:p w14:paraId="745D5B00" w14:textId="77777777" w:rsidR="00E040FD" w:rsidRDefault="00740D64">
      <w:pPr>
        <w:pStyle w:val="ListParagraph"/>
        <w:keepNext w:val="0"/>
        <w:numPr>
          <w:ilvl w:val="0"/>
          <w:numId w:val="92"/>
        </w:numPr>
        <w:spacing w:beforeLines="40" w:before="96" w:after="0" w:line="22" w:lineRule="atLeast"/>
        <w:rPr>
          <w:noProof/>
        </w:rPr>
      </w:pPr>
      <w:r>
        <w:rPr>
          <w:noProof/>
        </w:rPr>
        <w:t xml:space="preserve">I den andra fasen ska den digitala plattformen också ha moduler för observerbarhet och statistik i drift som gör det möjligt för användare att föra in uppgifter och utbyta dokument som rör licensieringsförfarandena och genomförandet av det licensierade projektet. Plattformen ska omfatta fjärrobservationer (satellitbilder) för att förbättra de offentliga myndigheternas övervakning av projektens genomförande. </w:t>
      </w:r>
    </w:p>
    <w:p w14:paraId="3C790337" w14:textId="0383A6A5" w:rsidR="00E040FD" w:rsidRDefault="00740D64">
      <w:pPr>
        <w:pStyle w:val="P68B1DB1-Normal4"/>
        <w:spacing w:beforeLines="40" w:before="96" w:after="0" w:line="22" w:lineRule="atLeast"/>
        <w:jc w:val="both"/>
        <w:rPr>
          <w:rFonts w:eastAsiaTheme="minorEastAsia" w:cs="Times New Roman"/>
          <w:noProof/>
        </w:rPr>
      </w:pPr>
      <w:r>
        <w:rPr>
          <w:noProof/>
        </w:rPr>
        <w:t xml:space="preserve">Dessutom ska investeringen omfatta dematerialisering (digitalisering, arkivering och bortskaffande) av befintliga tillståndshandlingar, i enlighet med vad som fastställts av generaldirektoratet för energi och geologi. </w:t>
      </w:r>
    </w:p>
    <w:p w14:paraId="097D2455" w14:textId="77777777" w:rsidR="00E040FD" w:rsidRDefault="00740D64">
      <w:pPr>
        <w:pStyle w:val="P68B1DB1-Normal4"/>
        <w:spacing w:beforeLines="40" w:before="96" w:after="0" w:line="22" w:lineRule="atLeast"/>
        <w:jc w:val="both"/>
        <w:rPr>
          <w:rFonts w:eastAsia="MS Mincho" w:cs="Times New Roman"/>
          <w:noProof/>
        </w:rPr>
      </w:pPr>
      <w:r>
        <w:rPr>
          <w:noProof/>
        </w:rPr>
        <w:t>Den enda kontaktpunkten ska vara förenlig med den europeiska uppförandekoden för datacentralers energieffektivitet.</w:t>
      </w:r>
    </w:p>
    <w:p w14:paraId="20E79212" w14:textId="77777777" w:rsidR="00E040FD" w:rsidRDefault="00740D64">
      <w:pPr>
        <w:pStyle w:val="P68B1DB1-Normal4"/>
        <w:spacing w:beforeLines="40" w:before="96" w:after="0" w:line="22" w:lineRule="atLeast"/>
        <w:jc w:val="both"/>
        <w:rPr>
          <w:rFonts w:cs="Times New Roman"/>
          <w:noProof/>
        </w:rPr>
      </w:pPr>
      <w:r>
        <w:rPr>
          <w:noProof/>
        </w:rPr>
        <w:t xml:space="preserve">Genomförandet av denna investering ska vara slutfört senast den 30 juni 2025.    </w:t>
      </w:r>
    </w:p>
    <w:p w14:paraId="359C93E7" w14:textId="1F1F1DB0"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 RP-C21-i10-RAA: Incitamentsystem för inköp och installation av lagringssystem för förnybar energi på Azorerna</w:t>
      </w:r>
    </w:p>
    <w:p w14:paraId="52E2CCD9" w14:textId="77777777" w:rsidR="00E040FD" w:rsidRDefault="00740D64">
      <w:pPr>
        <w:pStyle w:val="P68B1DB1-Normal4"/>
        <w:spacing w:before="40" w:after="0" w:line="259" w:lineRule="auto"/>
        <w:jc w:val="both"/>
        <w:rPr>
          <w:rFonts w:cs="Times New Roman"/>
          <w:noProof/>
        </w:rPr>
      </w:pPr>
      <w:r>
        <w:rPr>
          <w:noProof/>
        </w:rPr>
        <w:t xml:space="preserve">Syftet med denna investering är att främja energiomställningen på Azorerna och bidra till att öka ögruppens energioberoende. </w:t>
      </w:r>
    </w:p>
    <w:p w14:paraId="61D9890E" w14:textId="77777777" w:rsidR="00E040FD" w:rsidRDefault="00740D64">
      <w:pPr>
        <w:pStyle w:val="P68B1DB1-Normal4"/>
        <w:spacing w:before="40" w:after="0" w:line="259" w:lineRule="auto"/>
        <w:jc w:val="both"/>
        <w:rPr>
          <w:rFonts w:cs="Times New Roman"/>
          <w:noProof/>
        </w:rPr>
      </w:pPr>
      <w:r>
        <w:rPr>
          <w:noProof/>
        </w:rPr>
        <w:t xml:space="preserve">Investeringen ska bestå av ett incitamentsystem för inköp och installation av lagringssystem som syftar till lagring av el från förnybara energikällor för egenförbrukning av hushåll, företag, kooperativ, ideella organisationer och välgörenhetsinstitutioner. Investeringen ska vara i linje med det regionala lagstiftningsdekretet 12/2023/A, som införde ett incitament på upp till 85 % för inköp och installation av energilagringssystem, när dessa är avsedda att komplettera solcellssystem som köps in inom ramen för SOLENERGE, ett stimulansprogram som finansieras genom planen för återhämtning och resiliens (C14-i03-RAA). </w:t>
      </w:r>
    </w:p>
    <w:p w14:paraId="716BD153" w14:textId="77777777" w:rsidR="00E040FD" w:rsidRDefault="00740D64">
      <w:pPr>
        <w:pStyle w:val="P68B1DB1-Normal4"/>
        <w:spacing w:before="40" w:after="0" w:line="259" w:lineRule="auto"/>
        <w:jc w:val="both"/>
        <w:rPr>
          <w:rFonts w:cs="Times New Roman"/>
          <w:noProof/>
        </w:rPr>
      </w:pPr>
      <w:r>
        <w:rPr>
          <w:noProof/>
        </w:rPr>
        <w:t xml:space="preserve">Genomförandet av denna investering ska vara slutfört senast den 31 december 2025.  </w:t>
      </w:r>
    </w:p>
    <w:p w14:paraId="47B7A438" w14:textId="07C2A7E2"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 RP-C21-i11-RAM: Incitamentsystem för produktion och lagring av energi från förnybara energikällor på Madeira och Porto Santo</w:t>
      </w:r>
    </w:p>
    <w:p w14:paraId="6B23E104" w14:textId="3138E54B" w:rsidR="00E040FD" w:rsidRDefault="00740D64">
      <w:pPr>
        <w:pStyle w:val="P68B1DB1-Normal4"/>
        <w:spacing w:before="40" w:after="0" w:line="259" w:lineRule="auto"/>
        <w:jc w:val="both"/>
        <w:rPr>
          <w:rFonts w:cs="Times New Roman"/>
          <w:noProof/>
        </w:rPr>
      </w:pPr>
      <w:r>
        <w:rPr>
          <w:noProof/>
        </w:rPr>
        <w:t xml:space="preserve">Syftet med denna investering är att främja energiomställningen i den autonoma regionen Madeira, inbegripet ön Porto Santo, och bidra till att öka dess energioberoende. </w:t>
      </w:r>
    </w:p>
    <w:p w14:paraId="5A7C4D23" w14:textId="2D9E8807" w:rsidR="00E040FD" w:rsidRDefault="00740D64">
      <w:pPr>
        <w:pStyle w:val="P68B1DB1-Normal4"/>
        <w:spacing w:before="40" w:after="0" w:line="259" w:lineRule="auto"/>
        <w:jc w:val="both"/>
        <w:rPr>
          <w:rFonts w:cs="Times New Roman"/>
          <w:noProof/>
        </w:rPr>
      </w:pPr>
      <w:r>
        <w:rPr>
          <w:noProof/>
        </w:rPr>
        <w:t>Investeringen ska bestå av ett incitamentsystem för inköp och installation av system för produktion och lagring av förnybar el för egenförbrukning samt för inköp och installation av utrustning för varmvattenproduktion och värmeproduktion med hjälp av förnybara energikällor, av hushåll, mikroföretag, små och medelstora företag och ideella organisationer.</w:t>
      </w:r>
    </w:p>
    <w:p w14:paraId="6DA82D20" w14:textId="77777777" w:rsidR="00E040FD" w:rsidRDefault="00740D64">
      <w:pPr>
        <w:pStyle w:val="P68B1DB1-Normal4"/>
        <w:spacing w:before="40" w:after="0" w:line="259" w:lineRule="auto"/>
        <w:jc w:val="both"/>
        <w:rPr>
          <w:rFonts w:cs="Times New Roman"/>
          <w:noProof/>
        </w:rPr>
      </w:pPr>
      <w:r>
        <w:rPr>
          <w:noProof/>
        </w:rPr>
        <w:t>Alla fysiska och juridiska personer som äger en byggnad i den autonoma regionen Madeira, med undantag för den autonoma regionala förvaltningen, den lokala förvaltningen och statens direkta förvaltning, ska vara berättigade till tilldelning av icke återbetalningspliktiga bidrag.</w:t>
      </w:r>
    </w:p>
    <w:p w14:paraId="67D816AA" w14:textId="77777777" w:rsidR="00E040FD" w:rsidRDefault="00740D64">
      <w:pPr>
        <w:pStyle w:val="P68B1DB1-Normal4"/>
        <w:spacing w:before="40" w:after="0" w:line="259" w:lineRule="auto"/>
        <w:jc w:val="both"/>
        <w:rPr>
          <w:rFonts w:cs="Times New Roman"/>
          <w:noProof/>
        </w:rPr>
      </w:pPr>
      <w:r>
        <w:rPr>
          <w:noProof/>
        </w:rPr>
        <w:t xml:space="preserve">Genomförandet av denna investering ska vara slutfört senast den 31 mars 2026.  </w:t>
      </w:r>
    </w:p>
    <w:p w14:paraId="28B947D6" w14:textId="51AF2C64" w:rsidR="00E040FD" w:rsidRDefault="00740D64">
      <w:pPr>
        <w:pStyle w:val="P68B1DB1-Normal5"/>
        <w:keepNext/>
        <w:spacing w:before="240" w:after="0" w:line="259" w:lineRule="auto"/>
        <w:ind w:left="851"/>
        <w:jc w:val="both"/>
        <w:outlineLvl w:val="2"/>
        <w:rPr>
          <w:rFonts w:eastAsiaTheme="minorEastAsia" w:cs="Times New Roman"/>
          <w:noProof/>
        </w:rPr>
      </w:pPr>
      <w:bookmarkStart w:id="48" w:name="_Toc137472490"/>
      <w:r>
        <w:rPr>
          <w:noProof/>
        </w:rPr>
        <w:t>Investeringar RP-C21-i12: Utökad åtgärd: Utfasning av fossila bränslen i kollektivtrafiken</w:t>
      </w:r>
      <w:bookmarkEnd w:id="48"/>
    </w:p>
    <w:p w14:paraId="6705B588" w14:textId="77777777" w:rsidR="00E040FD" w:rsidRDefault="00740D64">
      <w:pPr>
        <w:pStyle w:val="P68B1DB1-Normal4"/>
        <w:spacing w:before="40" w:after="0" w:line="259" w:lineRule="auto"/>
        <w:jc w:val="both"/>
        <w:rPr>
          <w:rFonts w:cs="Times New Roman"/>
          <w:noProof/>
        </w:rPr>
      </w:pPr>
      <w:r>
        <w:rPr>
          <w:noProof/>
        </w:rPr>
        <w:t>Syftet med investeringen är att öka TC-C15 – I05: Utfasning av fossila bränslen i kollektivtrafiken inom del 15.</w:t>
      </w:r>
    </w:p>
    <w:p w14:paraId="6112059C" w14:textId="168CF149" w:rsidR="00E040FD" w:rsidRDefault="00740D64">
      <w:pPr>
        <w:pStyle w:val="P68B1DB1-Normal4"/>
        <w:spacing w:before="40" w:after="0" w:line="259" w:lineRule="auto"/>
        <w:jc w:val="both"/>
        <w:rPr>
          <w:rFonts w:cs="Times New Roman"/>
          <w:noProof/>
        </w:rPr>
      </w:pPr>
      <w:r>
        <w:rPr>
          <w:noProof/>
        </w:rPr>
        <w:t>Den utökade delen av åtgärden ska öka antalet nya utsläppsfria bussar som används för kollektivtrafik. Investeringens omfattning ska utvidgas från storstadsområdena Lissabon och Porto till hela Portugals kontinentala territorium och även omfatta installation av laddnings- eller tankstationer.</w:t>
      </w:r>
    </w:p>
    <w:p w14:paraId="6ED94F94" w14:textId="381133EB" w:rsidR="00E040FD" w:rsidRDefault="00740D64">
      <w:pPr>
        <w:pStyle w:val="P68B1DB1-Normal5"/>
        <w:keepNext/>
        <w:spacing w:before="240" w:after="0" w:line="259" w:lineRule="auto"/>
        <w:ind w:left="851"/>
        <w:jc w:val="both"/>
        <w:outlineLvl w:val="2"/>
        <w:rPr>
          <w:rFonts w:eastAsiaTheme="minorEastAsia" w:cs="Times New Roman"/>
          <w:noProof/>
        </w:rPr>
      </w:pPr>
      <w:bookmarkStart w:id="49" w:name="_Toc137472491"/>
      <w:r>
        <w:rPr>
          <w:noProof/>
        </w:rPr>
        <w:t>Investering RP-C21-i13-RAM: Utfasning av fossila bränslen inom transportsektorn</w:t>
      </w:r>
      <w:bookmarkEnd w:id="49"/>
    </w:p>
    <w:p w14:paraId="21CED56E" w14:textId="77777777" w:rsidR="00E040FD" w:rsidRDefault="00740D64">
      <w:pPr>
        <w:pStyle w:val="P68B1DB1-Normal4"/>
        <w:spacing w:before="40" w:after="0" w:line="259" w:lineRule="auto"/>
        <w:jc w:val="both"/>
        <w:rPr>
          <w:rFonts w:cs="Times New Roman"/>
          <w:noProof/>
        </w:rPr>
      </w:pPr>
      <w:r>
        <w:rPr>
          <w:noProof/>
        </w:rPr>
        <w:t xml:space="preserve">Syftet med denna åtgärd är att främja utfasningen av fossila bränslen inom transportsektorn i den autonoma regionen Madeira. </w:t>
      </w:r>
    </w:p>
    <w:p w14:paraId="16DEAFC2" w14:textId="77777777" w:rsidR="00E040FD" w:rsidRDefault="00740D64">
      <w:pPr>
        <w:pStyle w:val="P68B1DB1-Normal4"/>
        <w:spacing w:before="40" w:after="0" w:line="259" w:lineRule="auto"/>
        <w:jc w:val="both"/>
        <w:rPr>
          <w:rFonts w:cs="Times New Roman"/>
          <w:noProof/>
        </w:rPr>
      </w:pPr>
      <w:r>
        <w:rPr>
          <w:noProof/>
        </w:rPr>
        <w:t>Investeringen ska omfatta följande:</w:t>
      </w:r>
    </w:p>
    <w:p w14:paraId="7809744C" w14:textId="065D66D6" w:rsidR="00E040FD" w:rsidRDefault="00740D64">
      <w:pPr>
        <w:pStyle w:val="P68B1DB1-Normal4"/>
        <w:spacing w:before="40" w:after="0" w:line="259" w:lineRule="auto"/>
        <w:jc w:val="both"/>
        <w:rPr>
          <w:rFonts w:cs="Times New Roman"/>
          <w:noProof/>
        </w:rPr>
      </w:pPr>
      <w:r>
        <w:rPr>
          <w:noProof/>
        </w:rPr>
        <w:t>i) Inköp av 26 utsläppsfria bussar (el- eller vätgasdrivna) för kollektivtrafik och turisttjänster.</w:t>
      </w:r>
    </w:p>
    <w:p w14:paraId="1DBF8B1C" w14:textId="53E2B8FF" w:rsidR="00E040FD" w:rsidRDefault="00740D64">
      <w:pPr>
        <w:pStyle w:val="P68B1DB1-Normal4"/>
        <w:spacing w:before="40" w:after="0" w:line="259" w:lineRule="auto"/>
        <w:jc w:val="both"/>
        <w:rPr>
          <w:rFonts w:cs="Times New Roman"/>
          <w:noProof/>
        </w:rPr>
      </w:pPr>
      <w:r>
        <w:rPr>
          <w:noProof/>
        </w:rPr>
        <w:t xml:space="preserve">II) Installation av de laddningsstationer som behövs för driften av bussarna. </w:t>
      </w:r>
    </w:p>
    <w:p w14:paraId="5848829E" w14:textId="7927C66D" w:rsidR="00E040FD" w:rsidRDefault="00740D64">
      <w:pPr>
        <w:pStyle w:val="P68B1DB1-Normal4"/>
        <w:spacing w:before="40" w:after="0" w:line="259" w:lineRule="auto"/>
        <w:jc w:val="both"/>
        <w:rPr>
          <w:rFonts w:cs="Times New Roman"/>
          <w:noProof/>
        </w:rPr>
      </w:pPr>
      <w:r>
        <w:rPr>
          <w:noProof/>
        </w:rPr>
        <w:t xml:space="preserve">III) Ett skrotningssystem för fordon under förutsättning att de ersätts av inköp av elfordon, med ett ekonomiskt bidrag på högst 6 000 EUR per skrotat fordon och incitament för olika socioekonomiska kategorier. </w:t>
      </w:r>
    </w:p>
    <w:p w14:paraId="70C7D23E" w14:textId="77777777" w:rsidR="00E040FD" w:rsidRDefault="00740D64">
      <w:pPr>
        <w:pStyle w:val="P68B1DB1-Normal4"/>
        <w:spacing w:before="40" w:after="0" w:line="259" w:lineRule="auto"/>
        <w:jc w:val="both"/>
        <w:rPr>
          <w:rFonts w:cs="Times New Roman"/>
          <w:noProof/>
        </w:rPr>
      </w:pPr>
      <w:r>
        <w:rPr>
          <w:noProof/>
        </w:rPr>
        <w:t xml:space="preserve">Genomförandet av denna investering ska vara slutfört senast den 31 mars 2026.  </w:t>
      </w:r>
    </w:p>
    <w:p w14:paraId="1AA9D1E2" w14:textId="05F4472D"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 xml:space="preserve">Investeringar RP-C21-i14: Buss snabbtransitering Braga </w:t>
      </w:r>
    </w:p>
    <w:p w14:paraId="7FE597E6" w14:textId="77777777" w:rsidR="00E040FD" w:rsidRDefault="00740D64">
      <w:pPr>
        <w:pStyle w:val="P68B1DB1-Normal4"/>
        <w:spacing w:before="40" w:after="0" w:line="259" w:lineRule="auto"/>
        <w:jc w:val="both"/>
        <w:rPr>
          <w:rFonts w:cs="Times New Roman"/>
          <w:noProof/>
        </w:rPr>
      </w:pPr>
      <w:r>
        <w:rPr>
          <w:noProof/>
        </w:rPr>
        <w:t>Denna investering syftar till att förbättra den hållbara kollektivtrafiken i Braga.</w:t>
      </w:r>
    </w:p>
    <w:p w14:paraId="260159BA" w14:textId="08272C53" w:rsidR="00E040FD" w:rsidRDefault="00740D64">
      <w:pPr>
        <w:pStyle w:val="P68B1DB1-Normal4"/>
        <w:spacing w:before="40" w:after="0" w:line="259" w:lineRule="auto"/>
        <w:jc w:val="both"/>
        <w:rPr>
          <w:rFonts w:cs="Times New Roman"/>
          <w:noProof/>
        </w:rPr>
      </w:pPr>
      <w:r>
        <w:rPr>
          <w:noProof/>
        </w:rPr>
        <w:t>Investeringen ska bestå i inrättandet av ett nytt system för snabb transitering i staden Braga. Systemet ska till största delen användas i särskilda körfält och med endast utsläppsfria (el- eller vätgasdrivna) bussar. Två linjer ska byggas: den gula linjen mellan tågstationen och Avenida Robert Smith och den röda linjen, mellan tågstationen och Bragasjukhuset.</w:t>
      </w:r>
    </w:p>
    <w:p w14:paraId="1CDC0220" w14:textId="36D380BF" w:rsidR="00E040FD" w:rsidRDefault="00740D64">
      <w:pPr>
        <w:pStyle w:val="P68B1DB1-Normal4"/>
        <w:spacing w:before="40" w:after="0" w:line="259" w:lineRule="auto"/>
        <w:jc w:val="both"/>
        <w:rPr>
          <w:rFonts w:cs="Times New Roman"/>
          <w:noProof/>
        </w:rPr>
      </w:pPr>
      <w:r>
        <w:rPr>
          <w:noProof/>
        </w:rPr>
        <w:t xml:space="preserve">Investeringen ska också omfatta inköp av tio utsläppsfria bussar, inklusive de laddningsstationer som krävs för att driva linjerna.  </w:t>
      </w:r>
    </w:p>
    <w:p w14:paraId="3F4A3907" w14:textId="77777777" w:rsidR="00E040FD" w:rsidRDefault="00740D64">
      <w:pPr>
        <w:pStyle w:val="P68B1DB1-Normal4"/>
        <w:spacing w:before="40" w:after="0" w:line="259" w:lineRule="auto"/>
        <w:jc w:val="both"/>
        <w:rPr>
          <w:rFonts w:cs="Times New Roman"/>
          <w:noProof/>
        </w:rPr>
      </w:pPr>
      <w:r>
        <w:rPr>
          <w:noProof/>
        </w:rPr>
        <w:t xml:space="preserve">Genomförandet av denna investering ska vara slutfört senast den 30 juni 2026.  </w:t>
      </w:r>
    </w:p>
    <w:p w14:paraId="39CFA3B4" w14:textId="075B3B54" w:rsidR="00E040FD" w:rsidRDefault="00740D64">
      <w:pPr>
        <w:pStyle w:val="P68B1DB1-Normal5"/>
        <w:keepNext/>
        <w:spacing w:before="240" w:after="0" w:line="259" w:lineRule="auto"/>
        <w:ind w:left="851"/>
        <w:jc w:val="both"/>
        <w:outlineLvl w:val="2"/>
        <w:rPr>
          <w:rFonts w:eastAsiaTheme="minorEastAsia" w:cs="Times New Roman"/>
          <w:noProof/>
        </w:rPr>
      </w:pPr>
      <w:bookmarkStart w:id="50" w:name="_Toc137472492"/>
      <w:r>
        <w:rPr>
          <w:noProof/>
        </w:rPr>
        <w:t xml:space="preserve">Investering RP-C21-i15-RAA: Förvärv av två elektriska </w:t>
      </w:r>
      <w:bookmarkEnd w:id="50"/>
      <w:r>
        <w:rPr>
          <w:noProof/>
        </w:rPr>
        <w:t>färjor</w:t>
      </w:r>
    </w:p>
    <w:p w14:paraId="6DC814CB" w14:textId="77777777" w:rsidR="00E040FD" w:rsidRDefault="00740D64">
      <w:pPr>
        <w:pStyle w:val="P68B1DB1-Normal4"/>
        <w:spacing w:before="40" w:after="0" w:line="259" w:lineRule="auto"/>
        <w:jc w:val="both"/>
        <w:rPr>
          <w:rFonts w:cs="Times New Roman"/>
          <w:noProof/>
        </w:rPr>
      </w:pPr>
      <w:r>
        <w:rPr>
          <w:noProof/>
        </w:rPr>
        <w:t xml:space="preserve">Denna investering syftar till att främja utfasningen av fossila bränslen inom transportsektorn och den interna rörligheten i den autonoma regionen Azorerna. </w:t>
      </w:r>
    </w:p>
    <w:p w14:paraId="2FD2AFE0" w14:textId="487179FD" w:rsidR="00E040FD" w:rsidRDefault="00740D64">
      <w:pPr>
        <w:pStyle w:val="P68B1DB1-Normal4"/>
        <w:spacing w:before="40" w:after="0" w:line="259" w:lineRule="auto"/>
        <w:jc w:val="both"/>
        <w:rPr>
          <w:rFonts w:cs="Times New Roman"/>
          <w:noProof/>
        </w:rPr>
      </w:pPr>
      <w:r>
        <w:rPr>
          <w:noProof/>
        </w:rPr>
        <w:t>Investeringen ska bestå av inköp av två elfärjor för det offentliga företaget Atlanticoline S.A. för transport av passagerare och fordon mellan öarna Pico, Faial och São Jorge. Färjorna ska ha en kapacitet på minst 200 och 100 passagerare.</w:t>
      </w:r>
    </w:p>
    <w:p w14:paraId="40B1EF3B" w14:textId="77777777" w:rsidR="00E040FD" w:rsidRDefault="00740D64">
      <w:pPr>
        <w:pStyle w:val="P68B1DB1-Normal4"/>
        <w:spacing w:before="40" w:after="0" w:line="259" w:lineRule="auto"/>
        <w:jc w:val="both"/>
        <w:rPr>
          <w:rFonts w:cs="Times New Roman"/>
          <w:noProof/>
        </w:rPr>
      </w:pPr>
      <w:r>
        <w:rPr>
          <w:noProof/>
        </w:rPr>
        <w:t xml:space="preserve">Genomförandet av denna investering ska vara slutfört senast den 31 december 2025. </w:t>
      </w:r>
    </w:p>
    <w:p w14:paraId="72E1DF93" w14:textId="6FEAFE37"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Investeringar RP-C21-i16: Nazaré Funicular</w:t>
      </w:r>
    </w:p>
    <w:p w14:paraId="5E4AFA32" w14:textId="77777777" w:rsidR="00E040FD" w:rsidRDefault="00740D64">
      <w:pPr>
        <w:pStyle w:val="P68B1DB1-Normal4"/>
        <w:spacing w:before="40" w:after="0" w:line="259" w:lineRule="auto"/>
        <w:jc w:val="both"/>
        <w:rPr>
          <w:rFonts w:cs="Times New Roman"/>
          <w:noProof/>
        </w:rPr>
      </w:pPr>
      <w:r>
        <w:rPr>
          <w:noProof/>
        </w:rPr>
        <w:t xml:space="preserve">Denna investering syftar till att tillhandahålla hållbar kollektivtrafik i Nazaré. </w:t>
      </w:r>
    </w:p>
    <w:p w14:paraId="7D6D2A4D" w14:textId="77777777" w:rsidR="00E040FD" w:rsidRDefault="00740D64">
      <w:pPr>
        <w:pStyle w:val="P68B1DB1-Normal4"/>
        <w:spacing w:before="40" w:after="0" w:line="259" w:lineRule="auto"/>
        <w:jc w:val="both"/>
        <w:rPr>
          <w:rFonts w:cs="Times New Roman"/>
          <w:noProof/>
        </w:rPr>
      </w:pPr>
      <w:r>
        <w:rPr>
          <w:noProof/>
        </w:rPr>
        <w:t>Investeringen ska omfatta införandet av en mekanisk transportlösning (bergbanelösning) på cirka 200 meter mellan Praia och Pedreneiraområdet. Bergbanan ska integreras i kollektivtrafiknätet och vara tillgänglig för cyklar och personer med nedsatt rörlighet.</w:t>
      </w:r>
    </w:p>
    <w:p w14:paraId="39B86464" w14:textId="77777777" w:rsidR="00E040FD" w:rsidRDefault="00740D64">
      <w:pPr>
        <w:pStyle w:val="P68B1DB1-Normal4"/>
        <w:spacing w:before="40" w:after="0" w:line="259" w:lineRule="auto"/>
        <w:jc w:val="both"/>
        <w:rPr>
          <w:rFonts w:cs="Times New Roman"/>
          <w:noProof/>
        </w:rPr>
        <w:sectPr w:rsidR="00E040FD" w:rsidSect="00E00EDD">
          <w:headerReference w:type="even" r:id="rId368"/>
          <w:headerReference w:type="default" r:id="rId369"/>
          <w:footerReference w:type="even" r:id="rId370"/>
          <w:footerReference w:type="default" r:id="rId371"/>
          <w:headerReference w:type="first" r:id="rId372"/>
          <w:footerReference w:type="first" r:id="rId373"/>
          <w:pgSz w:w="11906" w:h="16838"/>
          <w:pgMar w:top="1134" w:right="1134" w:bottom="1134" w:left="1134" w:header="567" w:footer="567" w:gutter="0"/>
          <w:cols w:space="708"/>
          <w:docGrid w:linePitch="360"/>
        </w:sectPr>
      </w:pPr>
      <w:r>
        <w:rPr>
          <w:noProof/>
        </w:rPr>
        <w:t>Genomförandet av denna investering ska vara slutfört senast den 31 mars 2026.</w:t>
      </w:r>
    </w:p>
    <w:p w14:paraId="0274D0A2" w14:textId="267B412C"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U.2. Delmål, mål, indikatorer och tidsplan för övervakning och genomförande avseende icke återbetalningspliktigt ekonomiskt stöd</w:t>
      </w:r>
    </w:p>
    <w:p w14:paraId="7DFE2BC4" w14:textId="77777777" w:rsidR="00E040FD" w:rsidRDefault="00E040FD">
      <w:pPr>
        <w:spacing w:after="0"/>
        <w:jc w:val="both"/>
        <w:rPr>
          <w:rFonts w:ascii="Times New Roman" w:hAnsi="Times New Roman" w:cs="Times New Roman"/>
          <w:noProof/>
          <w:sz w:val="24"/>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992"/>
        <w:gridCol w:w="567"/>
        <w:gridCol w:w="708"/>
        <w:gridCol w:w="3969"/>
      </w:tblGrid>
      <w:tr w:rsidR="00E040FD" w14:paraId="2FB90E61" w14:textId="77777777">
        <w:trPr>
          <w:trHeight w:val="910"/>
          <w:tblHeader/>
        </w:trPr>
        <w:tc>
          <w:tcPr>
            <w:tcW w:w="1135" w:type="dxa"/>
            <w:vMerge w:val="restart"/>
            <w:shd w:val="clear" w:color="auto" w:fill="BDD6EE"/>
            <w:vAlign w:val="center"/>
            <w:hideMark/>
          </w:tcPr>
          <w:p w14:paraId="6370AB5A"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vAlign w:val="center"/>
            <w:hideMark/>
          </w:tcPr>
          <w:p w14:paraId="746A88F0"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vAlign w:val="center"/>
            <w:hideMark/>
          </w:tcPr>
          <w:p w14:paraId="361458F2" w14:textId="77777777" w:rsidR="00E040FD" w:rsidRDefault="00740D64">
            <w:pPr>
              <w:pStyle w:val="P68B1DB1-Normal6"/>
              <w:spacing w:after="0" w:line="240" w:lineRule="auto"/>
              <w:jc w:val="center"/>
              <w:rPr>
                <w:rFonts w:eastAsia="Times New Roman" w:cs="Times New Roman"/>
                <w:noProof/>
              </w:rPr>
            </w:pPr>
            <w:r>
              <w:rPr>
                <w:noProof/>
              </w:rPr>
              <w:t>Delmål/mål</w:t>
            </w:r>
          </w:p>
        </w:tc>
        <w:tc>
          <w:tcPr>
            <w:tcW w:w="1701" w:type="dxa"/>
            <w:vMerge w:val="restart"/>
            <w:shd w:val="clear" w:color="auto" w:fill="BDD6EE"/>
            <w:vAlign w:val="center"/>
            <w:hideMark/>
          </w:tcPr>
          <w:p w14:paraId="45A51C32" w14:textId="77777777" w:rsidR="00E040FD" w:rsidRDefault="00740D64">
            <w:pPr>
              <w:pStyle w:val="P68B1DB1-Normal6"/>
              <w:spacing w:after="0" w:line="240" w:lineRule="auto"/>
              <w:jc w:val="center"/>
              <w:rPr>
                <w:rFonts w:eastAsia="Times New Roman" w:cs="Times New Roman"/>
                <w:noProof/>
              </w:rPr>
            </w:pPr>
            <w:r>
              <w:rPr>
                <w:noProof/>
              </w:rPr>
              <w:t>Namn</w:t>
            </w:r>
          </w:p>
        </w:tc>
        <w:tc>
          <w:tcPr>
            <w:tcW w:w="1275" w:type="dxa"/>
            <w:vMerge w:val="restart"/>
            <w:shd w:val="clear" w:color="auto" w:fill="BDD6EE"/>
            <w:vAlign w:val="center"/>
            <w:hideMark/>
          </w:tcPr>
          <w:p w14:paraId="6A3793A9"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977" w:type="dxa"/>
            <w:gridSpan w:val="3"/>
            <w:shd w:val="clear" w:color="auto" w:fill="BDD6EE"/>
            <w:vAlign w:val="center"/>
            <w:hideMark/>
          </w:tcPr>
          <w:p w14:paraId="7128B101"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vAlign w:val="center"/>
            <w:hideMark/>
          </w:tcPr>
          <w:p w14:paraId="411B61CF" w14:textId="77777777" w:rsidR="00E040FD" w:rsidRDefault="00740D64">
            <w:pPr>
              <w:pStyle w:val="P68B1DB1-Normal6"/>
              <w:spacing w:after="0" w:line="240" w:lineRule="auto"/>
              <w:jc w:val="center"/>
              <w:rPr>
                <w:rFonts w:eastAsia="Times New Roman" w:cs="Times New Roman"/>
                <w:noProof/>
              </w:rPr>
            </w:pPr>
            <w:r>
              <w:rPr>
                <w:noProof/>
              </w:rPr>
              <w:t>Preliminär tidsplan för slutförande</w:t>
            </w:r>
          </w:p>
        </w:tc>
        <w:tc>
          <w:tcPr>
            <w:tcW w:w="3969" w:type="dxa"/>
            <w:vMerge w:val="restart"/>
            <w:shd w:val="clear" w:color="auto" w:fill="BDD6EE"/>
            <w:vAlign w:val="center"/>
            <w:hideMark/>
          </w:tcPr>
          <w:p w14:paraId="52841226"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1758BE16" w14:textId="77777777">
        <w:trPr>
          <w:trHeight w:val="470"/>
          <w:tblHeader/>
        </w:trPr>
        <w:tc>
          <w:tcPr>
            <w:tcW w:w="1135" w:type="dxa"/>
            <w:vMerge/>
            <w:vAlign w:val="center"/>
            <w:hideMark/>
          </w:tcPr>
          <w:p w14:paraId="69695928"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098E3D09"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vAlign w:val="center"/>
            <w:hideMark/>
          </w:tcPr>
          <w:p w14:paraId="30C82C28" w14:textId="77777777" w:rsidR="00E040FD" w:rsidRDefault="00E040FD">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0A52C29E" w14:textId="77777777" w:rsidR="00E040FD" w:rsidRDefault="00E040FD">
            <w:pPr>
              <w:spacing w:after="0" w:line="240" w:lineRule="auto"/>
              <w:jc w:val="center"/>
              <w:rPr>
                <w:rFonts w:ascii="Times New Roman" w:eastAsia="Times New Roman" w:hAnsi="Times New Roman" w:cs="Times New Roman"/>
                <w:b/>
                <w:noProof/>
                <w:sz w:val="18"/>
              </w:rPr>
            </w:pPr>
          </w:p>
        </w:tc>
        <w:tc>
          <w:tcPr>
            <w:tcW w:w="1275" w:type="dxa"/>
            <w:vMerge/>
            <w:vAlign w:val="center"/>
            <w:hideMark/>
          </w:tcPr>
          <w:p w14:paraId="2400D0D6" w14:textId="77777777" w:rsidR="00E040FD" w:rsidRDefault="00E040FD">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4E586660"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vAlign w:val="center"/>
            <w:hideMark/>
          </w:tcPr>
          <w:p w14:paraId="305C5967"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992" w:type="dxa"/>
            <w:shd w:val="clear" w:color="auto" w:fill="BDD6EE"/>
            <w:vAlign w:val="center"/>
            <w:hideMark/>
          </w:tcPr>
          <w:p w14:paraId="61DE86CD"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7" w:type="dxa"/>
            <w:shd w:val="clear" w:color="auto" w:fill="BDD6EE"/>
            <w:vAlign w:val="center"/>
            <w:hideMark/>
          </w:tcPr>
          <w:p w14:paraId="30E66421"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shd w:val="clear" w:color="auto" w:fill="BDD6EE"/>
            <w:vAlign w:val="center"/>
            <w:hideMark/>
          </w:tcPr>
          <w:p w14:paraId="119C10EB" w14:textId="77777777" w:rsidR="00E040FD" w:rsidRDefault="00740D64">
            <w:pPr>
              <w:pStyle w:val="P68B1DB1-Normal6"/>
              <w:spacing w:after="0" w:line="240" w:lineRule="auto"/>
              <w:jc w:val="center"/>
              <w:rPr>
                <w:rFonts w:eastAsia="Times New Roman" w:cs="Times New Roman"/>
                <w:noProof/>
              </w:rPr>
            </w:pPr>
            <w:r>
              <w:rPr>
                <w:noProof/>
              </w:rPr>
              <w:t>Året</w:t>
            </w:r>
          </w:p>
        </w:tc>
        <w:tc>
          <w:tcPr>
            <w:tcW w:w="3969" w:type="dxa"/>
            <w:vMerge/>
            <w:vAlign w:val="center"/>
            <w:hideMark/>
          </w:tcPr>
          <w:p w14:paraId="2B41D36D" w14:textId="77777777" w:rsidR="00E040FD" w:rsidRDefault="00E040FD">
            <w:pPr>
              <w:spacing w:after="0" w:line="240" w:lineRule="auto"/>
              <w:jc w:val="both"/>
              <w:rPr>
                <w:rFonts w:ascii="Times New Roman" w:eastAsia="Times New Roman" w:hAnsi="Times New Roman" w:cs="Times New Roman"/>
                <w:b/>
                <w:noProof/>
                <w:sz w:val="18"/>
              </w:rPr>
            </w:pPr>
          </w:p>
        </w:tc>
      </w:tr>
      <w:tr w:rsidR="00E040FD" w14:paraId="1B415B45" w14:textId="77777777">
        <w:trPr>
          <w:trHeight w:val="430"/>
        </w:trPr>
        <w:tc>
          <w:tcPr>
            <w:tcW w:w="1135" w:type="dxa"/>
            <w:shd w:val="clear" w:color="auto" w:fill="C4EFCE"/>
            <w:vAlign w:val="center"/>
          </w:tcPr>
          <w:p w14:paraId="42812264" w14:textId="024AEF5D" w:rsidR="00E040FD" w:rsidRDefault="00740D64">
            <w:pPr>
              <w:pStyle w:val="P68B1DB1-Normal11"/>
              <w:spacing w:after="0" w:line="240" w:lineRule="auto"/>
              <w:jc w:val="center"/>
              <w:rPr>
                <w:rFonts w:eastAsia="Times New Roman" w:cstheme="minorHAnsi"/>
                <w:noProof/>
              </w:rPr>
            </w:pPr>
            <w:r>
              <w:rPr>
                <w:noProof/>
              </w:rPr>
              <w:t>21.1</w:t>
            </w:r>
          </w:p>
        </w:tc>
        <w:tc>
          <w:tcPr>
            <w:tcW w:w="1276" w:type="dxa"/>
            <w:shd w:val="clear" w:color="auto" w:fill="C4EFCE"/>
            <w:noWrap/>
            <w:vAlign w:val="center"/>
          </w:tcPr>
          <w:p w14:paraId="6F112C58" w14:textId="0FCD6E79" w:rsidR="00E040FD" w:rsidRDefault="00740D64">
            <w:pPr>
              <w:pStyle w:val="P68B1DB1-Normal12"/>
              <w:spacing w:after="0" w:line="240" w:lineRule="auto"/>
              <w:jc w:val="center"/>
              <w:rPr>
                <w:rFonts w:eastAsia="Times New Roman" w:cstheme="minorHAnsi"/>
                <w:noProof/>
              </w:rPr>
            </w:pPr>
            <w:r>
              <w:rPr>
                <w:noProof/>
              </w:rPr>
              <w:t>RP-C21-i01</w:t>
            </w:r>
          </w:p>
        </w:tc>
        <w:tc>
          <w:tcPr>
            <w:tcW w:w="1134" w:type="dxa"/>
            <w:shd w:val="clear" w:color="auto" w:fill="C4EFCE"/>
            <w:noWrap/>
            <w:vAlign w:val="center"/>
          </w:tcPr>
          <w:p w14:paraId="00DF19E5" w14:textId="5713C776"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9F1054A" w14:textId="2CD7F0DB" w:rsidR="00E040FD" w:rsidRDefault="00740D64">
            <w:pPr>
              <w:pStyle w:val="P68B1DB1-Normal12"/>
              <w:spacing w:after="0" w:line="240" w:lineRule="auto"/>
              <w:jc w:val="center"/>
              <w:rPr>
                <w:rFonts w:eastAsia="Times New Roman" w:cstheme="minorHAnsi"/>
                <w:noProof/>
              </w:rPr>
            </w:pPr>
            <w:r>
              <w:rPr>
                <w:noProof/>
              </w:rPr>
              <w:t>Ekonomiskt stöd till förenklade projekt för utfasning av fossila bränslen inom industrin</w:t>
            </w:r>
          </w:p>
        </w:tc>
        <w:tc>
          <w:tcPr>
            <w:tcW w:w="1275" w:type="dxa"/>
            <w:shd w:val="clear" w:color="auto" w:fill="C4EFCE"/>
            <w:noWrap/>
            <w:vAlign w:val="center"/>
          </w:tcPr>
          <w:p w14:paraId="7E64A9F8" w14:textId="7B347046"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76D97C60" w14:textId="733FC61D" w:rsidR="00E040FD" w:rsidRDefault="00740D64">
            <w:pPr>
              <w:pStyle w:val="P68B1DB1-Normal12"/>
              <w:spacing w:after="0" w:line="240" w:lineRule="auto"/>
              <w:jc w:val="center"/>
              <w:rPr>
                <w:rFonts w:eastAsia="Times New Roman" w:cstheme="minorHAnsi"/>
                <w:noProof/>
              </w:rPr>
            </w:pPr>
            <w:r>
              <w:rPr>
                <w:noProof/>
              </w:rPr>
              <w:t>Antal</w:t>
            </w:r>
          </w:p>
        </w:tc>
        <w:tc>
          <w:tcPr>
            <w:tcW w:w="992" w:type="dxa"/>
            <w:shd w:val="clear" w:color="auto" w:fill="C4EFCE"/>
            <w:noWrap/>
            <w:vAlign w:val="center"/>
          </w:tcPr>
          <w:p w14:paraId="1085590D" w14:textId="21F3462D" w:rsidR="00E040FD" w:rsidRDefault="00740D64">
            <w:pPr>
              <w:pStyle w:val="P68B1DB1-Normal12"/>
              <w:spacing w:after="0" w:line="240" w:lineRule="auto"/>
              <w:jc w:val="center"/>
              <w:rPr>
                <w:rFonts w:eastAsia="Times New Roman" w:cstheme="minorHAnsi"/>
                <w:noProof/>
              </w:rPr>
            </w:pPr>
            <w:r>
              <w:rPr>
                <w:noProof/>
              </w:rPr>
              <w:t>310</w:t>
            </w:r>
          </w:p>
        </w:tc>
        <w:tc>
          <w:tcPr>
            <w:tcW w:w="992" w:type="dxa"/>
            <w:shd w:val="clear" w:color="auto" w:fill="C4EFCE"/>
            <w:noWrap/>
            <w:vAlign w:val="center"/>
          </w:tcPr>
          <w:p w14:paraId="66B60A08" w14:textId="70EBD20F" w:rsidR="00E040FD" w:rsidRDefault="00740D64">
            <w:pPr>
              <w:pStyle w:val="P68B1DB1-Normal12"/>
              <w:spacing w:after="0" w:line="240" w:lineRule="auto"/>
              <w:jc w:val="center"/>
              <w:rPr>
                <w:rFonts w:eastAsia="Times New Roman" w:cstheme="minorHAnsi"/>
                <w:noProof/>
              </w:rPr>
            </w:pPr>
            <w:r>
              <w:rPr>
                <w:noProof/>
              </w:rPr>
              <w:t>810</w:t>
            </w:r>
          </w:p>
        </w:tc>
        <w:tc>
          <w:tcPr>
            <w:tcW w:w="567" w:type="dxa"/>
            <w:shd w:val="clear" w:color="auto" w:fill="C4EFCE"/>
            <w:noWrap/>
            <w:vAlign w:val="center"/>
          </w:tcPr>
          <w:p w14:paraId="70ABCB97" w14:textId="6E42FAD2"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shd w:val="clear" w:color="auto" w:fill="C4EFCE"/>
            <w:noWrap/>
            <w:vAlign w:val="center"/>
          </w:tcPr>
          <w:p w14:paraId="09AE5546" w14:textId="1A9D3DD5" w:rsidR="00E040FD" w:rsidRDefault="00740D6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000A03D3" w14:textId="05550CD8" w:rsidR="00E040FD" w:rsidRDefault="00740D64">
            <w:pPr>
              <w:pStyle w:val="P68B1DB1-Normal12"/>
              <w:spacing w:after="0" w:line="240" w:lineRule="auto"/>
              <w:jc w:val="both"/>
              <w:rPr>
                <w:rFonts w:eastAsia="Times New Roman" w:cstheme="minorHAnsi"/>
                <w:noProof/>
              </w:rPr>
            </w:pPr>
            <w:r>
              <w:rPr>
                <w:noProof/>
              </w:rPr>
              <w:t>Antal projekt som fått ekonomiskt stöd för utfasning av fossila bränslen i industrin som rör minst ett av följande områden: koldioxidsnåla processer och tekniker, antagande av energieffektivitetsåtgärder. och införlivande av förnybar energi och energilagring. En minskning med i genomsnitt 30 % av de direkta och indirekta växthusgasutsläppen för projekt som motsvarar insatsområde 024ter, och efterlevnad av den tekniska vägledningen om att inte orsaka betydande skada (2021/C58/01), inbegripet för anläggningar som omfattas av EU:s utsläppshandelssystem för att säkerställa att de anläggningar som får stöd uppnår beräknade växthusgasutsläpp som ligger under det riktmärke som fastställts för gratis tilldelning enligt kommissionens genomförandeförordning (EU) 2021/447, ska säkerställas för de industrianläggningar som får stöd.</w:t>
            </w:r>
          </w:p>
        </w:tc>
      </w:tr>
      <w:tr w:rsidR="00E040FD" w14:paraId="2C3FFB3B" w14:textId="77777777">
        <w:trPr>
          <w:trHeight w:val="430"/>
        </w:trPr>
        <w:tc>
          <w:tcPr>
            <w:tcW w:w="1135" w:type="dxa"/>
            <w:shd w:val="clear" w:color="auto" w:fill="C4EFCE"/>
            <w:vAlign w:val="center"/>
          </w:tcPr>
          <w:p w14:paraId="0747785A" w14:textId="48735E30" w:rsidR="00E040FD" w:rsidRDefault="00740D64">
            <w:pPr>
              <w:pStyle w:val="P68B1DB1-Normal11"/>
              <w:spacing w:after="0" w:line="240" w:lineRule="auto"/>
              <w:jc w:val="center"/>
              <w:rPr>
                <w:rFonts w:eastAsia="Times New Roman" w:cstheme="minorHAnsi"/>
                <w:noProof/>
              </w:rPr>
            </w:pPr>
            <w:r>
              <w:rPr>
                <w:noProof/>
              </w:rPr>
              <w:t>21.2</w:t>
            </w:r>
          </w:p>
        </w:tc>
        <w:tc>
          <w:tcPr>
            <w:tcW w:w="1276" w:type="dxa"/>
            <w:shd w:val="clear" w:color="auto" w:fill="C4EFCE"/>
            <w:noWrap/>
            <w:vAlign w:val="center"/>
          </w:tcPr>
          <w:p w14:paraId="5BE0D3A2" w14:textId="6FC836BB" w:rsidR="00E040FD" w:rsidRDefault="00740D64">
            <w:pPr>
              <w:pStyle w:val="P68B1DB1-Normal12"/>
              <w:spacing w:after="0" w:line="240" w:lineRule="auto"/>
              <w:jc w:val="center"/>
              <w:rPr>
                <w:rFonts w:eastAsia="Times New Roman"/>
                <w:noProof/>
              </w:rPr>
            </w:pPr>
            <w:r>
              <w:rPr>
                <w:noProof/>
              </w:rPr>
              <w:t>RP-C21-i02</w:t>
            </w:r>
          </w:p>
        </w:tc>
        <w:tc>
          <w:tcPr>
            <w:tcW w:w="1134" w:type="dxa"/>
            <w:shd w:val="clear" w:color="auto" w:fill="C4EFCE"/>
            <w:noWrap/>
            <w:vAlign w:val="center"/>
          </w:tcPr>
          <w:p w14:paraId="5B23DDDE" w14:textId="3F052B9B"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A037CB2" w14:textId="4466B745" w:rsidR="00E040FD" w:rsidRDefault="00740D64">
            <w:pPr>
              <w:pStyle w:val="P68B1DB1-Normal12"/>
              <w:spacing w:after="0" w:line="240" w:lineRule="auto"/>
              <w:jc w:val="center"/>
              <w:rPr>
                <w:rFonts w:eastAsia="Times New Roman" w:cstheme="minorHAnsi"/>
                <w:noProof/>
              </w:rPr>
            </w:pPr>
            <w:r>
              <w:rPr>
                <w:noProof/>
              </w:rPr>
              <w:t>Energieffektivitetsrenovering av privata bostadshus</w:t>
            </w:r>
          </w:p>
        </w:tc>
        <w:tc>
          <w:tcPr>
            <w:tcW w:w="1275" w:type="dxa"/>
            <w:shd w:val="clear" w:color="auto" w:fill="C4EFCE"/>
            <w:noWrap/>
            <w:vAlign w:val="center"/>
          </w:tcPr>
          <w:p w14:paraId="42D3737C" w14:textId="3391A35D" w:rsidR="00E040FD" w:rsidRDefault="00740D6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5022613" w14:textId="753503B1" w:rsidR="00E040FD" w:rsidRDefault="00740D64">
            <w:pPr>
              <w:pStyle w:val="P68B1DB1-Normal12"/>
              <w:spacing w:after="0" w:line="240" w:lineRule="auto"/>
              <w:jc w:val="center"/>
              <w:rPr>
                <w:rFonts w:eastAsia="Times New Roman" w:cstheme="minorHAnsi"/>
                <w:noProof/>
              </w:rPr>
            </w:pPr>
            <w:r>
              <w:rPr>
                <w:noProof/>
              </w:rPr>
              <w:t>m²</w:t>
            </w:r>
          </w:p>
        </w:tc>
        <w:tc>
          <w:tcPr>
            <w:tcW w:w="992" w:type="dxa"/>
            <w:shd w:val="clear" w:color="auto" w:fill="C4EFCE"/>
            <w:noWrap/>
            <w:vAlign w:val="center"/>
          </w:tcPr>
          <w:p w14:paraId="7E7B926C" w14:textId="0DDBA67F" w:rsidR="00E040FD" w:rsidRDefault="00740D6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65AD2C2C" w14:textId="1AD9FE5B" w:rsidR="00E040FD" w:rsidRDefault="00740D64">
            <w:pPr>
              <w:pStyle w:val="P68B1DB1-Normal12"/>
              <w:spacing w:after="0" w:line="240" w:lineRule="auto"/>
              <w:jc w:val="center"/>
              <w:rPr>
                <w:rFonts w:eastAsia="Times New Roman" w:cstheme="minorHAnsi"/>
                <w:noProof/>
              </w:rPr>
            </w:pPr>
            <w:r>
              <w:rPr>
                <w:noProof/>
              </w:rPr>
              <w:t>6 588 000</w:t>
            </w:r>
          </w:p>
        </w:tc>
        <w:tc>
          <w:tcPr>
            <w:tcW w:w="567" w:type="dxa"/>
            <w:shd w:val="clear" w:color="auto" w:fill="C4EFCE"/>
            <w:noWrap/>
            <w:vAlign w:val="center"/>
          </w:tcPr>
          <w:p w14:paraId="3F848666" w14:textId="13CEF6EA" w:rsidR="00E040FD" w:rsidRDefault="00740D64">
            <w:pPr>
              <w:pStyle w:val="P68B1DB1-Normal12"/>
              <w:spacing w:after="0" w:line="240" w:lineRule="auto"/>
              <w:jc w:val="center"/>
              <w:rPr>
                <w:rFonts w:eastAsia="Times New Roman" w:cstheme="minorHAnsi"/>
                <w:noProof/>
              </w:rPr>
            </w:pPr>
            <w:r>
              <w:rPr>
                <w:noProof/>
              </w:rPr>
              <w:t>KVARTAL 3</w:t>
            </w:r>
          </w:p>
        </w:tc>
        <w:tc>
          <w:tcPr>
            <w:tcW w:w="708" w:type="dxa"/>
            <w:shd w:val="clear" w:color="auto" w:fill="C4EFCE"/>
            <w:noWrap/>
            <w:vAlign w:val="center"/>
          </w:tcPr>
          <w:p w14:paraId="5A24DEE7" w14:textId="05E31959" w:rsidR="00E040FD" w:rsidRDefault="00740D6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450107E" w14:textId="77777777" w:rsidR="00E040FD" w:rsidRDefault="00740D64">
            <w:pPr>
              <w:pStyle w:val="P68B1DB1-Bodytext1013"/>
              <w:spacing w:after="0" w:line="240" w:lineRule="auto"/>
              <w:jc w:val="both"/>
              <w:rPr>
                <w:rFonts w:cstheme="minorBidi"/>
                <w:noProof/>
              </w:rPr>
            </w:pPr>
            <w:r>
              <w:rPr>
                <w:noProof/>
              </w:rPr>
              <w:t>Område för renoverade privata bostadshus. Energieffektivitetsrenoveringar ska i genomsnitt leda till en renovering av minst medelstor omfattning enligt definitionen i kommissionens rekommendation om byggnadsrenovering (EU) 2019/786.</w:t>
            </w:r>
          </w:p>
          <w:p w14:paraId="53883AAE" w14:textId="07B5302D" w:rsidR="00E040FD" w:rsidRDefault="00740D64">
            <w:pPr>
              <w:pStyle w:val="P68B1DB1-Normal12"/>
              <w:spacing w:after="0" w:line="240" w:lineRule="auto"/>
              <w:jc w:val="both"/>
              <w:rPr>
                <w:rFonts w:eastAsia="Times New Roman"/>
                <w:noProof/>
              </w:rPr>
            </w:pPr>
            <w:r>
              <w:rPr>
                <w:noProof/>
              </w:rPr>
              <w:t>60 % av den golvyta som renoveras inom ramen för denna investering ska vara i flerbostadshus.</w:t>
            </w:r>
          </w:p>
        </w:tc>
      </w:tr>
      <w:tr w:rsidR="00E040FD" w14:paraId="43A42DC3" w14:textId="77777777">
        <w:trPr>
          <w:trHeight w:val="430"/>
        </w:trPr>
        <w:tc>
          <w:tcPr>
            <w:tcW w:w="1135" w:type="dxa"/>
            <w:shd w:val="clear" w:color="auto" w:fill="C4EFCE"/>
            <w:vAlign w:val="center"/>
          </w:tcPr>
          <w:p w14:paraId="212EC2F2" w14:textId="10638F5D" w:rsidR="00E040FD" w:rsidRDefault="00740D64">
            <w:pPr>
              <w:pStyle w:val="P68B1DB1-Normal11"/>
              <w:spacing w:after="0" w:line="240" w:lineRule="auto"/>
              <w:jc w:val="center"/>
              <w:rPr>
                <w:rFonts w:eastAsia="Times New Roman" w:cstheme="minorHAnsi"/>
                <w:noProof/>
              </w:rPr>
            </w:pPr>
            <w:r>
              <w:rPr>
                <w:noProof/>
              </w:rPr>
              <w:t>21.3</w:t>
            </w:r>
          </w:p>
        </w:tc>
        <w:tc>
          <w:tcPr>
            <w:tcW w:w="1276" w:type="dxa"/>
            <w:shd w:val="clear" w:color="auto" w:fill="C4EFCE"/>
            <w:noWrap/>
            <w:vAlign w:val="center"/>
          </w:tcPr>
          <w:p w14:paraId="19F97C7B" w14:textId="567F96C9" w:rsidR="00E040FD" w:rsidRDefault="00740D64">
            <w:pPr>
              <w:pStyle w:val="P68B1DB1-Normal12"/>
              <w:spacing w:after="0" w:line="240" w:lineRule="auto"/>
              <w:jc w:val="center"/>
              <w:rPr>
                <w:rFonts w:eastAsia="Times New Roman" w:cstheme="minorHAnsi"/>
                <w:noProof/>
              </w:rPr>
            </w:pPr>
            <w:r>
              <w:rPr>
                <w:noProof/>
              </w:rPr>
              <w:t>RP-C21-i02</w:t>
            </w:r>
          </w:p>
        </w:tc>
        <w:tc>
          <w:tcPr>
            <w:tcW w:w="1134" w:type="dxa"/>
            <w:shd w:val="clear" w:color="auto" w:fill="C4EFCE"/>
            <w:noWrap/>
            <w:vAlign w:val="center"/>
          </w:tcPr>
          <w:p w14:paraId="132947DD" w14:textId="77C8791A"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1B6A035" w14:textId="694C7A54" w:rsidR="00E040FD" w:rsidRDefault="00740D64">
            <w:pPr>
              <w:pStyle w:val="P68B1DB1-Normal12"/>
              <w:spacing w:after="0" w:line="240" w:lineRule="auto"/>
              <w:jc w:val="center"/>
              <w:rPr>
                <w:rFonts w:eastAsia="Times New Roman" w:cstheme="minorHAnsi"/>
                <w:noProof/>
              </w:rPr>
            </w:pPr>
            <w:r>
              <w:rPr>
                <w:noProof/>
              </w:rPr>
              <w:t>Ytterligare produktionskapacitet för förnybar energi för egen förbrukning och för användning i den privata bostadssektorn</w:t>
            </w:r>
          </w:p>
        </w:tc>
        <w:tc>
          <w:tcPr>
            <w:tcW w:w="1275" w:type="dxa"/>
            <w:shd w:val="clear" w:color="auto" w:fill="C4EFCE"/>
            <w:noWrap/>
            <w:vAlign w:val="center"/>
          </w:tcPr>
          <w:p w14:paraId="462CF090" w14:textId="485EB454" w:rsidR="00E040FD" w:rsidRDefault="00740D6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5159FF3" w14:textId="7438D3FA" w:rsidR="00E040FD" w:rsidRDefault="00740D64">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69A60CBC" w14:textId="43291961" w:rsidR="00E040FD" w:rsidRDefault="00740D6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224371DF" w14:textId="1ABF65F2" w:rsidR="00E040FD" w:rsidRDefault="00740D64">
            <w:pPr>
              <w:pStyle w:val="P68B1DB1-Normal12"/>
              <w:spacing w:after="0" w:line="240" w:lineRule="auto"/>
              <w:jc w:val="center"/>
              <w:rPr>
                <w:rFonts w:eastAsia="Times New Roman" w:cstheme="minorHAnsi"/>
                <w:noProof/>
              </w:rPr>
            </w:pPr>
            <w:r>
              <w:rPr>
                <w:noProof/>
              </w:rPr>
              <w:t>10</w:t>
            </w:r>
          </w:p>
        </w:tc>
        <w:tc>
          <w:tcPr>
            <w:tcW w:w="567" w:type="dxa"/>
            <w:shd w:val="clear" w:color="auto" w:fill="C4EFCE"/>
            <w:noWrap/>
            <w:vAlign w:val="center"/>
          </w:tcPr>
          <w:p w14:paraId="10744F3B" w14:textId="3BB6C83C" w:rsidR="00E040FD" w:rsidRDefault="00740D64">
            <w:pPr>
              <w:pStyle w:val="P68B1DB1-Normal12"/>
              <w:spacing w:after="0" w:line="240" w:lineRule="auto"/>
              <w:jc w:val="center"/>
              <w:rPr>
                <w:rFonts w:eastAsia="Times New Roman" w:cstheme="minorHAnsi"/>
                <w:noProof/>
              </w:rPr>
            </w:pPr>
            <w:r>
              <w:rPr>
                <w:noProof/>
              </w:rPr>
              <w:t>KVARTAL 3</w:t>
            </w:r>
          </w:p>
        </w:tc>
        <w:tc>
          <w:tcPr>
            <w:tcW w:w="708" w:type="dxa"/>
            <w:shd w:val="clear" w:color="auto" w:fill="C4EFCE"/>
            <w:noWrap/>
            <w:vAlign w:val="center"/>
          </w:tcPr>
          <w:p w14:paraId="59104E64" w14:textId="6E2C7F09" w:rsidR="00E040FD" w:rsidRDefault="00740D6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3C1262EC" w14:textId="61BF6995" w:rsidR="00E040FD" w:rsidRDefault="00740D64">
            <w:pPr>
              <w:pStyle w:val="P68B1DB1-Bodytext1013"/>
              <w:spacing w:after="0" w:line="240" w:lineRule="auto"/>
              <w:jc w:val="both"/>
              <w:rPr>
                <w:rFonts w:cstheme="minorBidi"/>
                <w:noProof/>
              </w:rPr>
            </w:pPr>
            <w:r>
              <w:rPr>
                <w:noProof/>
              </w:rPr>
              <w:t>Ytterligare produktionskapacitet för förnybar energi (t.ex. solcellspaneler och batterier i takt med att den senare tekniken mognar) installerad för egenförbrukning och för användning i den privata bostadssektorn.</w:t>
            </w:r>
          </w:p>
          <w:p w14:paraId="619C48DD" w14:textId="545238A6" w:rsidR="00E040FD" w:rsidRDefault="00E040FD">
            <w:pPr>
              <w:spacing w:after="0" w:line="240" w:lineRule="auto"/>
              <w:jc w:val="both"/>
              <w:rPr>
                <w:rFonts w:eastAsia="Times New Roman"/>
                <w:noProof/>
                <w:sz w:val="16"/>
              </w:rPr>
            </w:pPr>
          </w:p>
        </w:tc>
      </w:tr>
      <w:tr w:rsidR="00E040FD" w14:paraId="73882A16" w14:textId="77777777">
        <w:trPr>
          <w:trHeight w:val="430"/>
        </w:trPr>
        <w:tc>
          <w:tcPr>
            <w:tcW w:w="1135" w:type="dxa"/>
            <w:shd w:val="clear" w:color="auto" w:fill="C4EFCE"/>
            <w:vAlign w:val="center"/>
          </w:tcPr>
          <w:p w14:paraId="15BBD858" w14:textId="5C3A7649" w:rsidR="00E040FD" w:rsidRDefault="00740D64">
            <w:pPr>
              <w:pStyle w:val="P68B1DB1-Normal11"/>
              <w:spacing w:after="0" w:line="240" w:lineRule="auto"/>
              <w:jc w:val="center"/>
              <w:rPr>
                <w:rFonts w:eastAsia="Times New Roman" w:cstheme="minorHAnsi"/>
                <w:noProof/>
              </w:rPr>
            </w:pPr>
            <w:r>
              <w:rPr>
                <w:noProof/>
              </w:rPr>
              <w:t>21.4</w:t>
            </w:r>
          </w:p>
        </w:tc>
        <w:tc>
          <w:tcPr>
            <w:tcW w:w="1276" w:type="dxa"/>
            <w:shd w:val="clear" w:color="auto" w:fill="C4EFCE"/>
            <w:noWrap/>
            <w:vAlign w:val="center"/>
          </w:tcPr>
          <w:p w14:paraId="62676A47" w14:textId="49D8AEF4" w:rsidR="00E040FD" w:rsidRDefault="00740D64">
            <w:pPr>
              <w:pStyle w:val="P68B1DB1-Normal12"/>
              <w:spacing w:after="0" w:line="240" w:lineRule="auto"/>
              <w:jc w:val="center"/>
              <w:rPr>
                <w:rFonts w:eastAsia="Times New Roman" w:cstheme="minorHAnsi"/>
                <w:noProof/>
              </w:rPr>
            </w:pPr>
            <w:r>
              <w:rPr>
                <w:noProof/>
              </w:rPr>
              <w:t>RP-C21-i03</w:t>
            </w:r>
          </w:p>
        </w:tc>
        <w:tc>
          <w:tcPr>
            <w:tcW w:w="1134" w:type="dxa"/>
            <w:shd w:val="clear" w:color="auto" w:fill="C4EFCE"/>
            <w:noWrap/>
            <w:vAlign w:val="center"/>
          </w:tcPr>
          <w:p w14:paraId="34651C7B" w14:textId="18BC97B7"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60269BC" w14:textId="16150F7D" w:rsidR="00E040FD" w:rsidRDefault="00740D64">
            <w:pPr>
              <w:pStyle w:val="P68B1DB1-Normal12"/>
              <w:spacing w:after="0" w:line="240" w:lineRule="auto"/>
              <w:jc w:val="center"/>
              <w:rPr>
                <w:rFonts w:eastAsia="Times New Roman" w:cstheme="minorHAnsi"/>
                <w:noProof/>
              </w:rPr>
            </w:pPr>
            <w:r>
              <w:rPr>
                <w:noProof/>
              </w:rPr>
              <w:t>Energieffektiv renovering av tjänstebyggnader</w:t>
            </w:r>
          </w:p>
        </w:tc>
        <w:tc>
          <w:tcPr>
            <w:tcW w:w="1275" w:type="dxa"/>
            <w:shd w:val="clear" w:color="auto" w:fill="C4EFCE"/>
            <w:noWrap/>
            <w:vAlign w:val="center"/>
          </w:tcPr>
          <w:p w14:paraId="459F1CF9" w14:textId="40FFF73E" w:rsidR="00E040FD" w:rsidRDefault="00740D6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42767D5" w14:textId="36BCCE48" w:rsidR="00E040FD" w:rsidRDefault="00740D64">
            <w:pPr>
              <w:pStyle w:val="P68B1DB1-Normal12"/>
              <w:spacing w:after="0" w:line="240" w:lineRule="auto"/>
              <w:jc w:val="center"/>
              <w:rPr>
                <w:rFonts w:eastAsia="Times New Roman" w:cstheme="minorHAnsi"/>
                <w:noProof/>
              </w:rPr>
            </w:pPr>
            <w:r>
              <w:rPr>
                <w:noProof/>
              </w:rPr>
              <w:t>m²</w:t>
            </w:r>
          </w:p>
        </w:tc>
        <w:tc>
          <w:tcPr>
            <w:tcW w:w="992" w:type="dxa"/>
            <w:shd w:val="clear" w:color="auto" w:fill="C4EFCE"/>
            <w:noWrap/>
            <w:vAlign w:val="center"/>
          </w:tcPr>
          <w:p w14:paraId="76C71504" w14:textId="4B820CEF" w:rsidR="00E040FD" w:rsidRDefault="00740D64">
            <w:pPr>
              <w:pStyle w:val="P68B1DB1-Normal12"/>
              <w:spacing w:after="0" w:line="240" w:lineRule="auto"/>
              <w:jc w:val="center"/>
              <w:rPr>
                <w:rFonts w:eastAsia="Times New Roman"/>
                <w:noProof/>
              </w:rPr>
            </w:pPr>
            <w:r>
              <w:rPr>
                <w:noProof/>
              </w:rPr>
              <w:t>360,000</w:t>
            </w:r>
          </w:p>
        </w:tc>
        <w:tc>
          <w:tcPr>
            <w:tcW w:w="992" w:type="dxa"/>
            <w:shd w:val="clear" w:color="auto" w:fill="C4EFCE"/>
            <w:noWrap/>
            <w:vAlign w:val="center"/>
          </w:tcPr>
          <w:p w14:paraId="4E7E34F6" w14:textId="24377808" w:rsidR="00E040FD" w:rsidRDefault="00740D64">
            <w:pPr>
              <w:pStyle w:val="P68B1DB1-Normal12"/>
              <w:spacing w:after="0" w:line="240" w:lineRule="auto"/>
              <w:jc w:val="center"/>
              <w:rPr>
                <w:rFonts w:eastAsia="Times New Roman"/>
                <w:noProof/>
              </w:rPr>
            </w:pPr>
            <w:r>
              <w:rPr>
                <w:noProof/>
              </w:rPr>
              <w:t>1 060 000</w:t>
            </w:r>
          </w:p>
        </w:tc>
        <w:tc>
          <w:tcPr>
            <w:tcW w:w="567" w:type="dxa"/>
            <w:shd w:val="clear" w:color="auto" w:fill="C4EFCE"/>
            <w:noWrap/>
            <w:vAlign w:val="center"/>
          </w:tcPr>
          <w:p w14:paraId="5AC29A9B" w14:textId="18572D01"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shd w:val="clear" w:color="auto" w:fill="C4EFCE"/>
            <w:noWrap/>
            <w:vAlign w:val="center"/>
          </w:tcPr>
          <w:p w14:paraId="76B212F5" w14:textId="63663A41" w:rsidR="00E040FD" w:rsidRDefault="00740D6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3D5C6F9" w14:textId="23A297C7" w:rsidR="00E040FD" w:rsidRDefault="00740D64">
            <w:pPr>
              <w:pStyle w:val="P68B1DB1-Bodytext1013"/>
              <w:spacing w:after="0" w:line="240" w:lineRule="auto"/>
              <w:jc w:val="both"/>
              <w:rPr>
                <w:rFonts w:cstheme="minorBidi"/>
                <w:noProof/>
              </w:rPr>
            </w:pPr>
            <w:r>
              <w:rPr>
                <w:noProof/>
              </w:rPr>
              <w:t>Total yta byggnader som används av tjänstesektorn och som ska genomgå energieffektivitetsrenoveringar.</w:t>
            </w:r>
          </w:p>
          <w:p w14:paraId="288E3B5D" w14:textId="3DBE8827" w:rsidR="00E040FD" w:rsidRDefault="00740D64">
            <w:pPr>
              <w:pStyle w:val="P68B1DB1-Normal12"/>
              <w:spacing w:after="0" w:line="240" w:lineRule="auto"/>
              <w:jc w:val="both"/>
              <w:rPr>
                <w:rFonts w:eastAsia="Times New Roman" w:cstheme="minorHAnsi"/>
                <w:noProof/>
              </w:rPr>
            </w:pPr>
            <w:r>
              <w:rPr>
                <w:noProof/>
              </w:rPr>
              <w:t>Energieffektivitetsrenoveringar ska i genomsnitt leda till en renovering av minst medelstor omfattning enligt definitionen i kommissionens rekommendation om byggnadsrenovering (EU) 2019/786.</w:t>
            </w:r>
          </w:p>
        </w:tc>
      </w:tr>
      <w:tr w:rsidR="00E040FD" w14:paraId="51B258CA" w14:textId="77777777">
        <w:trPr>
          <w:trHeight w:val="430"/>
        </w:trPr>
        <w:tc>
          <w:tcPr>
            <w:tcW w:w="1135" w:type="dxa"/>
            <w:shd w:val="clear" w:color="auto" w:fill="C4EFCE"/>
            <w:vAlign w:val="center"/>
          </w:tcPr>
          <w:p w14:paraId="2644F217" w14:textId="22F80D52" w:rsidR="00E040FD" w:rsidRDefault="00740D64">
            <w:pPr>
              <w:pStyle w:val="P68B1DB1-Normal11"/>
              <w:spacing w:after="0" w:line="240" w:lineRule="auto"/>
              <w:jc w:val="center"/>
              <w:rPr>
                <w:rFonts w:eastAsia="Times New Roman" w:cstheme="minorHAnsi"/>
                <w:noProof/>
              </w:rPr>
            </w:pPr>
            <w:r>
              <w:rPr>
                <w:noProof/>
              </w:rPr>
              <w:t>21.5</w:t>
            </w:r>
          </w:p>
        </w:tc>
        <w:tc>
          <w:tcPr>
            <w:tcW w:w="1276" w:type="dxa"/>
            <w:shd w:val="clear" w:color="auto" w:fill="C4EFCE"/>
            <w:noWrap/>
            <w:vAlign w:val="center"/>
          </w:tcPr>
          <w:p w14:paraId="3E081706" w14:textId="65AC1B46" w:rsidR="00E040FD" w:rsidRDefault="00740D64">
            <w:pPr>
              <w:pStyle w:val="P68B1DB1-Bodytext1013"/>
              <w:rPr>
                <w:rFonts w:cstheme="minorHAnsi"/>
                <w:noProof/>
              </w:rPr>
            </w:pPr>
            <w:r>
              <w:rPr>
                <w:noProof/>
              </w:rPr>
              <w:t>RP-21-i04-RAM</w:t>
            </w:r>
          </w:p>
        </w:tc>
        <w:tc>
          <w:tcPr>
            <w:tcW w:w="1134" w:type="dxa"/>
            <w:shd w:val="clear" w:color="auto" w:fill="C4EFCE"/>
            <w:noWrap/>
            <w:vAlign w:val="center"/>
          </w:tcPr>
          <w:p w14:paraId="576823A2" w14:textId="761EF1D1"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12BF19D" w14:textId="12ED4A50" w:rsidR="00E040FD" w:rsidRDefault="00740D64">
            <w:pPr>
              <w:pStyle w:val="P68B1DB1-Normal12"/>
              <w:spacing w:after="0" w:line="240" w:lineRule="auto"/>
              <w:jc w:val="center"/>
              <w:rPr>
                <w:rFonts w:eastAsia="Times New Roman"/>
                <w:noProof/>
              </w:rPr>
            </w:pPr>
            <w:r>
              <w:rPr>
                <w:noProof/>
              </w:rPr>
              <w:t>Ytterligare produktionskapacitet för förnybar energi för egenförbrukning och lokal användning av förnybar energi i renoverade offentliga byggnader</w:t>
            </w:r>
          </w:p>
        </w:tc>
        <w:tc>
          <w:tcPr>
            <w:tcW w:w="1275" w:type="dxa"/>
            <w:shd w:val="clear" w:color="auto" w:fill="C4EFCE"/>
            <w:noWrap/>
            <w:vAlign w:val="center"/>
          </w:tcPr>
          <w:p w14:paraId="1DE1063A" w14:textId="66359CB1" w:rsidR="00E040FD" w:rsidRDefault="00740D6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5CB8B204" w14:textId="31C920AC" w:rsidR="00E040FD" w:rsidRDefault="00740D64">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34922037" w14:textId="7CAC268A" w:rsidR="00E040FD" w:rsidRDefault="00740D64">
            <w:pPr>
              <w:pStyle w:val="P68B1DB1-Normal12"/>
              <w:spacing w:after="0" w:line="240" w:lineRule="auto"/>
              <w:jc w:val="center"/>
              <w:rPr>
                <w:noProof/>
              </w:rPr>
            </w:pPr>
            <w:r>
              <w:rPr>
                <w:noProof/>
              </w:rPr>
              <w:t xml:space="preserve"> 0</w:t>
            </w:r>
          </w:p>
        </w:tc>
        <w:tc>
          <w:tcPr>
            <w:tcW w:w="992" w:type="dxa"/>
            <w:shd w:val="clear" w:color="auto" w:fill="C4EFCE"/>
            <w:noWrap/>
            <w:vAlign w:val="center"/>
          </w:tcPr>
          <w:p w14:paraId="64EAB2DF" w14:textId="7012C39E" w:rsidR="00E040FD" w:rsidRDefault="00740D64">
            <w:pPr>
              <w:pStyle w:val="P68B1DB1-Normal12"/>
              <w:spacing w:after="0" w:line="240" w:lineRule="auto"/>
              <w:jc w:val="center"/>
              <w:rPr>
                <w:rFonts w:eastAsia="Times New Roman" w:cstheme="minorHAnsi"/>
                <w:noProof/>
              </w:rPr>
            </w:pPr>
            <w:r>
              <w:rPr>
                <w:noProof/>
              </w:rPr>
              <w:t>1.3</w:t>
            </w:r>
          </w:p>
        </w:tc>
        <w:tc>
          <w:tcPr>
            <w:tcW w:w="567" w:type="dxa"/>
            <w:shd w:val="clear" w:color="auto" w:fill="C4EFCE"/>
            <w:noWrap/>
            <w:vAlign w:val="center"/>
          </w:tcPr>
          <w:p w14:paraId="1ADD0D80" w14:textId="19F06FDD"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2D5B9DF9" w14:textId="38003732" w:rsidR="00E040FD" w:rsidRDefault="00740D6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EC83552" w14:textId="34489AEE" w:rsidR="00E040FD" w:rsidRDefault="00740D64">
            <w:pPr>
              <w:pStyle w:val="P68B1DB1-Bodytext1013"/>
              <w:spacing w:after="0" w:line="240" w:lineRule="auto"/>
              <w:jc w:val="both"/>
              <w:rPr>
                <w:rFonts w:cstheme="minorBidi"/>
                <w:noProof/>
              </w:rPr>
            </w:pPr>
            <w:r>
              <w:rPr>
                <w:noProof/>
              </w:rPr>
              <w:t>Ytterligare produktionskapacitet för förnybar energi för egenförbrukning i offentliga byggnader.</w:t>
            </w:r>
          </w:p>
        </w:tc>
      </w:tr>
      <w:tr w:rsidR="00E040FD" w14:paraId="468840B8" w14:textId="77777777">
        <w:trPr>
          <w:trHeight w:val="1519"/>
        </w:trPr>
        <w:tc>
          <w:tcPr>
            <w:tcW w:w="1135" w:type="dxa"/>
            <w:shd w:val="clear" w:color="auto" w:fill="C4EFCE"/>
            <w:vAlign w:val="center"/>
          </w:tcPr>
          <w:p w14:paraId="48117054" w14:textId="0841057E" w:rsidR="00E040FD" w:rsidRDefault="00740D64">
            <w:pPr>
              <w:pStyle w:val="P68B1DB1-Normal11"/>
              <w:spacing w:after="0" w:line="240" w:lineRule="auto"/>
              <w:jc w:val="center"/>
              <w:rPr>
                <w:rFonts w:eastAsia="Times New Roman" w:cstheme="minorHAnsi"/>
                <w:noProof/>
              </w:rPr>
            </w:pPr>
            <w:r>
              <w:rPr>
                <w:noProof/>
              </w:rPr>
              <w:t>21.6</w:t>
            </w:r>
          </w:p>
        </w:tc>
        <w:tc>
          <w:tcPr>
            <w:tcW w:w="1276" w:type="dxa"/>
            <w:shd w:val="clear" w:color="auto" w:fill="C4EFCE"/>
            <w:noWrap/>
            <w:vAlign w:val="center"/>
          </w:tcPr>
          <w:p w14:paraId="600F3363" w14:textId="417C60DB" w:rsidR="00E040FD" w:rsidRDefault="00740D64">
            <w:pPr>
              <w:pStyle w:val="P68B1DB1-Normal12"/>
              <w:spacing w:after="0" w:line="240" w:lineRule="auto"/>
              <w:jc w:val="center"/>
              <w:rPr>
                <w:rFonts w:eastAsia="Times New Roman" w:cstheme="minorHAnsi"/>
                <w:noProof/>
              </w:rPr>
            </w:pPr>
            <w:r>
              <w:rPr>
                <w:noProof/>
              </w:rPr>
              <w:t>RP-21-i04-RAM</w:t>
            </w:r>
          </w:p>
        </w:tc>
        <w:tc>
          <w:tcPr>
            <w:tcW w:w="1134" w:type="dxa"/>
            <w:shd w:val="clear" w:color="auto" w:fill="C4EFCE"/>
            <w:noWrap/>
            <w:vAlign w:val="center"/>
          </w:tcPr>
          <w:p w14:paraId="423333E2" w14:textId="5B9C803B"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15A338D" w14:textId="1DF04D00" w:rsidR="00E040FD" w:rsidRDefault="00740D64">
            <w:pPr>
              <w:pStyle w:val="P68B1DB1-Normal12"/>
              <w:spacing w:after="0" w:line="240" w:lineRule="auto"/>
              <w:jc w:val="center"/>
              <w:rPr>
                <w:rFonts w:eastAsia="Times New Roman" w:cstheme="minorHAnsi"/>
                <w:noProof/>
              </w:rPr>
            </w:pPr>
            <w:r>
              <w:rPr>
                <w:noProof/>
              </w:rPr>
              <w:t>Energieffektivitetsrenovering i byggnader för offentliga tjänster</w:t>
            </w:r>
          </w:p>
        </w:tc>
        <w:tc>
          <w:tcPr>
            <w:tcW w:w="1275" w:type="dxa"/>
            <w:shd w:val="clear" w:color="auto" w:fill="C4EFCE"/>
            <w:noWrap/>
            <w:vAlign w:val="center"/>
          </w:tcPr>
          <w:p w14:paraId="3C7888E1" w14:textId="26C6AC41" w:rsidR="00E040FD" w:rsidRDefault="00740D6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772805B6" w14:textId="2ECAF662" w:rsidR="00E040FD" w:rsidRDefault="00740D64">
            <w:pPr>
              <w:pStyle w:val="P68B1DB1-Normal12"/>
              <w:spacing w:after="0" w:line="240" w:lineRule="auto"/>
              <w:jc w:val="center"/>
              <w:rPr>
                <w:rFonts w:eastAsia="Times New Roman" w:cstheme="minorHAnsi"/>
                <w:noProof/>
              </w:rPr>
            </w:pPr>
            <w:r>
              <w:rPr>
                <w:noProof/>
              </w:rPr>
              <w:t>m</w:t>
            </w:r>
            <w:r>
              <w:rPr>
                <w:noProof/>
                <w:vertAlign w:val="superscript"/>
              </w:rPr>
              <w:t>2</w:t>
            </w:r>
          </w:p>
        </w:tc>
        <w:tc>
          <w:tcPr>
            <w:tcW w:w="992" w:type="dxa"/>
            <w:shd w:val="clear" w:color="auto" w:fill="C4EFCE"/>
            <w:noWrap/>
            <w:vAlign w:val="center"/>
          </w:tcPr>
          <w:p w14:paraId="55701F7C" w14:textId="5FDE8DB7" w:rsidR="00E040FD" w:rsidRDefault="00740D64">
            <w:pPr>
              <w:pStyle w:val="P68B1DB1-Normal12"/>
              <w:spacing w:after="0" w:line="240" w:lineRule="auto"/>
              <w:jc w:val="center"/>
              <w:rPr>
                <w:noProof/>
              </w:rPr>
            </w:pPr>
            <w:r>
              <w:rPr>
                <w:noProof/>
              </w:rPr>
              <w:t xml:space="preserve"> 0</w:t>
            </w:r>
          </w:p>
        </w:tc>
        <w:tc>
          <w:tcPr>
            <w:tcW w:w="992" w:type="dxa"/>
            <w:shd w:val="clear" w:color="auto" w:fill="C4EFCE"/>
            <w:noWrap/>
            <w:vAlign w:val="center"/>
          </w:tcPr>
          <w:p w14:paraId="4974C85D" w14:textId="02953CA5" w:rsidR="00E040FD" w:rsidRDefault="00740D64">
            <w:pPr>
              <w:pStyle w:val="P68B1DB1-Normal12"/>
              <w:spacing w:after="0" w:line="240" w:lineRule="auto"/>
              <w:jc w:val="center"/>
              <w:rPr>
                <w:rFonts w:eastAsia="Times New Roman" w:cstheme="minorHAnsi"/>
                <w:noProof/>
              </w:rPr>
            </w:pPr>
            <w:r>
              <w:rPr>
                <w:noProof/>
              </w:rPr>
              <w:t xml:space="preserve">105 000 </w:t>
            </w:r>
          </w:p>
        </w:tc>
        <w:tc>
          <w:tcPr>
            <w:tcW w:w="567" w:type="dxa"/>
            <w:shd w:val="clear" w:color="auto" w:fill="C4EFCE"/>
            <w:noWrap/>
            <w:vAlign w:val="center"/>
          </w:tcPr>
          <w:p w14:paraId="20377C57" w14:textId="6049AE31"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0BA9E64F" w14:textId="05AC713C" w:rsidR="00E040FD" w:rsidRDefault="00740D6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4380BFB2" w14:textId="453CB997" w:rsidR="00E040FD" w:rsidRDefault="00740D64">
            <w:pPr>
              <w:pStyle w:val="P68B1DB1-CommentText21"/>
              <w:spacing w:line="240" w:lineRule="auto"/>
              <w:rPr>
                <w:rFonts w:cstheme="minorBidi"/>
                <w:noProof/>
              </w:rPr>
            </w:pPr>
            <w:r>
              <w:rPr>
                <w:noProof/>
              </w:rPr>
              <w:t>En total yta på 105 000 kvadratmeter i de offentliga byggnaderna ska genomgå energieffektivitetsrenoveringar.</w:t>
            </w:r>
          </w:p>
          <w:p w14:paraId="0FF509DE" w14:textId="5DF839FB" w:rsidR="00E040FD" w:rsidRDefault="00740D64">
            <w:pPr>
              <w:pStyle w:val="P68B1DB1-Bodytext1013"/>
              <w:spacing w:after="0" w:line="240" w:lineRule="auto"/>
              <w:jc w:val="both"/>
              <w:rPr>
                <w:rFonts w:cstheme="minorBidi"/>
                <w:noProof/>
              </w:rPr>
            </w:pPr>
            <w:r>
              <w:rPr>
                <w:noProof/>
              </w:rPr>
              <w:t>Energieffektivitetsrenoveringar ska i genomsnitt leda till en renovering av minst medelstor omfattning enligt definitionen i kommissionens rekommendation om byggnadsrenovering (EU) 2019/786.</w:t>
            </w:r>
          </w:p>
        </w:tc>
      </w:tr>
      <w:tr w:rsidR="00E040FD" w14:paraId="58D7856D" w14:textId="77777777">
        <w:trPr>
          <w:trHeight w:val="430"/>
        </w:trPr>
        <w:tc>
          <w:tcPr>
            <w:tcW w:w="1135" w:type="dxa"/>
            <w:shd w:val="clear" w:color="auto" w:fill="C4EFCE"/>
            <w:vAlign w:val="center"/>
          </w:tcPr>
          <w:p w14:paraId="2251B7BA" w14:textId="61C2CEA5" w:rsidR="00E040FD" w:rsidRDefault="00740D64">
            <w:pPr>
              <w:pStyle w:val="P68B1DB1-Normal11"/>
              <w:spacing w:after="0" w:line="240" w:lineRule="auto"/>
              <w:jc w:val="center"/>
              <w:rPr>
                <w:rFonts w:eastAsia="Times New Roman" w:cstheme="minorHAnsi"/>
                <w:noProof/>
              </w:rPr>
            </w:pPr>
            <w:r>
              <w:rPr>
                <w:noProof/>
              </w:rPr>
              <w:t>21.7</w:t>
            </w:r>
          </w:p>
        </w:tc>
        <w:tc>
          <w:tcPr>
            <w:tcW w:w="1276" w:type="dxa"/>
            <w:shd w:val="clear" w:color="auto" w:fill="C4EFCE"/>
            <w:noWrap/>
            <w:vAlign w:val="center"/>
          </w:tcPr>
          <w:p w14:paraId="34021876" w14:textId="08C5790C" w:rsidR="00E040FD" w:rsidRDefault="00740D64">
            <w:pPr>
              <w:pStyle w:val="P68B1DB1-Bodytext1013"/>
              <w:rPr>
                <w:rFonts w:eastAsia="Times New Roman félkövér" w:cstheme="minorHAnsi"/>
                <w:noProof/>
              </w:rPr>
            </w:pPr>
            <w:r>
              <w:rPr>
                <w:noProof/>
              </w:rPr>
              <w:t>RP-C21-r43</w:t>
            </w:r>
          </w:p>
        </w:tc>
        <w:tc>
          <w:tcPr>
            <w:tcW w:w="1134" w:type="dxa"/>
            <w:shd w:val="clear" w:color="auto" w:fill="C4EFCE"/>
            <w:noWrap/>
            <w:vAlign w:val="center"/>
          </w:tcPr>
          <w:p w14:paraId="4F71420E" w14:textId="56F3F28B"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6FFEF19" w14:textId="67ACAB84" w:rsidR="00E040FD" w:rsidRDefault="00740D64">
            <w:pPr>
              <w:pStyle w:val="P68B1DB1-Normal12"/>
              <w:spacing w:after="0" w:line="240" w:lineRule="auto"/>
              <w:jc w:val="center"/>
              <w:rPr>
                <w:rFonts w:eastAsia="Times New Roman" w:cstheme="minorHAnsi"/>
                <w:noProof/>
              </w:rPr>
            </w:pPr>
            <w:r>
              <w:rPr>
                <w:noProof/>
              </w:rPr>
              <w:t>Ikraftträdande av lagstiftning om inrättande av en nationell observationsgrupp för energifattigdom (ONPE)</w:t>
            </w:r>
          </w:p>
        </w:tc>
        <w:tc>
          <w:tcPr>
            <w:tcW w:w="1275" w:type="dxa"/>
            <w:shd w:val="clear" w:color="auto" w:fill="C4EFCE"/>
            <w:noWrap/>
            <w:vAlign w:val="center"/>
          </w:tcPr>
          <w:p w14:paraId="63846E04" w14:textId="72701C97" w:rsidR="00E040FD" w:rsidRDefault="00740D64">
            <w:pPr>
              <w:pStyle w:val="P68B1DB1-Normal12"/>
              <w:spacing w:after="0" w:line="240" w:lineRule="auto"/>
              <w:jc w:val="center"/>
              <w:rPr>
                <w:noProof/>
              </w:rPr>
            </w:pPr>
            <w:r>
              <w:rPr>
                <w:noProof/>
              </w:rPr>
              <w:t xml:space="preserve">Bestämmelse i lagen om lagstiftningens ikraftträdande </w:t>
            </w:r>
          </w:p>
        </w:tc>
        <w:tc>
          <w:tcPr>
            <w:tcW w:w="993" w:type="dxa"/>
            <w:shd w:val="clear" w:color="auto" w:fill="C4EFCE"/>
            <w:noWrap/>
            <w:vAlign w:val="center"/>
          </w:tcPr>
          <w:p w14:paraId="6A7D8AC8"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6D421A1B" w14:textId="45638A68" w:rsidR="00E040FD" w:rsidRDefault="00740D6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BF07CE4"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73F3ECB3" w14:textId="16C19931" w:rsidR="00E040FD" w:rsidRDefault="00740D64">
            <w:pPr>
              <w:pStyle w:val="P68B1DB1-Normal12"/>
              <w:spacing w:after="0" w:line="240" w:lineRule="auto"/>
              <w:jc w:val="center"/>
              <w:rPr>
                <w:rFonts w:eastAsia="Times New Roman" w:cstheme="minorHAnsi"/>
                <w:noProof/>
              </w:rPr>
            </w:pPr>
            <w:r>
              <w:rPr>
                <w:noProof/>
              </w:rPr>
              <w:t>KVARTAL 3</w:t>
            </w:r>
          </w:p>
        </w:tc>
        <w:tc>
          <w:tcPr>
            <w:tcW w:w="708" w:type="dxa"/>
            <w:shd w:val="clear" w:color="auto" w:fill="C4EFCE"/>
            <w:noWrap/>
            <w:vAlign w:val="center"/>
          </w:tcPr>
          <w:p w14:paraId="6FCC7FDE" w14:textId="1C1EA560" w:rsidR="00E040FD" w:rsidRDefault="00740D6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135256C5" w14:textId="58D90D2E" w:rsidR="00E040FD" w:rsidRDefault="00740D64">
            <w:pPr>
              <w:pStyle w:val="P68B1DB1-Normal12"/>
              <w:spacing w:after="0" w:line="240" w:lineRule="auto"/>
              <w:jc w:val="both"/>
              <w:rPr>
                <w:rFonts w:eastAsia="Times New Roman"/>
                <w:noProof/>
              </w:rPr>
            </w:pPr>
            <w:r>
              <w:rPr>
                <w:noProof/>
              </w:rPr>
              <w:t>Ikraftträdande av lagstiftning om inrättande av den nationella observationsgruppen för energifattigdom (ONPE), inbegripet definitionen av styrning, ansvarsområden och syften, i enlighet med beskrivningen av åtgärden.</w:t>
            </w:r>
          </w:p>
        </w:tc>
      </w:tr>
      <w:tr w:rsidR="00E040FD" w14:paraId="516DA8F8" w14:textId="77777777">
        <w:trPr>
          <w:trHeight w:val="430"/>
        </w:trPr>
        <w:tc>
          <w:tcPr>
            <w:tcW w:w="1135" w:type="dxa"/>
            <w:shd w:val="clear" w:color="auto" w:fill="C4EFCE"/>
            <w:vAlign w:val="center"/>
          </w:tcPr>
          <w:p w14:paraId="34B69183" w14:textId="15D64060" w:rsidR="00E040FD" w:rsidRDefault="00740D64">
            <w:pPr>
              <w:pStyle w:val="P68B1DB1-Normal11"/>
              <w:spacing w:after="0" w:line="240" w:lineRule="auto"/>
              <w:jc w:val="center"/>
              <w:rPr>
                <w:rFonts w:eastAsia="Times New Roman" w:cstheme="minorHAnsi"/>
                <w:noProof/>
              </w:rPr>
            </w:pPr>
            <w:r>
              <w:rPr>
                <w:noProof/>
              </w:rPr>
              <w:t>21.8</w:t>
            </w:r>
          </w:p>
        </w:tc>
        <w:tc>
          <w:tcPr>
            <w:tcW w:w="1276" w:type="dxa"/>
            <w:shd w:val="clear" w:color="auto" w:fill="C4EFCE"/>
            <w:noWrap/>
            <w:vAlign w:val="center"/>
          </w:tcPr>
          <w:p w14:paraId="5AF91C70" w14:textId="57FF3B22" w:rsidR="00E040FD" w:rsidRDefault="00740D64">
            <w:pPr>
              <w:pStyle w:val="P68B1DB1-Normal12"/>
              <w:spacing w:after="0" w:line="240" w:lineRule="auto"/>
              <w:jc w:val="center"/>
              <w:rPr>
                <w:rFonts w:eastAsia="Times New Roman" w:cstheme="minorHAnsi"/>
                <w:noProof/>
              </w:rPr>
            </w:pPr>
            <w:r>
              <w:rPr>
                <w:noProof/>
              </w:rPr>
              <w:t>RP-C21-r43</w:t>
            </w:r>
          </w:p>
        </w:tc>
        <w:tc>
          <w:tcPr>
            <w:tcW w:w="1134" w:type="dxa"/>
            <w:shd w:val="clear" w:color="auto" w:fill="C4EFCE"/>
            <w:noWrap/>
            <w:vAlign w:val="center"/>
          </w:tcPr>
          <w:p w14:paraId="21C4EA54" w14:textId="0E98EABF"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A5E52BD" w14:textId="730B2BA6" w:rsidR="00E040FD" w:rsidRDefault="00740D64">
            <w:pPr>
              <w:pStyle w:val="P68B1DB1-Normal12"/>
              <w:spacing w:after="0" w:line="240" w:lineRule="auto"/>
              <w:jc w:val="center"/>
              <w:rPr>
                <w:rFonts w:eastAsia="Times New Roman"/>
                <w:noProof/>
              </w:rPr>
            </w:pPr>
            <w:r>
              <w:rPr>
                <w:noProof/>
              </w:rPr>
              <w:t>Lansering av finansieringsinstrumentet för att bekämpa energifattigdom</w:t>
            </w:r>
          </w:p>
        </w:tc>
        <w:tc>
          <w:tcPr>
            <w:tcW w:w="1275" w:type="dxa"/>
            <w:shd w:val="clear" w:color="auto" w:fill="C4EFCE"/>
            <w:noWrap/>
            <w:vAlign w:val="center"/>
          </w:tcPr>
          <w:p w14:paraId="2F98D54F" w14:textId="6858B98B" w:rsidR="00E040FD" w:rsidRDefault="00740D64">
            <w:pPr>
              <w:pStyle w:val="P68B1DB1-Normal12"/>
              <w:spacing w:after="0" w:line="240" w:lineRule="auto"/>
              <w:jc w:val="center"/>
              <w:rPr>
                <w:noProof/>
              </w:rPr>
            </w:pPr>
            <w:r>
              <w:rPr>
                <w:noProof/>
              </w:rPr>
              <w:t>Lansering av finansieringsinstrumentet för att bekämpa energifattigdom</w:t>
            </w:r>
          </w:p>
        </w:tc>
        <w:tc>
          <w:tcPr>
            <w:tcW w:w="993" w:type="dxa"/>
            <w:shd w:val="clear" w:color="auto" w:fill="C4EFCE"/>
            <w:noWrap/>
            <w:vAlign w:val="center"/>
          </w:tcPr>
          <w:p w14:paraId="153BF777"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389159D0"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3B2F4246"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1F0E5CBC" w14:textId="5963C01D" w:rsidR="00E040FD" w:rsidRDefault="00740D64">
            <w:pPr>
              <w:pStyle w:val="P68B1DB1-Normal12"/>
              <w:spacing w:after="0" w:line="240" w:lineRule="auto"/>
              <w:jc w:val="center"/>
              <w:rPr>
                <w:rFonts w:eastAsia="Times New Roman" w:cstheme="minorHAnsi"/>
                <w:noProof/>
              </w:rPr>
            </w:pPr>
            <w:r>
              <w:rPr>
                <w:noProof/>
              </w:rPr>
              <w:t>KVARTAL 1</w:t>
            </w:r>
          </w:p>
        </w:tc>
        <w:tc>
          <w:tcPr>
            <w:tcW w:w="708" w:type="dxa"/>
            <w:shd w:val="clear" w:color="auto" w:fill="C4EFCE"/>
            <w:noWrap/>
            <w:vAlign w:val="center"/>
          </w:tcPr>
          <w:p w14:paraId="050861F5" w14:textId="62CDF1FF" w:rsidR="00E040FD" w:rsidRDefault="00740D6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DA29653" w14:textId="4B8FCA14" w:rsidR="00E040FD" w:rsidRDefault="00740D64">
            <w:pPr>
              <w:pStyle w:val="P68B1DB1-Normal12"/>
              <w:spacing w:after="0" w:line="240" w:lineRule="auto"/>
              <w:jc w:val="both"/>
              <w:rPr>
                <w:rFonts w:eastAsia="Times New Roman"/>
                <w:noProof/>
              </w:rPr>
            </w:pPr>
            <w:r>
              <w:rPr>
                <w:noProof/>
              </w:rPr>
              <w:t>Lansering av ett finansieringsinstrument för energieffektivitetsåtgärder inom bostadssektorn för att ta itu med energifattigdom för de identifierade hushållsprofilerna. Detta ska antas antingen genom att relevant lagstiftning träder i kraft eller genom att ett finansiellt institut antar ett beslut.</w:t>
            </w:r>
          </w:p>
        </w:tc>
      </w:tr>
      <w:tr w:rsidR="00E040FD" w14:paraId="76ADC491" w14:textId="77777777">
        <w:trPr>
          <w:trHeight w:val="430"/>
        </w:trPr>
        <w:tc>
          <w:tcPr>
            <w:tcW w:w="1135" w:type="dxa"/>
            <w:shd w:val="clear" w:color="auto" w:fill="C4EFCE"/>
            <w:vAlign w:val="center"/>
          </w:tcPr>
          <w:p w14:paraId="624C6CC1" w14:textId="2FA7289B" w:rsidR="00E040FD" w:rsidRDefault="00740D64">
            <w:pPr>
              <w:pStyle w:val="P68B1DB1-Normal11"/>
              <w:spacing w:after="0" w:line="240" w:lineRule="auto"/>
              <w:jc w:val="center"/>
              <w:rPr>
                <w:rFonts w:eastAsia="Times New Roman" w:cstheme="minorHAnsi"/>
                <w:noProof/>
              </w:rPr>
            </w:pPr>
            <w:r>
              <w:rPr>
                <w:noProof/>
              </w:rPr>
              <w:t>21.9</w:t>
            </w:r>
          </w:p>
        </w:tc>
        <w:tc>
          <w:tcPr>
            <w:tcW w:w="1276" w:type="dxa"/>
            <w:shd w:val="clear" w:color="auto" w:fill="C4EFCE"/>
            <w:noWrap/>
            <w:vAlign w:val="center"/>
          </w:tcPr>
          <w:p w14:paraId="28F5253F" w14:textId="3B061D31" w:rsidR="00E040FD" w:rsidRDefault="00740D64">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5FA2A266" w14:textId="7A8ACAE4"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D3D0BF3" w14:textId="399683E4" w:rsidR="00E040FD" w:rsidRDefault="00740D64">
            <w:pPr>
              <w:pStyle w:val="P68B1DB1-Normal12"/>
              <w:spacing w:after="0" w:line="240" w:lineRule="auto"/>
              <w:jc w:val="center"/>
              <w:rPr>
                <w:rFonts w:eastAsia="Times New Roman" w:cstheme="minorHAnsi"/>
                <w:noProof/>
              </w:rPr>
            </w:pPr>
            <w:r>
              <w:rPr>
                <w:noProof/>
              </w:rPr>
              <w:t>Undertecknande av samarbetsprotokoll</w:t>
            </w:r>
          </w:p>
        </w:tc>
        <w:tc>
          <w:tcPr>
            <w:tcW w:w="1275" w:type="dxa"/>
            <w:shd w:val="clear" w:color="auto" w:fill="C4EFCE"/>
            <w:noWrap/>
            <w:vAlign w:val="center"/>
          </w:tcPr>
          <w:p w14:paraId="2A0074DF" w14:textId="5E4E8D6E" w:rsidR="00E040FD" w:rsidRDefault="00740D64">
            <w:pPr>
              <w:pStyle w:val="P68B1DB1-Normal12"/>
              <w:spacing w:after="0" w:line="240" w:lineRule="auto"/>
              <w:jc w:val="center"/>
              <w:rPr>
                <w:rFonts w:eastAsia="Times New Roman" w:cstheme="minorHAnsi"/>
                <w:noProof/>
              </w:rPr>
            </w:pPr>
            <w:r>
              <w:rPr>
                <w:noProof/>
              </w:rPr>
              <w:t>Undertecknande av samarbetsprotokoll</w:t>
            </w:r>
          </w:p>
        </w:tc>
        <w:tc>
          <w:tcPr>
            <w:tcW w:w="993" w:type="dxa"/>
            <w:shd w:val="clear" w:color="auto" w:fill="C4EFCE"/>
            <w:noWrap/>
            <w:vAlign w:val="center"/>
          </w:tcPr>
          <w:p w14:paraId="6E9051C5"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319DECB3" w14:textId="0694995E" w:rsidR="00E040FD" w:rsidRDefault="00740D6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28E6BDE"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7CCCD925" w14:textId="0DCC6DEA"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59B354CE" w14:textId="76A15769" w:rsidR="00E040FD" w:rsidRDefault="00740D6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4FC9401F" w14:textId="75CF6D2B" w:rsidR="00E040FD" w:rsidRDefault="00740D64">
            <w:pPr>
              <w:pStyle w:val="P68B1DB1-Normal12"/>
              <w:spacing w:after="0" w:line="240" w:lineRule="auto"/>
              <w:jc w:val="both"/>
              <w:rPr>
                <w:rFonts w:eastAsia="Times New Roman"/>
                <w:noProof/>
              </w:rPr>
            </w:pPr>
            <w:r>
              <w:rPr>
                <w:noProof/>
              </w:rPr>
              <w:t xml:space="preserve">Undertecknande av samarbetsprotokollet mellan Agência para a Energia (ADENE), Associação Nacional de Freguesias (Anafre) och Rede Nacional de Agências de Energia (RNAE), Associação Nacional de Municípios (ANMP) och Confederação Nacional de Instituições de Solidariedade (CNIS) för inrättandet av </w:t>
            </w:r>
            <w:r>
              <w:rPr>
                <w:i/>
                <w:noProof/>
              </w:rPr>
              <w:t>Espaços Cidadão Energia</w:t>
            </w:r>
            <w:r>
              <w:rPr>
                <w:noProof/>
              </w:rPr>
              <w:t xml:space="preserve">, med angivande av deras uppgifter, styrning och finansieringsstruktur. </w:t>
            </w:r>
          </w:p>
        </w:tc>
      </w:tr>
      <w:tr w:rsidR="00E040FD" w14:paraId="4405AF92" w14:textId="77777777">
        <w:trPr>
          <w:trHeight w:val="430"/>
        </w:trPr>
        <w:tc>
          <w:tcPr>
            <w:tcW w:w="1135" w:type="dxa"/>
            <w:shd w:val="clear" w:color="auto" w:fill="C4EFCE"/>
            <w:vAlign w:val="center"/>
          </w:tcPr>
          <w:p w14:paraId="6F3D3865" w14:textId="0376A8B8" w:rsidR="00E040FD" w:rsidRDefault="00740D64">
            <w:pPr>
              <w:pStyle w:val="P68B1DB1-Normal11"/>
              <w:spacing w:after="0" w:line="240" w:lineRule="auto"/>
              <w:jc w:val="center"/>
              <w:rPr>
                <w:rFonts w:eastAsia="Times New Roman" w:cstheme="minorHAnsi"/>
                <w:noProof/>
              </w:rPr>
            </w:pPr>
            <w:r>
              <w:rPr>
                <w:noProof/>
              </w:rPr>
              <w:t>21.10</w:t>
            </w:r>
          </w:p>
        </w:tc>
        <w:tc>
          <w:tcPr>
            <w:tcW w:w="1276" w:type="dxa"/>
            <w:shd w:val="clear" w:color="auto" w:fill="C4EFCE"/>
            <w:noWrap/>
            <w:vAlign w:val="center"/>
          </w:tcPr>
          <w:p w14:paraId="1AA96F0F" w14:textId="1A78FB1D" w:rsidR="00E040FD" w:rsidRDefault="00740D64">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7116495E" w14:textId="1A4294A4"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7F09A0D1" w14:textId="2A3C94D4" w:rsidR="00E040FD" w:rsidRDefault="00740D64">
            <w:pPr>
              <w:pStyle w:val="P68B1DB1-Normal12"/>
              <w:spacing w:after="0" w:line="240" w:lineRule="auto"/>
              <w:jc w:val="center"/>
              <w:rPr>
                <w:rFonts w:eastAsia="Times New Roman" w:cstheme="minorHAnsi"/>
                <w:noProof/>
              </w:rPr>
            </w:pPr>
            <w:r>
              <w:rPr>
                <w:noProof/>
              </w:rPr>
              <w:t>Kapacitetsuppbyggande åtgärder</w:t>
            </w:r>
          </w:p>
        </w:tc>
        <w:tc>
          <w:tcPr>
            <w:tcW w:w="1275" w:type="dxa"/>
            <w:shd w:val="clear" w:color="auto" w:fill="C4EFCE"/>
            <w:noWrap/>
            <w:vAlign w:val="center"/>
          </w:tcPr>
          <w:p w14:paraId="2F6B73ED" w14:textId="32E45BCB" w:rsidR="00E040FD" w:rsidRDefault="00740D6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84B2AA2" w14:textId="7DA23D0E" w:rsidR="00E040FD" w:rsidRDefault="00740D64">
            <w:pPr>
              <w:pStyle w:val="P68B1DB1-Normal12"/>
              <w:spacing w:after="0" w:line="240" w:lineRule="auto"/>
              <w:jc w:val="center"/>
              <w:rPr>
                <w:rFonts w:eastAsia="Times New Roman" w:cstheme="minorHAnsi"/>
                <w:noProof/>
              </w:rPr>
            </w:pPr>
            <w:r>
              <w:rPr>
                <w:noProof/>
              </w:rPr>
              <w:t>Antal</w:t>
            </w:r>
          </w:p>
        </w:tc>
        <w:tc>
          <w:tcPr>
            <w:tcW w:w="992" w:type="dxa"/>
            <w:shd w:val="clear" w:color="auto" w:fill="C4EFCE"/>
            <w:noWrap/>
            <w:vAlign w:val="center"/>
          </w:tcPr>
          <w:p w14:paraId="06AF5309" w14:textId="540D38C5" w:rsidR="00E040FD" w:rsidRDefault="00740D64">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0F112D01" w14:textId="1A47D2FB" w:rsidR="00E040FD" w:rsidRDefault="00740D64">
            <w:pPr>
              <w:pStyle w:val="P68B1DB1-Normal12"/>
              <w:spacing w:after="0" w:line="240" w:lineRule="auto"/>
              <w:jc w:val="center"/>
              <w:rPr>
                <w:rFonts w:eastAsia="Times New Roman" w:cstheme="minorHAnsi"/>
                <w:noProof/>
              </w:rPr>
            </w:pPr>
            <w:r>
              <w:rPr>
                <w:noProof/>
              </w:rPr>
              <w:t xml:space="preserve">300 </w:t>
            </w:r>
          </w:p>
        </w:tc>
        <w:tc>
          <w:tcPr>
            <w:tcW w:w="567" w:type="dxa"/>
            <w:shd w:val="clear" w:color="auto" w:fill="C4EFCE"/>
            <w:noWrap/>
            <w:vAlign w:val="center"/>
          </w:tcPr>
          <w:p w14:paraId="20F843B3" w14:textId="5075B2DC"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6F49F6AD" w14:textId="4E5B8D4B"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03894416" w14:textId="77ACECBF" w:rsidR="00E040FD" w:rsidRDefault="00740D64">
            <w:pPr>
              <w:pStyle w:val="P68B1DB1-Normal12"/>
              <w:spacing w:after="0" w:line="240" w:lineRule="auto"/>
              <w:jc w:val="both"/>
              <w:rPr>
                <w:rFonts w:eastAsia="Times New Roman"/>
                <w:noProof/>
              </w:rPr>
            </w:pPr>
            <w:r>
              <w:rPr>
                <w:noProof/>
              </w:rPr>
              <w:t xml:space="preserve">300 kvalificerade yrkesutövare ska utbildas för att utföra olika roller i </w:t>
            </w:r>
            <w:r>
              <w:rPr>
                <w:i/>
                <w:noProof/>
              </w:rPr>
              <w:t>Espaços Cidadão Energia</w:t>
            </w:r>
            <w:r>
              <w:rPr>
                <w:noProof/>
              </w:rPr>
              <w:t>.</w:t>
            </w:r>
          </w:p>
        </w:tc>
      </w:tr>
      <w:tr w:rsidR="00E040FD" w14:paraId="44C003C4" w14:textId="77777777">
        <w:trPr>
          <w:trHeight w:val="430"/>
        </w:trPr>
        <w:tc>
          <w:tcPr>
            <w:tcW w:w="1135" w:type="dxa"/>
            <w:shd w:val="clear" w:color="auto" w:fill="C4EFCE"/>
            <w:vAlign w:val="center"/>
          </w:tcPr>
          <w:p w14:paraId="115B339E" w14:textId="18B4AA3F" w:rsidR="00E040FD" w:rsidRDefault="00740D64">
            <w:pPr>
              <w:pStyle w:val="P68B1DB1-Normal11"/>
              <w:spacing w:after="0" w:line="240" w:lineRule="auto"/>
              <w:jc w:val="center"/>
              <w:rPr>
                <w:rFonts w:eastAsia="Times New Roman" w:cstheme="minorHAnsi"/>
                <w:noProof/>
              </w:rPr>
            </w:pPr>
            <w:r>
              <w:rPr>
                <w:noProof/>
              </w:rPr>
              <w:t>21.11</w:t>
            </w:r>
          </w:p>
        </w:tc>
        <w:tc>
          <w:tcPr>
            <w:tcW w:w="1276" w:type="dxa"/>
            <w:shd w:val="clear" w:color="auto" w:fill="C4EFCE"/>
            <w:noWrap/>
            <w:vAlign w:val="center"/>
          </w:tcPr>
          <w:p w14:paraId="72D7DD9B" w14:textId="75022C6C" w:rsidR="00E040FD" w:rsidRDefault="00740D64">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5E5D7FC3" w14:textId="589740CC"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3FB50CE" w14:textId="3D9DC0A1" w:rsidR="00E040FD" w:rsidRDefault="00740D64">
            <w:pPr>
              <w:pStyle w:val="P68B1DB1-Normal12"/>
              <w:spacing w:after="0" w:line="240" w:lineRule="auto"/>
              <w:jc w:val="center"/>
              <w:rPr>
                <w:rFonts w:eastAsia="Times New Roman" w:cstheme="minorHAnsi"/>
                <w:noProof/>
              </w:rPr>
            </w:pPr>
            <w:r>
              <w:rPr>
                <w:noProof/>
              </w:rPr>
              <w:t>Lansering av Espaços Cidadão Energia</w:t>
            </w:r>
          </w:p>
        </w:tc>
        <w:tc>
          <w:tcPr>
            <w:tcW w:w="1275" w:type="dxa"/>
            <w:shd w:val="clear" w:color="auto" w:fill="C4EFCE"/>
            <w:noWrap/>
            <w:vAlign w:val="center"/>
          </w:tcPr>
          <w:p w14:paraId="1B57B712"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0F16E4EA" w14:textId="67F3B741" w:rsidR="00E040FD" w:rsidRDefault="00740D64">
            <w:pPr>
              <w:pStyle w:val="P68B1DB1-Normal12"/>
              <w:spacing w:after="0" w:line="240" w:lineRule="auto"/>
              <w:jc w:val="center"/>
              <w:rPr>
                <w:rFonts w:eastAsia="Times New Roman" w:cstheme="minorHAnsi"/>
                <w:noProof/>
              </w:rPr>
            </w:pPr>
            <w:r>
              <w:rPr>
                <w:noProof/>
              </w:rPr>
              <w:t>Antal</w:t>
            </w:r>
          </w:p>
        </w:tc>
        <w:tc>
          <w:tcPr>
            <w:tcW w:w="992" w:type="dxa"/>
            <w:shd w:val="clear" w:color="auto" w:fill="C4EFCE"/>
            <w:noWrap/>
            <w:vAlign w:val="center"/>
          </w:tcPr>
          <w:p w14:paraId="7C58A166" w14:textId="0BCA1F7E" w:rsidR="00E040FD" w:rsidRDefault="00740D6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6F34AF54" w14:textId="6426E74F" w:rsidR="00E040FD" w:rsidRDefault="00740D64">
            <w:pPr>
              <w:pStyle w:val="P68B1DB1-Normal12"/>
              <w:spacing w:after="0" w:line="240" w:lineRule="auto"/>
              <w:jc w:val="center"/>
              <w:rPr>
                <w:rFonts w:eastAsia="Times New Roman" w:cstheme="minorHAnsi"/>
                <w:noProof/>
              </w:rPr>
            </w:pPr>
            <w:r>
              <w:rPr>
                <w:noProof/>
              </w:rPr>
              <w:t>50</w:t>
            </w:r>
          </w:p>
        </w:tc>
        <w:tc>
          <w:tcPr>
            <w:tcW w:w="567" w:type="dxa"/>
            <w:shd w:val="clear" w:color="auto" w:fill="C4EFCE"/>
            <w:noWrap/>
            <w:vAlign w:val="center"/>
          </w:tcPr>
          <w:p w14:paraId="53370B4C" w14:textId="4384A6ED" w:rsidR="00E040FD" w:rsidRDefault="00740D64">
            <w:pPr>
              <w:pStyle w:val="P68B1DB1-Normal12"/>
              <w:spacing w:after="0" w:line="240" w:lineRule="auto"/>
              <w:jc w:val="center"/>
              <w:rPr>
                <w:rFonts w:eastAsia="Times New Roman" w:cstheme="minorHAnsi"/>
                <w:noProof/>
              </w:rPr>
            </w:pPr>
            <w:r>
              <w:rPr>
                <w:noProof/>
              </w:rPr>
              <w:t>KVARTAL 1</w:t>
            </w:r>
          </w:p>
        </w:tc>
        <w:tc>
          <w:tcPr>
            <w:tcW w:w="708" w:type="dxa"/>
            <w:shd w:val="clear" w:color="auto" w:fill="C4EFCE"/>
            <w:noWrap/>
            <w:vAlign w:val="center"/>
          </w:tcPr>
          <w:p w14:paraId="01B93E1A" w14:textId="5304BB25" w:rsidR="00E040FD" w:rsidRDefault="00740D6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3A90169B" w14:textId="4CB3EEB6" w:rsidR="00E040FD" w:rsidRDefault="00740D64">
            <w:pPr>
              <w:pStyle w:val="P68B1DB1-Bodytext1013"/>
              <w:spacing w:after="0" w:line="240" w:lineRule="auto"/>
              <w:jc w:val="both"/>
              <w:rPr>
                <w:rFonts w:cstheme="minorBidi"/>
                <w:noProof/>
              </w:rPr>
            </w:pPr>
            <w:r>
              <w:rPr>
                <w:noProof/>
              </w:rPr>
              <w:t xml:space="preserve">50 fysiska </w:t>
            </w:r>
            <w:r>
              <w:rPr>
                <w:i/>
                <w:noProof/>
              </w:rPr>
              <w:t xml:space="preserve">Espaços Cidadão Energia </w:t>
            </w:r>
            <w:r>
              <w:rPr>
                <w:noProof/>
              </w:rPr>
              <w:t>ska vara operativa och öppna för medborgarna.</w:t>
            </w:r>
          </w:p>
        </w:tc>
      </w:tr>
      <w:tr w:rsidR="00E040FD" w14:paraId="7A001E81" w14:textId="77777777">
        <w:trPr>
          <w:trHeight w:val="430"/>
        </w:trPr>
        <w:tc>
          <w:tcPr>
            <w:tcW w:w="1135" w:type="dxa"/>
            <w:shd w:val="clear" w:color="auto" w:fill="C4EFCE"/>
            <w:vAlign w:val="center"/>
          </w:tcPr>
          <w:p w14:paraId="02453CBA" w14:textId="7EC4B509" w:rsidR="00E040FD" w:rsidRDefault="00740D64">
            <w:pPr>
              <w:pStyle w:val="P68B1DB1-Normal11"/>
              <w:spacing w:after="0" w:line="240" w:lineRule="auto"/>
              <w:jc w:val="center"/>
              <w:rPr>
                <w:rFonts w:eastAsia="Times New Roman" w:cstheme="minorHAnsi"/>
                <w:noProof/>
              </w:rPr>
            </w:pPr>
            <w:r>
              <w:rPr>
                <w:noProof/>
              </w:rPr>
              <w:t>21.12</w:t>
            </w:r>
          </w:p>
        </w:tc>
        <w:tc>
          <w:tcPr>
            <w:tcW w:w="1276" w:type="dxa"/>
            <w:shd w:val="clear" w:color="auto" w:fill="C4EFCE"/>
            <w:noWrap/>
            <w:vAlign w:val="center"/>
          </w:tcPr>
          <w:p w14:paraId="35376737" w14:textId="5B6224D0" w:rsidR="00E040FD" w:rsidRDefault="00740D64">
            <w:pPr>
              <w:pStyle w:val="P68B1DB1-Normal12"/>
              <w:spacing w:after="0" w:line="240" w:lineRule="auto"/>
              <w:jc w:val="center"/>
              <w:rPr>
                <w:rFonts w:eastAsia="Times New Roman" w:cstheme="minorHAnsi"/>
                <w:noProof/>
              </w:rPr>
            </w:pPr>
            <w:r>
              <w:rPr>
                <w:noProof/>
              </w:rPr>
              <w:t>RP-C21-i05</w:t>
            </w:r>
          </w:p>
        </w:tc>
        <w:tc>
          <w:tcPr>
            <w:tcW w:w="1134" w:type="dxa"/>
            <w:shd w:val="clear" w:color="auto" w:fill="C4EFCE"/>
            <w:noWrap/>
            <w:vAlign w:val="center"/>
          </w:tcPr>
          <w:p w14:paraId="297F72F0" w14:textId="5F2B13DB"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9693662" w14:textId="12A59FAA" w:rsidR="00E040FD" w:rsidRDefault="00740D64">
            <w:pPr>
              <w:pStyle w:val="P68B1DB1-Normal12"/>
              <w:spacing w:after="0" w:line="240" w:lineRule="auto"/>
              <w:jc w:val="center"/>
              <w:rPr>
                <w:rFonts w:eastAsia="Times New Roman" w:cstheme="minorHAnsi"/>
                <w:noProof/>
              </w:rPr>
            </w:pPr>
            <w:r>
              <w:rPr>
                <w:noProof/>
              </w:rPr>
              <w:t>Undertecknande av villkor för godkännande för genomförande av industriprojekt</w:t>
            </w:r>
          </w:p>
        </w:tc>
        <w:tc>
          <w:tcPr>
            <w:tcW w:w="1275" w:type="dxa"/>
            <w:shd w:val="clear" w:color="auto" w:fill="C4EFCE"/>
            <w:noWrap/>
            <w:vAlign w:val="center"/>
          </w:tcPr>
          <w:p w14:paraId="7458153B" w14:textId="76EAEDD5" w:rsidR="00E040FD" w:rsidRDefault="00740D64">
            <w:pPr>
              <w:pStyle w:val="P68B1DB1-Normal12"/>
              <w:spacing w:after="0" w:line="240" w:lineRule="auto"/>
              <w:jc w:val="center"/>
              <w:rPr>
                <w:rFonts w:eastAsia="Times New Roman" w:cstheme="minorHAnsi"/>
                <w:noProof/>
              </w:rPr>
            </w:pPr>
            <w:r>
              <w:rPr>
                <w:noProof/>
              </w:rPr>
              <w:t>Undertecknande av villkor för godkännande av genomförandet av industriprojekt.</w:t>
            </w:r>
          </w:p>
        </w:tc>
        <w:tc>
          <w:tcPr>
            <w:tcW w:w="993" w:type="dxa"/>
            <w:shd w:val="clear" w:color="auto" w:fill="C4EFCE"/>
            <w:noWrap/>
            <w:vAlign w:val="center"/>
          </w:tcPr>
          <w:p w14:paraId="72336B25"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39A26E3E" w14:textId="2DB3039C" w:rsidR="00E040FD" w:rsidRDefault="00740D6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276C077B"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7667D40B" w14:textId="479E3BA2"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shd w:val="clear" w:color="auto" w:fill="C4EFCE"/>
            <w:noWrap/>
            <w:vAlign w:val="center"/>
          </w:tcPr>
          <w:p w14:paraId="083EAC73" w14:textId="1C628607"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7BE0AFF3" w14:textId="19DB74A1" w:rsidR="00E040FD" w:rsidRDefault="00740D64">
            <w:pPr>
              <w:pStyle w:val="P68B1DB1-Bodytext1013"/>
              <w:spacing w:after="0" w:line="240" w:lineRule="auto"/>
              <w:jc w:val="both"/>
              <w:rPr>
                <w:rFonts w:cstheme="minorBidi"/>
                <w:noProof/>
              </w:rPr>
            </w:pPr>
            <w:r>
              <w:rPr>
                <w:noProof/>
              </w:rPr>
              <w:t>Villkoren för godkännande ska undertecknas för genomförandet av industriprojekt, som ska väljas ut genom konkurrensutsatta ansökningsomgångar, med anknytning till strategisk teknik för klimatomställningen, i enlighet med beskrivningen av åtgärden.</w:t>
            </w:r>
          </w:p>
          <w:p w14:paraId="676A7464" w14:textId="75CAE7E6" w:rsidR="00E040FD" w:rsidRDefault="00740D64">
            <w:pPr>
              <w:pStyle w:val="P68B1DB1-Normal12"/>
              <w:spacing w:after="0" w:line="240" w:lineRule="auto"/>
              <w:jc w:val="both"/>
              <w:rPr>
                <w:rFonts w:eastAsia="Times New Roman" w:cstheme="minorHAnsi"/>
                <w:noProof/>
              </w:rPr>
            </w:pPr>
            <w:r>
              <w:rPr>
                <w:noProof/>
              </w:rPr>
              <w:t>Villkoren för godtagande ska säkerställa efterlevnad av den tekniska vägledningen om att inte orsaka betydande skada (2021/C58/01) för transaktioner som får stöd inom ramen för denna åtgärd genom användning av en uteslutningslista och kravet på efterlevnad av relevant EU-lagstiftning och nationell miljölagstiftning.</w:t>
            </w:r>
          </w:p>
        </w:tc>
      </w:tr>
      <w:tr w:rsidR="00E040FD" w14:paraId="38C0F350" w14:textId="77777777">
        <w:trPr>
          <w:trHeight w:val="430"/>
        </w:trPr>
        <w:tc>
          <w:tcPr>
            <w:tcW w:w="1135" w:type="dxa"/>
            <w:shd w:val="clear" w:color="auto" w:fill="C4EFCE"/>
            <w:vAlign w:val="center"/>
          </w:tcPr>
          <w:p w14:paraId="2822A641" w14:textId="17EAD665" w:rsidR="00E040FD" w:rsidRDefault="00740D64">
            <w:pPr>
              <w:pStyle w:val="P68B1DB1-Normal11"/>
              <w:spacing w:after="0" w:line="240" w:lineRule="auto"/>
              <w:jc w:val="center"/>
              <w:rPr>
                <w:rFonts w:eastAsia="Times New Roman" w:cstheme="minorHAnsi"/>
                <w:noProof/>
              </w:rPr>
            </w:pPr>
            <w:r>
              <w:rPr>
                <w:noProof/>
              </w:rPr>
              <w:t>21.13</w:t>
            </w:r>
          </w:p>
        </w:tc>
        <w:tc>
          <w:tcPr>
            <w:tcW w:w="1276" w:type="dxa"/>
            <w:shd w:val="clear" w:color="auto" w:fill="C4EFCE"/>
            <w:noWrap/>
            <w:vAlign w:val="center"/>
          </w:tcPr>
          <w:p w14:paraId="5450DE1C" w14:textId="272FA70D" w:rsidR="00E040FD" w:rsidRDefault="00740D64">
            <w:pPr>
              <w:pStyle w:val="P68B1DB1-Normal12"/>
              <w:spacing w:after="0" w:line="240" w:lineRule="auto"/>
              <w:jc w:val="center"/>
              <w:rPr>
                <w:rFonts w:eastAsia="Times New Roman" w:cstheme="minorHAnsi"/>
                <w:noProof/>
              </w:rPr>
            </w:pPr>
            <w:r>
              <w:rPr>
                <w:noProof/>
              </w:rPr>
              <w:t>RP-C21-i05</w:t>
            </w:r>
          </w:p>
        </w:tc>
        <w:tc>
          <w:tcPr>
            <w:tcW w:w="1134" w:type="dxa"/>
            <w:shd w:val="clear" w:color="auto" w:fill="C4EFCE"/>
            <w:noWrap/>
            <w:vAlign w:val="center"/>
          </w:tcPr>
          <w:p w14:paraId="3D65B17D" w14:textId="6A2866B3"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156CFAC" w14:textId="2AF8DE16" w:rsidR="00E040FD" w:rsidRDefault="00740D64">
            <w:pPr>
              <w:pStyle w:val="P68B1DB1-Normal12"/>
              <w:spacing w:after="0" w:line="240" w:lineRule="auto"/>
              <w:jc w:val="center"/>
              <w:rPr>
                <w:rFonts w:eastAsia="Times New Roman" w:cstheme="minorHAnsi"/>
                <w:noProof/>
              </w:rPr>
            </w:pPr>
            <w:r>
              <w:rPr>
                <w:noProof/>
              </w:rPr>
              <w:t>Slutförande av 5 industriprojekt inom strategisk teknik för klimatomställningen</w:t>
            </w:r>
          </w:p>
        </w:tc>
        <w:tc>
          <w:tcPr>
            <w:tcW w:w="1275" w:type="dxa"/>
            <w:shd w:val="clear" w:color="auto" w:fill="C4EFCE"/>
            <w:noWrap/>
            <w:vAlign w:val="center"/>
          </w:tcPr>
          <w:p w14:paraId="7A69A2FE"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419EDC3E" w14:textId="286CAB8A" w:rsidR="00E040FD" w:rsidRDefault="00740D64">
            <w:pPr>
              <w:pStyle w:val="P68B1DB1-Normal12"/>
              <w:spacing w:after="0" w:line="240" w:lineRule="auto"/>
              <w:jc w:val="center"/>
              <w:rPr>
                <w:rFonts w:eastAsia="Times New Roman" w:cstheme="minorHAnsi"/>
                <w:noProof/>
              </w:rPr>
            </w:pPr>
            <w:r>
              <w:rPr>
                <w:noProof/>
              </w:rPr>
              <w:t>Antal</w:t>
            </w:r>
          </w:p>
        </w:tc>
        <w:tc>
          <w:tcPr>
            <w:tcW w:w="992" w:type="dxa"/>
            <w:shd w:val="clear" w:color="auto" w:fill="C4EFCE"/>
            <w:noWrap/>
            <w:vAlign w:val="center"/>
          </w:tcPr>
          <w:p w14:paraId="0674002F" w14:textId="6BFD93CA" w:rsidR="00E040FD" w:rsidRDefault="00740D6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2B37AD65" w14:textId="7A1B913C" w:rsidR="00E040FD" w:rsidRDefault="00740D64">
            <w:pPr>
              <w:pStyle w:val="P68B1DB1-Normal12"/>
              <w:spacing w:after="0" w:line="240" w:lineRule="auto"/>
              <w:jc w:val="center"/>
              <w:rPr>
                <w:rFonts w:eastAsia="Times New Roman" w:cstheme="minorHAnsi"/>
                <w:noProof/>
              </w:rPr>
            </w:pPr>
            <w:r>
              <w:rPr>
                <w:noProof/>
              </w:rPr>
              <w:t>5</w:t>
            </w:r>
          </w:p>
        </w:tc>
        <w:tc>
          <w:tcPr>
            <w:tcW w:w="567" w:type="dxa"/>
            <w:shd w:val="clear" w:color="auto" w:fill="C4EFCE"/>
            <w:noWrap/>
            <w:vAlign w:val="center"/>
          </w:tcPr>
          <w:p w14:paraId="1203B683" w14:textId="0E9F9785"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shd w:val="clear" w:color="auto" w:fill="C4EFCE"/>
            <w:noWrap/>
            <w:vAlign w:val="center"/>
          </w:tcPr>
          <w:p w14:paraId="337D899F" w14:textId="1B849260" w:rsidR="00E040FD" w:rsidRDefault="00740D6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72155DEB" w14:textId="7B97BD38" w:rsidR="00E040FD" w:rsidRDefault="00740D64">
            <w:pPr>
              <w:pStyle w:val="P68B1DB1-Normal12"/>
              <w:spacing w:after="0" w:line="240" w:lineRule="auto"/>
              <w:jc w:val="both"/>
              <w:rPr>
                <w:rFonts w:eastAsia="Times New Roman"/>
                <w:noProof/>
              </w:rPr>
            </w:pPr>
            <w:r>
              <w:rPr>
                <w:noProof/>
              </w:rPr>
              <w:t>Slutförande av minst fem industriteknikprojekt, med en teknisk mognadsgrad som är lika med eller högre än sju, relaterade till strategisk teknik för klimatomställningen, i enlighet med beskrivningen av åtgärden.</w:t>
            </w:r>
          </w:p>
        </w:tc>
      </w:tr>
      <w:tr w:rsidR="00E040FD" w14:paraId="5A219778" w14:textId="77777777">
        <w:trPr>
          <w:trHeight w:val="430"/>
        </w:trPr>
        <w:tc>
          <w:tcPr>
            <w:tcW w:w="1135" w:type="dxa"/>
            <w:shd w:val="clear" w:color="auto" w:fill="C4EFCE"/>
            <w:vAlign w:val="center"/>
          </w:tcPr>
          <w:p w14:paraId="748E9E6F" w14:textId="3FC7C9E1" w:rsidR="00E040FD" w:rsidRDefault="00740D64">
            <w:pPr>
              <w:pStyle w:val="P68B1DB1-Normal11"/>
              <w:spacing w:after="0" w:line="240" w:lineRule="auto"/>
              <w:jc w:val="center"/>
              <w:rPr>
                <w:rFonts w:eastAsia="Times New Roman" w:cstheme="minorHAnsi"/>
                <w:noProof/>
              </w:rPr>
            </w:pPr>
            <w:r>
              <w:rPr>
                <w:noProof/>
              </w:rPr>
              <w:t>21.14</w:t>
            </w:r>
          </w:p>
        </w:tc>
        <w:tc>
          <w:tcPr>
            <w:tcW w:w="1276" w:type="dxa"/>
            <w:shd w:val="clear" w:color="auto" w:fill="C4EFCE"/>
            <w:noWrap/>
            <w:vAlign w:val="center"/>
          </w:tcPr>
          <w:p w14:paraId="1E60F546" w14:textId="66482F0A" w:rsidR="00E040FD" w:rsidRDefault="00740D64">
            <w:pPr>
              <w:pStyle w:val="P68B1DB1-Normal12"/>
              <w:spacing w:after="0" w:line="240" w:lineRule="auto"/>
              <w:jc w:val="center"/>
              <w:rPr>
                <w:rFonts w:eastAsia="Times New Roman"/>
                <w:noProof/>
              </w:rPr>
            </w:pPr>
            <w:r>
              <w:rPr>
                <w:noProof/>
              </w:rPr>
              <w:t xml:space="preserve"> RP-C21-r45</w:t>
            </w:r>
          </w:p>
        </w:tc>
        <w:tc>
          <w:tcPr>
            <w:tcW w:w="1134" w:type="dxa"/>
            <w:shd w:val="clear" w:color="auto" w:fill="C4EFCE"/>
            <w:noWrap/>
            <w:vAlign w:val="center"/>
          </w:tcPr>
          <w:p w14:paraId="08AE361B" w14:textId="6D1DB139"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1E5E5BB7" w14:textId="2724C1E2" w:rsidR="00E040FD" w:rsidRDefault="00740D64">
            <w:pPr>
              <w:pStyle w:val="P68B1DB1-Normal12"/>
              <w:spacing w:after="0" w:line="240" w:lineRule="auto"/>
              <w:jc w:val="center"/>
              <w:rPr>
                <w:rFonts w:eastAsia="Times New Roman" w:cstheme="minorHAnsi"/>
                <w:noProof/>
              </w:rPr>
            </w:pPr>
            <w:r>
              <w:rPr>
                <w:noProof/>
              </w:rPr>
              <w:t>Utbildningsåtgärder för grön kompetens</w:t>
            </w:r>
          </w:p>
        </w:tc>
        <w:tc>
          <w:tcPr>
            <w:tcW w:w="1275" w:type="dxa"/>
            <w:shd w:val="clear" w:color="auto" w:fill="C4EFCE"/>
            <w:noWrap/>
            <w:vAlign w:val="center"/>
          </w:tcPr>
          <w:p w14:paraId="24F12DE9"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537B007C" w14:textId="482EBD6A" w:rsidR="00E040FD" w:rsidRDefault="00740D64">
            <w:pPr>
              <w:pStyle w:val="P68B1DB1-Normal12"/>
              <w:spacing w:after="0" w:line="240" w:lineRule="auto"/>
              <w:jc w:val="center"/>
              <w:rPr>
                <w:rFonts w:eastAsia="Times New Roman" w:cstheme="minorHAnsi"/>
                <w:noProof/>
              </w:rPr>
            </w:pPr>
            <w:r>
              <w:rPr>
                <w:noProof/>
              </w:rPr>
              <w:t>Antal</w:t>
            </w:r>
          </w:p>
        </w:tc>
        <w:tc>
          <w:tcPr>
            <w:tcW w:w="992" w:type="dxa"/>
            <w:shd w:val="clear" w:color="auto" w:fill="C4EFCE"/>
            <w:noWrap/>
            <w:vAlign w:val="center"/>
          </w:tcPr>
          <w:p w14:paraId="30CE81C5" w14:textId="44255BD5" w:rsidR="00E040FD" w:rsidRDefault="00740D64">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7D552B8B" w14:textId="6840C96D" w:rsidR="00E040FD" w:rsidRDefault="00740D64">
            <w:pPr>
              <w:pStyle w:val="P68B1DB1-Normal12"/>
              <w:spacing w:after="0" w:line="240" w:lineRule="auto"/>
              <w:jc w:val="center"/>
              <w:rPr>
                <w:rFonts w:eastAsia="Times New Roman" w:cstheme="minorHAnsi"/>
                <w:noProof/>
              </w:rPr>
            </w:pPr>
            <w:r>
              <w:rPr>
                <w:noProof/>
              </w:rPr>
              <w:t>12 500</w:t>
            </w:r>
          </w:p>
        </w:tc>
        <w:tc>
          <w:tcPr>
            <w:tcW w:w="567" w:type="dxa"/>
            <w:shd w:val="clear" w:color="auto" w:fill="C4EFCE"/>
            <w:noWrap/>
            <w:vAlign w:val="center"/>
          </w:tcPr>
          <w:p w14:paraId="4774708D" w14:textId="187C4CA4"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590EB134" w14:textId="7394F496"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3B10BE2" w14:textId="3478037F" w:rsidR="00E040FD" w:rsidRDefault="00740D64">
            <w:pPr>
              <w:pStyle w:val="P68B1DB1-Normal12"/>
              <w:spacing w:after="0" w:line="240" w:lineRule="auto"/>
              <w:jc w:val="both"/>
              <w:rPr>
                <w:rFonts w:eastAsia="Times New Roman" w:cstheme="minorHAnsi"/>
                <w:noProof/>
              </w:rPr>
            </w:pPr>
            <w:r>
              <w:rPr>
                <w:noProof/>
              </w:rPr>
              <w:t xml:space="preserve">Antal utbildade personer i antingen programmet för miljövänligt arbete och kompetens eller kurser i utbildningscentrumet för energiomställning.   </w:t>
            </w:r>
          </w:p>
        </w:tc>
      </w:tr>
      <w:tr w:rsidR="00E040FD" w14:paraId="6B1F2C06" w14:textId="77777777">
        <w:trPr>
          <w:trHeight w:val="430"/>
        </w:trPr>
        <w:tc>
          <w:tcPr>
            <w:tcW w:w="1135" w:type="dxa"/>
            <w:shd w:val="clear" w:color="auto" w:fill="C4EFCE"/>
            <w:vAlign w:val="center"/>
          </w:tcPr>
          <w:p w14:paraId="01B3604D" w14:textId="7B2AF347" w:rsidR="00E040FD" w:rsidRDefault="00740D64">
            <w:pPr>
              <w:pStyle w:val="P68B1DB1-Normal11"/>
              <w:spacing w:after="0" w:line="240" w:lineRule="auto"/>
              <w:jc w:val="center"/>
              <w:rPr>
                <w:rFonts w:eastAsia="Times New Roman" w:cstheme="minorHAnsi"/>
                <w:noProof/>
              </w:rPr>
            </w:pPr>
            <w:r>
              <w:rPr>
                <w:noProof/>
              </w:rPr>
              <w:t>21.15</w:t>
            </w:r>
          </w:p>
        </w:tc>
        <w:tc>
          <w:tcPr>
            <w:tcW w:w="1276" w:type="dxa"/>
            <w:shd w:val="clear" w:color="auto" w:fill="C4EFCE"/>
            <w:noWrap/>
            <w:vAlign w:val="center"/>
          </w:tcPr>
          <w:p w14:paraId="59821F78" w14:textId="3E0A4BAD" w:rsidR="00E040FD" w:rsidRDefault="00740D64">
            <w:pPr>
              <w:pStyle w:val="P68B1DB1-Normal12"/>
              <w:spacing w:after="0" w:line="240" w:lineRule="auto"/>
              <w:jc w:val="center"/>
              <w:rPr>
                <w:rFonts w:eastAsia="Times New Roman"/>
                <w:noProof/>
              </w:rPr>
            </w:pPr>
            <w:r>
              <w:rPr>
                <w:noProof/>
              </w:rPr>
              <w:t xml:space="preserve"> RP-C21-r45</w:t>
            </w:r>
          </w:p>
        </w:tc>
        <w:tc>
          <w:tcPr>
            <w:tcW w:w="1134" w:type="dxa"/>
            <w:shd w:val="clear" w:color="auto" w:fill="C4EFCE"/>
            <w:noWrap/>
            <w:vAlign w:val="center"/>
          </w:tcPr>
          <w:p w14:paraId="6FFE32F5" w14:textId="2C012BA0"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5F5D539" w14:textId="43F358D0" w:rsidR="00E040FD" w:rsidRDefault="00740D64">
            <w:pPr>
              <w:pStyle w:val="P68B1DB1-Normal12"/>
              <w:spacing w:after="0" w:line="240" w:lineRule="auto"/>
              <w:jc w:val="center"/>
              <w:rPr>
                <w:rFonts w:eastAsia="Times New Roman" w:cstheme="minorHAnsi"/>
                <w:noProof/>
              </w:rPr>
            </w:pPr>
            <w:r>
              <w:rPr>
                <w:noProof/>
              </w:rPr>
              <w:t>Utbildningsåtgärder för grön kompetens</w:t>
            </w:r>
          </w:p>
        </w:tc>
        <w:tc>
          <w:tcPr>
            <w:tcW w:w="1275" w:type="dxa"/>
            <w:shd w:val="clear" w:color="auto" w:fill="C4EFCE"/>
            <w:noWrap/>
            <w:vAlign w:val="center"/>
          </w:tcPr>
          <w:p w14:paraId="430194B1"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2EB231DA" w14:textId="69A30C89" w:rsidR="00E040FD" w:rsidRDefault="00740D64">
            <w:pPr>
              <w:pStyle w:val="P68B1DB1-Normal12"/>
              <w:spacing w:after="0" w:line="240" w:lineRule="auto"/>
              <w:jc w:val="center"/>
              <w:rPr>
                <w:rFonts w:eastAsia="Times New Roman" w:cstheme="minorHAnsi"/>
                <w:noProof/>
              </w:rPr>
            </w:pPr>
            <w:r>
              <w:rPr>
                <w:noProof/>
              </w:rPr>
              <w:t>Antal</w:t>
            </w:r>
          </w:p>
        </w:tc>
        <w:tc>
          <w:tcPr>
            <w:tcW w:w="992" w:type="dxa"/>
            <w:shd w:val="clear" w:color="auto" w:fill="C4EFCE"/>
            <w:noWrap/>
            <w:vAlign w:val="center"/>
          </w:tcPr>
          <w:p w14:paraId="052F5316" w14:textId="2F24CFF8" w:rsidR="00E040FD" w:rsidRDefault="00740D64">
            <w:pPr>
              <w:pStyle w:val="P68B1DB1-Normal12"/>
              <w:spacing w:after="0" w:line="240" w:lineRule="auto"/>
              <w:jc w:val="center"/>
              <w:rPr>
                <w:rFonts w:eastAsia="Times New Roman" w:cstheme="minorHAnsi"/>
                <w:noProof/>
              </w:rPr>
            </w:pPr>
            <w:r>
              <w:rPr>
                <w:noProof/>
              </w:rPr>
              <w:t>12 500</w:t>
            </w:r>
          </w:p>
        </w:tc>
        <w:tc>
          <w:tcPr>
            <w:tcW w:w="992" w:type="dxa"/>
            <w:shd w:val="clear" w:color="auto" w:fill="C4EFCE"/>
            <w:noWrap/>
            <w:vAlign w:val="center"/>
          </w:tcPr>
          <w:p w14:paraId="03933323" w14:textId="324B1BA9" w:rsidR="00E040FD" w:rsidRDefault="00740D64">
            <w:pPr>
              <w:pStyle w:val="P68B1DB1-Normal12"/>
              <w:spacing w:after="0" w:line="240" w:lineRule="auto"/>
              <w:jc w:val="center"/>
              <w:rPr>
                <w:rFonts w:eastAsia="Times New Roman" w:cstheme="minorHAnsi"/>
                <w:noProof/>
              </w:rPr>
            </w:pPr>
            <w:r>
              <w:rPr>
                <w:noProof/>
              </w:rPr>
              <w:t>25 000</w:t>
            </w:r>
          </w:p>
        </w:tc>
        <w:tc>
          <w:tcPr>
            <w:tcW w:w="567" w:type="dxa"/>
            <w:shd w:val="clear" w:color="auto" w:fill="C4EFCE"/>
            <w:noWrap/>
            <w:vAlign w:val="center"/>
          </w:tcPr>
          <w:p w14:paraId="411D6569" w14:textId="0670EF93"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1FC8409E" w14:textId="35A39153" w:rsidR="00E040FD" w:rsidRDefault="00740D6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6063AE36" w14:textId="5F0AFC76" w:rsidR="00E040FD" w:rsidRDefault="00740D64">
            <w:pPr>
              <w:pStyle w:val="P68B1DB1-Normal12"/>
              <w:spacing w:after="0" w:line="240" w:lineRule="auto"/>
              <w:jc w:val="both"/>
              <w:rPr>
                <w:rFonts w:eastAsia="Times New Roman" w:cstheme="minorHAnsi"/>
                <w:noProof/>
              </w:rPr>
            </w:pPr>
            <w:r>
              <w:rPr>
                <w:noProof/>
              </w:rPr>
              <w:t xml:space="preserve">Antal utbildade personer i antingen programmet för miljövänligt arbete och kompetens eller kurser i utbildningscentrumet för energiomställning. Minst 12 500 personer ska utbildas i utbildningscentrumet för energiomställning. </w:t>
            </w:r>
          </w:p>
        </w:tc>
      </w:tr>
      <w:tr w:rsidR="00E040FD" w14:paraId="01B2B8AD" w14:textId="77777777">
        <w:trPr>
          <w:trHeight w:val="430"/>
        </w:trPr>
        <w:tc>
          <w:tcPr>
            <w:tcW w:w="1135" w:type="dxa"/>
            <w:shd w:val="clear" w:color="auto" w:fill="C4EFCE"/>
            <w:vAlign w:val="center"/>
          </w:tcPr>
          <w:p w14:paraId="56013C8B" w14:textId="37C588C6" w:rsidR="00E040FD" w:rsidRDefault="00740D64">
            <w:pPr>
              <w:pStyle w:val="P68B1DB1-Normal11"/>
              <w:spacing w:after="0" w:line="240" w:lineRule="auto"/>
              <w:jc w:val="center"/>
              <w:rPr>
                <w:rFonts w:eastAsia="Times New Roman" w:cstheme="minorHAnsi"/>
                <w:noProof/>
              </w:rPr>
            </w:pPr>
            <w:r>
              <w:rPr>
                <w:noProof/>
              </w:rPr>
              <w:t>21.16</w:t>
            </w:r>
          </w:p>
        </w:tc>
        <w:tc>
          <w:tcPr>
            <w:tcW w:w="1276" w:type="dxa"/>
            <w:shd w:val="clear" w:color="auto" w:fill="C4EFCE"/>
            <w:noWrap/>
            <w:vAlign w:val="center"/>
          </w:tcPr>
          <w:p w14:paraId="087C73AC" w14:textId="2C060A7C" w:rsidR="00E040FD" w:rsidRDefault="00740D64">
            <w:pPr>
              <w:pStyle w:val="P68B1DB1-Normal12"/>
              <w:spacing w:after="0" w:line="240" w:lineRule="auto"/>
              <w:jc w:val="center"/>
              <w:rPr>
                <w:rFonts w:eastAsia="Times New Roman"/>
                <w:noProof/>
              </w:rPr>
            </w:pPr>
            <w:r>
              <w:rPr>
                <w:noProof/>
              </w:rPr>
              <w:t>RP-C21-r46</w:t>
            </w:r>
          </w:p>
        </w:tc>
        <w:tc>
          <w:tcPr>
            <w:tcW w:w="1134" w:type="dxa"/>
            <w:shd w:val="clear" w:color="auto" w:fill="C4EFCE"/>
            <w:noWrap/>
            <w:vAlign w:val="center"/>
          </w:tcPr>
          <w:p w14:paraId="296E326D" w14:textId="5E900A9F"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03914822" w14:textId="4E6DAE08" w:rsidR="00E040FD" w:rsidRDefault="00740D64">
            <w:pPr>
              <w:pStyle w:val="P68B1DB1-Bodytext1013"/>
              <w:spacing w:line="240" w:lineRule="auto"/>
              <w:jc w:val="center"/>
              <w:rPr>
                <w:rFonts w:cstheme="minorHAnsi"/>
                <w:noProof/>
              </w:rPr>
            </w:pPr>
            <w:r>
              <w:rPr>
                <w:noProof/>
              </w:rPr>
              <w:t>Ikraftträdande av en administrativ eller rättslig akt om förnybar vätgas</w:t>
            </w:r>
          </w:p>
        </w:tc>
        <w:tc>
          <w:tcPr>
            <w:tcW w:w="1275" w:type="dxa"/>
            <w:shd w:val="clear" w:color="auto" w:fill="C4EFCE"/>
            <w:noWrap/>
            <w:vAlign w:val="center"/>
          </w:tcPr>
          <w:p w14:paraId="7788ED3B" w14:textId="253DA9A9" w:rsidR="00E040FD" w:rsidRDefault="00740D64">
            <w:pPr>
              <w:pStyle w:val="P68B1DB1-Normal12"/>
              <w:spacing w:after="0" w:line="240" w:lineRule="auto"/>
              <w:jc w:val="center"/>
              <w:rPr>
                <w:rFonts w:eastAsia="Times New Roman" w:cstheme="minorHAnsi"/>
                <w:noProof/>
              </w:rPr>
            </w:pPr>
            <w:r>
              <w:rPr>
                <w:noProof/>
              </w:rPr>
              <w:t>Bestämmelse i den administrativa eller rättsliga akten som anger dess ikraftträdande</w:t>
            </w:r>
          </w:p>
        </w:tc>
        <w:tc>
          <w:tcPr>
            <w:tcW w:w="993" w:type="dxa"/>
            <w:shd w:val="clear" w:color="auto" w:fill="C4EFCE"/>
            <w:noWrap/>
            <w:vAlign w:val="center"/>
          </w:tcPr>
          <w:p w14:paraId="5B01E911"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73571C18"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6FDDCCA3"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2B00763D" w14:textId="56911041" w:rsidR="00E040FD" w:rsidRDefault="00740D64">
            <w:pPr>
              <w:pStyle w:val="P68B1DB1-Normal12"/>
              <w:spacing w:after="0" w:line="240" w:lineRule="auto"/>
              <w:jc w:val="center"/>
              <w:rPr>
                <w:rFonts w:eastAsia="Times New Roman" w:cstheme="minorHAnsi"/>
                <w:noProof/>
              </w:rPr>
            </w:pPr>
            <w:r>
              <w:rPr>
                <w:noProof/>
              </w:rPr>
              <w:t>KVARTAL 3</w:t>
            </w:r>
          </w:p>
        </w:tc>
        <w:tc>
          <w:tcPr>
            <w:tcW w:w="708" w:type="dxa"/>
            <w:shd w:val="clear" w:color="auto" w:fill="C4EFCE"/>
            <w:noWrap/>
            <w:vAlign w:val="center"/>
          </w:tcPr>
          <w:p w14:paraId="4BC4C0BA" w14:textId="16296F8C" w:rsidR="00E040FD" w:rsidRDefault="00740D6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56226CBF" w14:textId="2224A00D" w:rsidR="00E040FD" w:rsidRDefault="00740D64">
            <w:pPr>
              <w:pStyle w:val="P68B1DB1-Bodytext1013"/>
              <w:spacing w:after="0" w:line="240" w:lineRule="auto"/>
              <w:jc w:val="both"/>
              <w:rPr>
                <w:rFonts w:cstheme="minorHAnsi"/>
                <w:noProof/>
              </w:rPr>
            </w:pPr>
            <w:r>
              <w:rPr>
                <w:noProof/>
              </w:rPr>
              <w:t>Ikraftträdande av en administrativ eller rättslig akt om förnybar vätgas som specificerar att endast de anläggningar som uppfyller kraven i direktivet om förnybar energi och dess delegerade akter (2018/2001/EU) ska betraktas som anläggningar för produktion av förnybar vätgas.</w:t>
            </w:r>
          </w:p>
        </w:tc>
      </w:tr>
      <w:tr w:rsidR="00E040FD" w14:paraId="7A0E7FBC" w14:textId="77777777">
        <w:trPr>
          <w:trHeight w:val="430"/>
        </w:trPr>
        <w:tc>
          <w:tcPr>
            <w:tcW w:w="1135" w:type="dxa"/>
            <w:shd w:val="clear" w:color="auto" w:fill="C4EFCE"/>
            <w:vAlign w:val="center"/>
          </w:tcPr>
          <w:p w14:paraId="3D1E7654" w14:textId="46F81725" w:rsidR="00E040FD" w:rsidRDefault="00740D64">
            <w:pPr>
              <w:pStyle w:val="P68B1DB1-Normal11"/>
              <w:spacing w:after="0" w:line="240" w:lineRule="auto"/>
              <w:jc w:val="center"/>
              <w:rPr>
                <w:rFonts w:eastAsia="Times New Roman" w:cstheme="minorHAnsi"/>
                <w:noProof/>
              </w:rPr>
            </w:pPr>
            <w:r>
              <w:rPr>
                <w:noProof/>
              </w:rPr>
              <w:t>21.17</w:t>
            </w:r>
          </w:p>
        </w:tc>
        <w:tc>
          <w:tcPr>
            <w:tcW w:w="1276" w:type="dxa"/>
            <w:shd w:val="clear" w:color="auto" w:fill="C4EFCE"/>
            <w:noWrap/>
            <w:vAlign w:val="center"/>
          </w:tcPr>
          <w:p w14:paraId="54AE443D" w14:textId="7ECCFA54" w:rsidR="00E040FD" w:rsidRDefault="00740D64">
            <w:pPr>
              <w:pStyle w:val="P68B1DB1-Normal12"/>
              <w:spacing w:after="0" w:line="240" w:lineRule="auto"/>
              <w:jc w:val="center"/>
              <w:rPr>
                <w:rFonts w:eastAsia="Times New Roman"/>
                <w:noProof/>
              </w:rPr>
            </w:pPr>
            <w:r>
              <w:rPr>
                <w:noProof/>
              </w:rPr>
              <w:t>RP-C21-r46</w:t>
            </w:r>
          </w:p>
        </w:tc>
        <w:tc>
          <w:tcPr>
            <w:tcW w:w="1134" w:type="dxa"/>
            <w:shd w:val="clear" w:color="auto" w:fill="C4EFCE"/>
            <w:noWrap/>
            <w:vAlign w:val="center"/>
          </w:tcPr>
          <w:p w14:paraId="3C7CBC31" w14:textId="351C4C41"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84C6A16" w14:textId="19A6254B" w:rsidR="00E040FD" w:rsidRDefault="00740D64">
            <w:pPr>
              <w:pStyle w:val="P68B1DB1-Normal12"/>
              <w:spacing w:after="0" w:line="240" w:lineRule="auto"/>
              <w:jc w:val="center"/>
              <w:rPr>
                <w:rFonts w:eastAsia="Times New Roman" w:cstheme="minorHAnsi"/>
                <w:noProof/>
              </w:rPr>
            </w:pPr>
            <w:r>
              <w:rPr>
                <w:noProof/>
              </w:rPr>
              <w:t>Ikraftträdande av den reviderade förordningen om nationella gasöverföringsnät och förordningen om nationella gasdistributionsnät</w:t>
            </w:r>
          </w:p>
        </w:tc>
        <w:tc>
          <w:tcPr>
            <w:tcW w:w="1275" w:type="dxa"/>
            <w:shd w:val="clear" w:color="auto" w:fill="C4EFCE"/>
            <w:noWrap/>
            <w:vAlign w:val="center"/>
          </w:tcPr>
          <w:p w14:paraId="468E9001" w14:textId="5D32AEED" w:rsidR="00E040FD" w:rsidRDefault="00740D64">
            <w:pPr>
              <w:pStyle w:val="P68B1DB1-Normal12"/>
              <w:spacing w:after="0" w:line="240" w:lineRule="auto"/>
              <w:jc w:val="center"/>
              <w:rPr>
                <w:rFonts w:eastAsia="Times New Roman" w:cstheme="minorHAnsi"/>
                <w:noProof/>
              </w:rPr>
            </w:pPr>
            <w:r>
              <w:rPr>
                <w:noProof/>
              </w:rPr>
              <w:t xml:space="preserve">Bestämmelse i förordningarna som anger förordningens ikraftträdande </w:t>
            </w:r>
          </w:p>
        </w:tc>
        <w:tc>
          <w:tcPr>
            <w:tcW w:w="993" w:type="dxa"/>
            <w:shd w:val="clear" w:color="auto" w:fill="C4EFCE"/>
            <w:noWrap/>
            <w:vAlign w:val="center"/>
          </w:tcPr>
          <w:p w14:paraId="6637512D"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73320AE1"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61D84A47"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41A67F67" w14:textId="6ADF699D"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shd w:val="clear" w:color="auto" w:fill="C4EFCE"/>
            <w:noWrap/>
            <w:vAlign w:val="center"/>
          </w:tcPr>
          <w:p w14:paraId="2B7264B1" w14:textId="17E3A68C"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5E8D9EB5" w14:textId="1378FBBD" w:rsidR="00E040FD" w:rsidRDefault="00740D64">
            <w:pPr>
              <w:pStyle w:val="P68B1DB1-Normal12"/>
              <w:spacing w:after="0" w:line="240" w:lineRule="auto"/>
              <w:jc w:val="both"/>
              <w:rPr>
                <w:rFonts w:eastAsia="Times New Roman" w:cstheme="minorHAnsi"/>
                <w:noProof/>
              </w:rPr>
            </w:pPr>
            <w:r>
              <w:rPr>
                <w:noProof/>
              </w:rPr>
              <w:t>Ikraftträdande av den reviderade förordningen om nationella gasöverföringsnät och förordningen om nationella gasdistributionsnät som specificerar kriterierna för inmatning av förnybar vätgas i gasnätet.</w:t>
            </w:r>
          </w:p>
        </w:tc>
      </w:tr>
      <w:tr w:rsidR="00E040FD" w14:paraId="605D9DEB" w14:textId="77777777">
        <w:trPr>
          <w:trHeight w:val="430"/>
        </w:trPr>
        <w:tc>
          <w:tcPr>
            <w:tcW w:w="1135" w:type="dxa"/>
            <w:shd w:val="clear" w:color="auto" w:fill="C4EFCE"/>
            <w:vAlign w:val="center"/>
          </w:tcPr>
          <w:p w14:paraId="79442355" w14:textId="47ECB25B" w:rsidR="00E040FD" w:rsidRDefault="00740D64">
            <w:pPr>
              <w:pStyle w:val="P68B1DB1-Normal11"/>
              <w:spacing w:after="0" w:line="240" w:lineRule="auto"/>
              <w:jc w:val="center"/>
              <w:rPr>
                <w:rFonts w:eastAsia="Times New Roman" w:cstheme="minorHAnsi"/>
                <w:noProof/>
              </w:rPr>
            </w:pPr>
            <w:r>
              <w:rPr>
                <w:noProof/>
              </w:rPr>
              <w:t>21.18</w:t>
            </w:r>
          </w:p>
        </w:tc>
        <w:tc>
          <w:tcPr>
            <w:tcW w:w="1276" w:type="dxa"/>
            <w:shd w:val="clear" w:color="auto" w:fill="C4EFCE"/>
            <w:noWrap/>
            <w:vAlign w:val="center"/>
          </w:tcPr>
          <w:p w14:paraId="460C67CB" w14:textId="18AC6D11" w:rsidR="00E040FD" w:rsidRDefault="00740D64">
            <w:pPr>
              <w:pStyle w:val="P68B1DB1-Normal12"/>
              <w:spacing w:after="0" w:line="240" w:lineRule="auto"/>
              <w:jc w:val="center"/>
              <w:rPr>
                <w:rFonts w:eastAsia="Times New Roman"/>
                <w:noProof/>
              </w:rPr>
            </w:pPr>
            <w:r>
              <w:rPr>
                <w:noProof/>
              </w:rPr>
              <w:t>RP-C21-r47</w:t>
            </w:r>
          </w:p>
        </w:tc>
        <w:tc>
          <w:tcPr>
            <w:tcW w:w="1134" w:type="dxa"/>
            <w:shd w:val="clear" w:color="auto" w:fill="C4EFCE"/>
            <w:noWrap/>
            <w:vAlign w:val="center"/>
          </w:tcPr>
          <w:p w14:paraId="64F6B095" w14:textId="68DF9292"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6E13C29" w14:textId="6406C986" w:rsidR="00E040FD" w:rsidRDefault="00740D64">
            <w:pPr>
              <w:pStyle w:val="P68B1DB1-Normal12"/>
              <w:spacing w:after="0" w:line="240" w:lineRule="auto"/>
              <w:jc w:val="center"/>
              <w:rPr>
                <w:rFonts w:eastAsia="Times New Roman" w:cstheme="minorHAnsi"/>
                <w:noProof/>
              </w:rPr>
            </w:pPr>
            <w:r>
              <w:rPr>
                <w:noProof/>
              </w:rPr>
              <w:t>Inledande av den första auktionen för centraliserade inköp av hållbar biometan</w:t>
            </w:r>
          </w:p>
        </w:tc>
        <w:tc>
          <w:tcPr>
            <w:tcW w:w="1275" w:type="dxa"/>
            <w:shd w:val="clear" w:color="auto" w:fill="C4EFCE"/>
            <w:noWrap/>
            <w:vAlign w:val="center"/>
          </w:tcPr>
          <w:p w14:paraId="69CDF0A5" w14:textId="736DF564" w:rsidR="00E040FD" w:rsidRDefault="00740D64">
            <w:pPr>
              <w:pStyle w:val="P68B1DB1-Normal12"/>
              <w:spacing w:after="0" w:line="240" w:lineRule="auto"/>
              <w:jc w:val="center"/>
              <w:rPr>
                <w:rFonts w:eastAsia="Times New Roman" w:cstheme="minorHAnsi"/>
                <w:noProof/>
              </w:rPr>
            </w:pPr>
            <w:r>
              <w:rPr>
                <w:noProof/>
              </w:rPr>
              <w:t>Inledande av den första auktionen för centraliserade inköp av hållbar biometan</w:t>
            </w:r>
          </w:p>
        </w:tc>
        <w:tc>
          <w:tcPr>
            <w:tcW w:w="993" w:type="dxa"/>
            <w:shd w:val="clear" w:color="auto" w:fill="C4EFCE"/>
            <w:noWrap/>
            <w:vAlign w:val="center"/>
          </w:tcPr>
          <w:p w14:paraId="5C6BE3C1" w14:textId="77777777" w:rsidR="00E040FD" w:rsidRDefault="00E040FD">
            <w:pPr>
              <w:pStyle w:val="Bodytext10"/>
              <w:rPr>
                <w:rFonts w:asciiTheme="minorHAnsi" w:hAnsiTheme="minorHAnsi" w:cstheme="minorHAnsi"/>
                <w:noProof/>
                <w:sz w:val="16"/>
              </w:rPr>
            </w:pPr>
          </w:p>
          <w:p w14:paraId="1C95DE88"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3C86D329"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1B5F97E0"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3D5226E5" w14:textId="320D48A4" w:rsidR="00E040FD" w:rsidRDefault="00740D64">
            <w:pPr>
              <w:pStyle w:val="P68B1DB1-Normal12"/>
              <w:spacing w:after="0" w:line="240" w:lineRule="auto"/>
              <w:jc w:val="center"/>
              <w:rPr>
                <w:rFonts w:eastAsia="Times New Roman" w:cstheme="minorHAnsi"/>
                <w:noProof/>
              </w:rPr>
            </w:pPr>
            <w:r>
              <w:rPr>
                <w:noProof/>
              </w:rPr>
              <w:t>KVARTAL 3</w:t>
            </w:r>
          </w:p>
        </w:tc>
        <w:tc>
          <w:tcPr>
            <w:tcW w:w="708" w:type="dxa"/>
            <w:shd w:val="clear" w:color="auto" w:fill="C4EFCE"/>
            <w:noWrap/>
            <w:vAlign w:val="center"/>
          </w:tcPr>
          <w:p w14:paraId="13AAF3B7" w14:textId="42A89A23" w:rsidR="00E040FD" w:rsidRDefault="00740D6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205462C3" w14:textId="592E1365" w:rsidR="00E040FD" w:rsidRDefault="00740D64">
            <w:pPr>
              <w:pStyle w:val="P68B1DB1-Normal12"/>
              <w:spacing w:after="0" w:line="240" w:lineRule="auto"/>
              <w:jc w:val="both"/>
              <w:rPr>
                <w:rFonts w:eastAsia="Times New Roman" w:cstheme="minorHAnsi"/>
                <w:noProof/>
              </w:rPr>
            </w:pPr>
            <w:r>
              <w:rPr>
                <w:noProof/>
              </w:rPr>
              <w:t>Inledande av den första auktionen för centraliserade inköp av hållbar biometan, i enlighet med reglerna i regeringsdekret 15/2023 av den 4 januari, i syfte att köpa in 150 GWh biometan per år för injektion i det nationella gasnätet.</w:t>
            </w:r>
          </w:p>
        </w:tc>
      </w:tr>
      <w:tr w:rsidR="00E040FD" w14:paraId="1C21BC20" w14:textId="77777777">
        <w:trPr>
          <w:trHeight w:val="430"/>
        </w:trPr>
        <w:tc>
          <w:tcPr>
            <w:tcW w:w="1135" w:type="dxa"/>
            <w:shd w:val="clear" w:color="auto" w:fill="C4EFCE"/>
            <w:vAlign w:val="center"/>
          </w:tcPr>
          <w:p w14:paraId="7BCD5805" w14:textId="57AAEBFF" w:rsidR="00E040FD" w:rsidRDefault="00740D64">
            <w:pPr>
              <w:pStyle w:val="P68B1DB1-Normal11"/>
              <w:spacing w:after="0" w:line="240" w:lineRule="auto"/>
              <w:jc w:val="center"/>
              <w:rPr>
                <w:rFonts w:eastAsia="Times New Roman" w:cstheme="minorHAnsi"/>
                <w:noProof/>
              </w:rPr>
            </w:pPr>
            <w:r>
              <w:rPr>
                <w:noProof/>
              </w:rPr>
              <w:t>21.19</w:t>
            </w:r>
          </w:p>
        </w:tc>
        <w:tc>
          <w:tcPr>
            <w:tcW w:w="1276" w:type="dxa"/>
            <w:shd w:val="clear" w:color="auto" w:fill="C4EFCE"/>
            <w:noWrap/>
            <w:vAlign w:val="center"/>
          </w:tcPr>
          <w:p w14:paraId="0FB6B493" w14:textId="29E0E517" w:rsidR="00E040FD" w:rsidRDefault="00740D64">
            <w:pPr>
              <w:pStyle w:val="P68B1DB1-Normal12"/>
              <w:spacing w:after="0" w:line="240" w:lineRule="auto"/>
              <w:jc w:val="center"/>
              <w:rPr>
                <w:rFonts w:eastAsia="Times New Roman"/>
                <w:noProof/>
              </w:rPr>
            </w:pPr>
            <w:r>
              <w:rPr>
                <w:noProof/>
              </w:rPr>
              <w:t>RP-C21-r47</w:t>
            </w:r>
          </w:p>
        </w:tc>
        <w:tc>
          <w:tcPr>
            <w:tcW w:w="1134" w:type="dxa"/>
            <w:shd w:val="clear" w:color="auto" w:fill="C4EFCE"/>
            <w:noWrap/>
            <w:vAlign w:val="center"/>
          </w:tcPr>
          <w:p w14:paraId="6F3A2F82" w14:textId="6C89584C"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263D92B4" w14:textId="6C0D542B" w:rsidR="00E040FD" w:rsidRDefault="00740D64">
            <w:pPr>
              <w:pStyle w:val="P68B1DB1-Normal12"/>
              <w:spacing w:after="0" w:line="240" w:lineRule="auto"/>
              <w:jc w:val="center"/>
              <w:rPr>
                <w:rFonts w:eastAsia="Times New Roman" w:cstheme="minorHAnsi"/>
                <w:noProof/>
              </w:rPr>
            </w:pPr>
            <w:r>
              <w:rPr>
                <w:noProof/>
              </w:rPr>
              <w:t>Antagande av handlingsplanen för biometan</w:t>
            </w:r>
          </w:p>
        </w:tc>
        <w:tc>
          <w:tcPr>
            <w:tcW w:w="1275" w:type="dxa"/>
            <w:shd w:val="clear" w:color="auto" w:fill="C4EFCE"/>
            <w:noWrap/>
            <w:vAlign w:val="center"/>
          </w:tcPr>
          <w:p w14:paraId="2331BC43" w14:textId="5662D980" w:rsidR="00E040FD" w:rsidRDefault="00740D64">
            <w:pPr>
              <w:pStyle w:val="P68B1DB1-Normal12"/>
              <w:spacing w:after="0" w:line="240" w:lineRule="auto"/>
              <w:jc w:val="center"/>
              <w:rPr>
                <w:rFonts w:eastAsia="Times New Roman" w:cstheme="minorHAnsi"/>
                <w:noProof/>
              </w:rPr>
            </w:pPr>
            <w:r>
              <w:rPr>
                <w:noProof/>
              </w:rPr>
              <w:t>Antagande av handlingsplanen för biometan</w:t>
            </w:r>
          </w:p>
        </w:tc>
        <w:tc>
          <w:tcPr>
            <w:tcW w:w="993" w:type="dxa"/>
            <w:shd w:val="clear" w:color="auto" w:fill="C4EFCE"/>
            <w:noWrap/>
            <w:vAlign w:val="center"/>
          </w:tcPr>
          <w:p w14:paraId="46102B02"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754ECF4E"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6B73CC88"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547A7E82" w14:textId="293EE249" w:rsidR="00E040FD" w:rsidRDefault="00740D64">
            <w:pPr>
              <w:pStyle w:val="P68B1DB1-Normal12"/>
              <w:spacing w:after="0" w:line="240" w:lineRule="auto"/>
              <w:jc w:val="center"/>
              <w:rPr>
                <w:rFonts w:eastAsia="Times New Roman" w:cstheme="minorHAnsi"/>
                <w:noProof/>
              </w:rPr>
            </w:pPr>
            <w:r>
              <w:rPr>
                <w:noProof/>
              </w:rPr>
              <w:t>KVARTAL 1</w:t>
            </w:r>
          </w:p>
        </w:tc>
        <w:tc>
          <w:tcPr>
            <w:tcW w:w="708" w:type="dxa"/>
            <w:shd w:val="clear" w:color="auto" w:fill="C4EFCE"/>
            <w:noWrap/>
            <w:vAlign w:val="center"/>
          </w:tcPr>
          <w:p w14:paraId="7A5419DD" w14:textId="6C7BDBBD"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07712EEC" w14:textId="66A9DDF7" w:rsidR="00E040FD" w:rsidRDefault="00740D64">
            <w:pPr>
              <w:pStyle w:val="P68B1DB1-Normal12"/>
              <w:spacing w:after="0" w:line="240" w:lineRule="auto"/>
              <w:jc w:val="both"/>
              <w:rPr>
                <w:rFonts w:eastAsia="Times New Roman" w:cstheme="minorHAnsi"/>
                <w:noProof/>
              </w:rPr>
            </w:pPr>
            <w:r>
              <w:rPr>
                <w:noProof/>
              </w:rPr>
              <w:t xml:space="preserve">Antagande av handlingsplanen för biometan, som ska fastställa en strategi för utvecklingen av marknaden för biometan. </w:t>
            </w:r>
          </w:p>
        </w:tc>
      </w:tr>
      <w:tr w:rsidR="00E040FD" w14:paraId="418F63A0" w14:textId="77777777">
        <w:trPr>
          <w:trHeight w:val="430"/>
        </w:trPr>
        <w:tc>
          <w:tcPr>
            <w:tcW w:w="1135" w:type="dxa"/>
            <w:shd w:val="clear" w:color="auto" w:fill="C4EFCE"/>
            <w:vAlign w:val="center"/>
          </w:tcPr>
          <w:p w14:paraId="142F0F30" w14:textId="5290C99B" w:rsidR="00E040FD" w:rsidRDefault="00740D64">
            <w:pPr>
              <w:pStyle w:val="P68B1DB1-Normal11"/>
              <w:spacing w:after="0" w:line="240" w:lineRule="auto"/>
              <w:jc w:val="center"/>
              <w:rPr>
                <w:rFonts w:eastAsia="Times New Roman" w:cstheme="minorHAnsi"/>
                <w:noProof/>
              </w:rPr>
            </w:pPr>
            <w:r>
              <w:rPr>
                <w:noProof/>
              </w:rPr>
              <w:t>21.20</w:t>
            </w:r>
          </w:p>
        </w:tc>
        <w:tc>
          <w:tcPr>
            <w:tcW w:w="1276" w:type="dxa"/>
            <w:shd w:val="clear" w:color="auto" w:fill="C4EFCE"/>
            <w:noWrap/>
            <w:vAlign w:val="center"/>
          </w:tcPr>
          <w:p w14:paraId="6C665450" w14:textId="33C17ADF" w:rsidR="00E040FD" w:rsidRDefault="00740D64">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2CBD83E4" w14:textId="031B82C1"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D797AFF" w14:textId="7C6D96EE" w:rsidR="00E040FD" w:rsidRDefault="00740D64">
            <w:pPr>
              <w:pStyle w:val="P68B1DB1-Normal12"/>
              <w:spacing w:after="0" w:line="240" w:lineRule="auto"/>
              <w:jc w:val="center"/>
              <w:rPr>
                <w:rFonts w:eastAsia="Times New Roman" w:cstheme="minorHAnsi"/>
                <w:noProof/>
              </w:rPr>
            </w:pPr>
            <w:r>
              <w:rPr>
                <w:noProof/>
              </w:rPr>
              <w:t>Inrättande av umer 2030</w:t>
            </w:r>
          </w:p>
        </w:tc>
        <w:tc>
          <w:tcPr>
            <w:tcW w:w="1275" w:type="dxa"/>
            <w:shd w:val="clear" w:color="auto" w:fill="C4EFCE"/>
            <w:noWrap/>
            <w:vAlign w:val="center"/>
          </w:tcPr>
          <w:p w14:paraId="3870792E" w14:textId="39267017" w:rsidR="00E040FD" w:rsidRDefault="00740D64">
            <w:pPr>
              <w:pStyle w:val="P68B1DB1-Normal12"/>
              <w:spacing w:after="0" w:line="240" w:lineRule="auto"/>
              <w:jc w:val="center"/>
              <w:rPr>
                <w:rFonts w:eastAsia="Times New Roman" w:cstheme="minorHAnsi"/>
                <w:noProof/>
              </w:rPr>
            </w:pPr>
            <w:r>
              <w:rPr>
                <w:noProof/>
              </w:rPr>
              <w:t xml:space="preserve">Bestämmelse i lagstiftningsakten som anger när lagstiftningsakten träder i kraft </w:t>
            </w:r>
          </w:p>
        </w:tc>
        <w:tc>
          <w:tcPr>
            <w:tcW w:w="993" w:type="dxa"/>
            <w:shd w:val="clear" w:color="auto" w:fill="C4EFCE"/>
            <w:noWrap/>
            <w:vAlign w:val="center"/>
          </w:tcPr>
          <w:p w14:paraId="4DE5ACF5"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7F290546"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63BC3933"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46EB5396" w14:textId="2FD78DB8" w:rsidR="00E040FD" w:rsidRDefault="00740D64">
            <w:pPr>
              <w:pStyle w:val="P68B1DB1-Normal12"/>
              <w:spacing w:after="0" w:line="240" w:lineRule="auto"/>
              <w:jc w:val="center"/>
              <w:rPr>
                <w:rFonts w:eastAsia="Times New Roman" w:cstheme="minorHAnsi"/>
                <w:noProof/>
              </w:rPr>
            </w:pPr>
            <w:r>
              <w:rPr>
                <w:noProof/>
              </w:rPr>
              <w:t>KVARTAL 3</w:t>
            </w:r>
          </w:p>
        </w:tc>
        <w:tc>
          <w:tcPr>
            <w:tcW w:w="708" w:type="dxa"/>
            <w:shd w:val="clear" w:color="auto" w:fill="C4EFCE"/>
            <w:noWrap/>
            <w:vAlign w:val="center"/>
          </w:tcPr>
          <w:p w14:paraId="4CF27736" w14:textId="7B6485C3" w:rsidR="00E040FD" w:rsidRDefault="00740D6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CD424AB" w14:textId="0D91A0DB" w:rsidR="00E040FD" w:rsidRDefault="00740D64">
            <w:pPr>
              <w:pStyle w:val="P68B1DB1-Normal12"/>
              <w:spacing w:after="0" w:line="240" w:lineRule="auto"/>
              <w:jc w:val="both"/>
              <w:rPr>
                <w:rFonts w:eastAsia="Times New Roman" w:cstheme="minorHAnsi"/>
                <w:noProof/>
              </w:rPr>
            </w:pPr>
            <w:r>
              <w:rPr>
                <w:noProof/>
              </w:rPr>
              <w:t xml:space="preserve">Ikraftträdande av den tillhörande lagstiftningsakten om inrättande av år 2030. I lagstiftningsakten ska de uppgifter som anges i åtgärdsbeskrivningen fastställas för 2030. </w:t>
            </w:r>
          </w:p>
        </w:tc>
      </w:tr>
      <w:tr w:rsidR="00E040FD" w14:paraId="3434404A" w14:textId="77777777">
        <w:trPr>
          <w:trHeight w:val="430"/>
        </w:trPr>
        <w:tc>
          <w:tcPr>
            <w:tcW w:w="1135" w:type="dxa"/>
            <w:shd w:val="clear" w:color="auto" w:fill="C4EFCE"/>
            <w:vAlign w:val="center"/>
          </w:tcPr>
          <w:p w14:paraId="37F09A11" w14:textId="7EBD0484" w:rsidR="00E040FD" w:rsidRDefault="00740D64">
            <w:pPr>
              <w:pStyle w:val="P68B1DB1-Normal11"/>
              <w:spacing w:after="0" w:line="240" w:lineRule="auto"/>
              <w:jc w:val="center"/>
              <w:rPr>
                <w:rFonts w:eastAsia="Times New Roman" w:cstheme="minorHAnsi"/>
                <w:noProof/>
              </w:rPr>
            </w:pPr>
            <w:r>
              <w:rPr>
                <w:noProof/>
              </w:rPr>
              <w:t>21.21</w:t>
            </w:r>
          </w:p>
        </w:tc>
        <w:tc>
          <w:tcPr>
            <w:tcW w:w="1276" w:type="dxa"/>
            <w:shd w:val="clear" w:color="auto" w:fill="C4EFCE"/>
            <w:noWrap/>
            <w:vAlign w:val="center"/>
          </w:tcPr>
          <w:p w14:paraId="24535339" w14:textId="20939CD9" w:rsidR="00E040FD" w:rsidRDefault="00740D64">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2BAC6B67" w14:textId="5DA5E0AC"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0A12304" w14:textId="3FA91FDE" w:rsidR="00E040FD" w:rsidRDefault="00740D64">
            <w:pPr>
              <w:pStyle w:val="P68B1DB1-Normal12"/>
              <w:spacing w:after="0" w:line="240" w:lineRule="auto"/>
              <w:jc w:val="center"/>
              <w:rPr>
                <w:rFonts w:eastAsia="Times New Roman" w:cstheme="minorHAnsi"/>
                <w:noProof/>
              </w:rPr>
            </w:pPr>
            <w:r>
              <w:rPr>
                <w:noProof/>
              </w:rPr>
              <w:t>Ikraftträdande av förordningen om kommunal licensiering av projekt för förnybar energi och lagring</w:t>
            </w:r>
          </w:p>
        </w:tc>
        <w:tc>
          <w:tcPr>
            <w:tcW w:w="1275" w:type="dxa"/>
            <w:shd w:val="clear" w:color="auto" w:fill="C4EFCE"/>
            <w:noWrap/>
            <w:vAlign w:val="center"/>
          </w:tcPr>
          <w:p w14:paraId="10C906B4" w14:textId="27FE202E" w:rsidR="00E040FD" w:rsidRDefault="00740D64">
            <w:pPr>
              <w:pStyle w:val="P68B1DB1-Normal12"/>
              <w:spacing w:after="0" w:line="240" w:lineRule="auto"/>
              <w:jc w:val="center"/>
              <w:rPr>
                <w:rFonts w:eastAsia="Times New Roman" w:cstheme="minorHAnsi"/>
                <w:noProof/>
              </w:rPr>
            </w:pPr>
            <w:r>
              <w:rPr>
                <w:noProof/>
              </w:rPr>
              <w:t xml:space="preserve">Bestämmelse i den kommunala förordningen som anger att den kommunala förordningen träder i kraft </w:t>
            </w:r>
          </w:p>
        </w:tc>
        <w:tc>
          <w:tcPr>
            <w:tcW w:w="993" w:type="dxa"/>
            <w:shd w:val="clear" w:color="auto" w:fill="C4EFCE"/>
            <w:noWrap/>
            <w:vAlign w:val="center"/>
          </w:tcPr>
          <w:p w14:paraId="0B12EE5A"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704EA6B1"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145DD6C1"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6F0466BA" w14:textId="4D7C3903" w:rsidR="00E040FD" w:rsidRDefault="00740D64">
            <w:pPr>
              <w:pStyle w:val="P68B1DB1-Normal12"/>
              <w:spacing w:after="0" w:line="240" w:lineRule="auto"/>
              <w:jc w:val="center"/>
              <w:rPr>
                <w:rFonts w:eastAsia="Times New Roman" w:cstheme="minorHAnsi"/>
                <w:noProof/>
              </w:rPr>
            </w:pPr>
            <w:r>
              <w:rPr>
                <w:noProof/>
              </w:rPr>
              <w:t>KVARTAL 3</w:t>
            </w:r>
          </w:p>
        </w:tc>
        <w:tc>
          <w:tcPr>
            <w:tcW w:w="708" w:type="dxa"/>
            <w:shd w:val="clear" w:color="auto" w:fill="C4EFCE"/>
            <w:noWrap/>
            <w:vAlign w:val="center"/>
          </w:tcPr>
          <w:p w14:paraId="16E5EBC1" w14:textId="31A3FA96" w:rsidR="00E040FD" w:rsidRDefault="00740D6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D91FA19" w14:textId="7AD125CE" w:rsidR="00E040FD" w:rsidRDefault="00740D64">
            <w:pPr>
              <w:pStyle w:val="P68B1DB1-Normal12"/>
              <w:spacing w:after="0" w:line="240" w:lineRule="auto"/>
              <w:jc w:val="both"/>
              <w:rPr>
                <w:rFonts w:eastAsia="Times New Roman" w:cstheme="minorHAnsi"/>
                <w:noProof/>
              </w:rPr>
            </w:pPr>
            <w:r>
              <w:rPr>
                <w:noProof/>
              </w:rPr>
              <w:t>Offentliggörande av ministerrådets resolution om reglering av kommunala licenser för projekt och lagring av förnybar energi.</w:t>
            </w:r>
          </w:p>
        </w:tc>
      </w:tr>
      <w:tr w:rsidR="00E040FD" w14:paraId="59D26DB7" w14:textId="77777777">
        <w:trPr>
          <w:trHeight w:val="430"/>
        </w:trPr>
        <w:tc>
          <w:tcPr>
            <w:tcW w:w="1135" w:type="dxa"/>
            <w:shd w:val="clear" w:color="auto" w:fill="C4EFCE"/>
            <w:vAlign w:val="center"/>
          </w:tcPr>
          <w:p w14:paraId="4648D13C" w14:textId="44A43D75" w:rsidR="00E040FD" w:rsidRDefault="00740D64">
            <w:pPr>
              <w:pStyle w:val="P68B1DB1-Normal11"/>
              <w:spacing w:after="0" w:line="240" w:lineRule="auto"/>
              <w:jc w:val="center"/>
              <w:rPr>
                <w:rFonts w:eastAsia="Times New Roman" w:cstheme="minorHAnsi"/>
                <w:noProof/>
              </w:rPr>
            </w:pPr>
            <w:r>
              <w:rPr>
                <w:noProof/>
              </w:rPr>
              <w:t>21.22</w:t>
            </w:r>
          </w:p>
        </w:tc>
        <w:tc>
          <w:tcPr>
            <w:tcW w:w="1276" w:type="dxa"/>
            <w:shd w:val="clear" w:color="auto" w:fill="C4EFCE"/>
            <w:noWrap/>
            <w:vAlign w:val="center"/>
          </w:tcPr>
          <w:p w14:paraId="728FC768" w14:textId="59F4F085" w:rsidR="00E040FD" w:rsidRDefault="00740D64">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10E1CE1B" w14:textId="1F3111B7"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1AC95E2" w14:textId="5B253EDB" w:rsidR="00E040FD" w:rsidRDefault="00740D64">
            <w:pPr>
              <w:pStyle w:val="P68B1DB1-Normal12"/>
              <w:spacing w:after="0" w:line="240" w:lineRule="auto"/>
              <w:jc w:val="center"/>
              <w:rPr>
                <w:rFonts w:eastAsia="Times New Roman" w:cstheme="minorHAnsi"/>
                <w:noProof/>
              </w:rPr>
            </w:pPr>
            <w:r>
              <w:rPr>
                <w:noProof/>
              </w:rPr>
              <w:t>Utbildning av personal som deltar i tillståndsgivning för projekt för förnybar energi</w:t>
            </w:r>
          </w:p>
        </w:tc>
        <w:tc>
          <w:tcPr>
            <w:tcW w:w="1275" w:type="dxa"/>
            <w:shd w:val="clear" w:color="auto" w:fill="C4EFCE"/>
            <w:noWrap/>
            <w:vAlign w:val="center"/>
          </w:tcPr>
          <w:p w14:paraId="14FEE229"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1136F752" w14:textId="546F194B" w:rsidR="00E040FD" w:rsidRDefault="00740D64">
            <w:pPr>
              <w:pStyle w:val="P68B1DB1-Normal12"/>
              <w:spacing w:after="0" w:line="240" w:lineRule="auto"/>
              <w:jc w:val="center"/>
              <w:rPr>
                <w:rFonts w:eastAsia="Times New Roman" w:cstheme="minorHAnsi"/>
                <w:noProof/>
              </w:rPr>
            </w:pPr>
            <w:r>
              <w:rPr>
                <w:noProof/>
              </w:rPr>
              <w:t>Antal</w:t>
            </w:r>
          </w:p>
        </w:tc>
        <w:tc>
          <w:tcPr>
            <w:tcW w:w="992" w:type="dxa"/>
            <w:shd w:val="clear" w:color="auto" w:fill="C4EFCE"/>
            <w:noWrap/>
            <w:vAlign w:val="center"/>
          </w:tcPr>
          <w:p w14:paraId="04BAAFA7" w14:textId="452A409E" w:rsidR="00E040FD" w:rsidRDefault="00740D64">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08F14940" w14:textId="00FDB63C" w:rsidR="00E040FD" w:rsidRDefault="00740D64">
            <w:pPr>
              <w:pStyle w:val="P68B1DB1-Normal12"/>
              <w:spacing w:after="0" w:line="240" w:lineRule="auto"/>
              <w:jc w:val="center"/>
              <w:rPr>
                <w:rFonts w:eastAsia="Times New Roman" w:cstheme="minorHAnsi"/>
                <w:noProof/>
              </w:rPr>
            </w:pPr>
            <w:r>
              <w:rPr>
                <w:noProof/>
              </w:rPr>
              <w:t>500</w:t>
            </w:r>
          </w:p>
        </w:tc>
        <w:tc>
          <w:tcPr>
            <w:tcW w:w="567" w:type="dxa"/>
            <w:shd w:val="clear" w:color="auto" w:fill="C4EFCE"/>
            <w:noWrap/>
            <w:vAlign w:val="center"/>
          </w:tcPr>
          <w:p w14:paraId="2B93DCD7" w14:textId="2044BE31"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shd w:val="clear" w:color="auto" w:fill="C4EFCE"/>
            <w:noWrap/>
            <w:vAlign w:val="center"/>
          </w:tcPr>
          <w:p w14:paraId="628BED9C" w14:textId="08411F98"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D275AC8" w14:textId="3EE92F9A" w:rsidR="00E040FD" w:rsidRDefault="00740D64">
            <w:pPr>
              <w:pStyle w:val="P68B1DB1-Normal12"/>
              <w:spacing w:after="0" w:line="240" w:lineRule="auto"/>
              <w:jc w:val="both"/>
              <w:rPr>
                <w:rFonts w:eastAsia="Times New Roman" w:cstheme="minorHAnsi"/>
                <w:noProof/>
              </w:rPr>
            </w:pPr>
            <w:r>
              <w:rPr>
                <w:noProof/>
              </w:rPr>
              <w:t xml:space="preserve">500 chefer och tekniker vid den centrala, regionala och lokala offentliga förvaltningen ska utbildas i områden som rör tillståndsförfaranden för projekt för förnybar energi och energilagring. </w:t>
            </w:r>
          </w:p>
        </w:tc>
      </w:tr>
      <w:tr w:rsidR="00E040FD" w14:paraId="36CE5503" w14:textId="77777777">
        <w:trPr>
          <w:trHeight w:val="430"/>
        </w:trPr>
        <w:tc>
          <w:tcPr>
            <w:tcW w:w="1135" w:type="dxa"/>
            <w:shd w:val="clear" w:color="auto" w:fill="C4EFCE"/>
            <w:vAlign w:val="center"/>
          </w:tcPr>
          <w:p w14:paraId="37D608B0" w14:textId="69E7C5E2" w:rsidR="00E040FD" w:rsidRDefault="00740D64">
            <w:pPr>
              <w:pStyle w:val="P68B1DB1-Normal11"/>
              <w:spacing w:after="0" w:line="240" w:lineRule="auto"/>
              <w:jc w:val="center"/>
              <w:rPr>
                <w:rFonts w:eastAsia="Times New Roman" w:cstheme="minorHAnsi"/>
                <w:noProof/>
              </w:rPr>
            </w:pPr>
            <w:r>
              <w:rPr>
                <w:noProof/>
              </w:rPr>
              <w:t>21.23</w:t>
            </w:r>
          </w:p>
        </w:tc>
        <w:tc>
          <w:tcPr>
            <w:tcW w:w="1276" w:type="dxa"/>
            <w:shd w:val="clear" w:color="auto" w:fill="C4EFCE"/>
            <w:noWrap/>
            <w:vAlign w:val="center"/>
          </w:tcPr>
          <w:p w14:paraId="29182886" w14:textId="24BC074B" w:rsidR="00E040FD" w:rsidRDefault="00740D64">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1ED75554" w14:textId="2C085155"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5F13748" w14:textId="5624F122" w:rsidR="00E040FD" w:rsidRDefault="00740D64">
            <w:pPr>
              <w:pStyle w:val="P68B1DB1-Normal12"/>
              <w:spacing w:after="0" w:line="240" w:lineRule="auto"/>
              <w:jc w:val="center"/>
              <w:rPr>
                <w:rFonts w:eastAsia="Times New Roman" w:cstheme="minorHAnsi"/>
                <w:noProof/>
              </w:rPr>
            </w:pPr>
            <w:r>
              <w:rPr>
                <w:noProof/>
              </w:rPr>
              <w:t>Antagande av en tidsplan för tilldelning av ny kapacitet för förnybar energi, med särskild inriktning på de geografiska områden som följer av sektorsprogrammet ”Förnybara fokusområden”</w:t>
            </w:r>
          </w:p>
        </w:tc>
        <w:tc>
          <w:tcPr>
            <w:tcW w:w="1275" w:type="dxa"/>
            <w:shd w:val="clear" w:color="auto" w:fill="C4EFCE"/>
            <w:noWrap/>
            <w:vAlign w:val="center"/>
          </w:tcPr>
          <w:p w14:paraId="51E28EBC" w14:textId="66E4B695" w:rsidR="00E040FD" w:rsidRDefault="00740D64">
            <w:pPr>
              <w:pStyle w:val="P68B1DB1-Normal12"/>
              <w:spacing w:after="0" w:line="240" w:lineRule="auto"/>
              <w:jc w:val="center"/>
              <w:rPr>
                <w:rFonts w:eastAsia="Times New Roman" w:cstheme="minorHAnsi"/>
                <w:noProof/>
              </w:rPr>
            </w:pPr>
            <w:r>
              <w:rPr>
                <w:noProof/>
              </w:rPr>
              <w:t xml:space="preserve">Antagande av en tidsplan för tilldelning av ny kapacitet för förnybara energikällor på grundval av fokusområden </w:t>
            </w:r>
          </w:p>
        </w:tc>
        <w:tc>
          <w:tcPr>
            <w:tcW w:w="993" w:type="dxa"/>
            <w:shd w:val="clear" w:color="auto" w:fill="C4EFCE"/>
            <w:noWrap/>
            <w:vAlign w:val="center"/>
          </w:tcPr>
          <w:p w14:paraId="7B8AAA5E"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11B6E3D1"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304E9295"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515A26CF" w14:textId="56B4BB75"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shd w:val="clear" w:color="auto" w:fill="C4EFCE"/>
            <w:noWrap/>
            <w:vAlign w:val="center"/>
          </w:tcPr>
          <w:p w14:paraId="0A8FB463" w14:textId="6E885BE8"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607DDA1" w14:textId="4B0D2B85" w:rsidR="00E040FD" w:rsidRDefault="00740D64">
            <w:pPr>
              <w:pStyle w:val="P68B1DB1-Normal12"/>
              <w:spacing w:after="0" w:line="240" w:lineRule="auto"/>
              <w:jc w:val="both"/>
              <w:rPr>
                <w:rFonts w:eastAsia="Times New Roman" w:cstheme="minorHAnsi"/>
                <w:noProof/>
              </w:rPr>
            </w:pPr>
            <w:r>
              <w:rPr>
                <w:noProof/>
              </w:rPr>
              <w:t xml:space="preserve">Antagande av en tidsplan för tilldelning av ny kapacitet för förnybar energi för utveckling av projekt för förnybar energi (föreslagen av 2030), med särskilt fokus på de geografiska områden som följer av det sektorsprogram för förnybar energi som ska offentliggöras 2024. </w:t>
            </w:r>
          </w:p>
        </w:tc>
      </w:tr>
      <w:tr w:rsidR="00E040FD" w14:paraId="41B1E0D5" w14:textId="77777777">
        <w:trPr>
          <w:trHeight w:val="430"/>
        </w:trPr>
        <w:tc>
          <w:tcPr>
            <w:tcW w:w="1135" w:type="dxa"/>
            <w:shd w:val="clear" w:color="auto" w:fill="C4EFCE"/>
            <w:vAlign w:val="center"/>
          </w:tcPr>
          <w:p w14:paraId="3CE0F6A4" w14:textId="7162E82F" w:rsidR="00E040FD" w:rsidRDefault="00740D64">
            <w:pPr>
              <w:pStyle w:val="P68B1DB1-Normal11"/>
              <w:spacing w:after="0" w:line="240" w:lineRule="auto"/>
              <w:jc w:val="center"/>
              <w:rPr>
                <w:rFonts w:eastAsia="Times New Roman" w:cstheme="minorHAnsi"/>
                <w:noProof/>
              </w:rPr>
            </w:pPr>
            <w:r>
              <w:rPr>
                <w:noProof/>
              </w:rPr>
              <w:t>21.24</w:t>
            </w:r>
          </w:p>
        </w:tc>
        <w:tc>
          <w:tcPr>
            <w:tcW w:w="1276" w:type="dxa"/>
            <w:shd w:val="clear" w:color="auto" w:fill="C4EFCE"/>
            <w:noWrap/>
            <w:vAlign w:val="center"/>
          </w:tcPr>
          <w:p w14:paraId="1D62C08E" w14:textId="5C708E14" w:rsidR="00E040FD" w:rsidRDefault="00740D64">
            <w:pPr>
              <w:pStyle w:val="P68B1DB1-Normal12"/>
              <w:spacing w:after="0" w:line="240" w:lineRule="auto"/>
              <w:jc w:val="center"/>
              <w:rPr>
                <w:rFonts w:eastAsia="Times New Roman"/>
                <w:noProof/>
              </w:rPr>
            </w:pPr>
            <w:r>
              <w:rPr>
                <w:noProof/>
              </w:rPr>
              <w:t>RP-C21-i06</w:t>
            </w:r>
          </w:p>
        </w:tc>
        <w:tc>
          <w:tcPr>
            <w:tcW w:w="1134" w:type="dxa"/>
            <w:shd w:val="clear" w:color="auto" w:fill="C4EFCE"/>
            <w:noWrap/>
            <w:vAlign w:val="center"/>
          </w:tcPr>
          <w:p w14:paraId="7081CC4B" w14:textId="0DFD479C"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3E8748BD" w14:textId="48B0F1BB" w:rsidR="00E040FD" w:rsidRDefault="00740D64">
            <w:pPr>
              <w:pStyle w:val="P68B1DB1-Normal12"/>
              <w:spacing w:after="0" w:line="240" w:lineRule="auto"/>
              <w:jc w:val="center"/>
              <w:rPr>
                <w:rFonts w:eastAsia="Times New Roman" w:cstheme="minorHAnsi"/>
                <w:noProof/>
              </w:rPr>
            </w:pPr>
            <w:r>
              <w:rPr>
                <w:noProof/>
              </w:rPr>
              <w:t>Anbudsinfordran för projekt för produktion av förnybar gas</w:t>
            </w:r>
          </w:p>
        </w:tc>
        <w:tc>
          <w:tcPr>
            <w:tcW w:w="1275" w:type="dxa"/>
            <w:shd w:val="clear" w:color="auto" w:fill="C4EFCE"/>
            <w:noWrap/>
            <w:vAlign w:val="center"/>
          </w:tcPr>
          <w:p w14:paraId="66FE5F49" w14:textId="6737AF70" w:rsidR="00E040FD" w:rsidRDefault="00740D64">
            <w:pPr>
              <w:pStyle w:val="P68B1DB1-Normal12"/>
              <w:spacing w:after="0" w:line="240" w:lineRule="auto"/>
              <w:jc w:val="center"/>
              <w:rPr>
                <w:rFonts w:eastAsia="Times New Roman" w:cstheme="minorHAnsi"/>
                <w:noProof/>
              </w:rPr>
            </w:pPr>
            <w:r>
              <w:rPr>
                <w:noProof/>
              </w:rPr>
              <w:t>Ny tjänsteupphandling</w:t>
            </w:r>
          </w:p>
        </w:tc>
        <w:tc>
          <w:tcPr>
            <w:tcW w:w="993" w:type="dxa"/>
            <w:shd w:val="clear" w:color="auto" w:fill="C4EFCE"/>
            <w:noWrap/>
            <w:vAlign w:val="center"/>
          </w:tcPr>
          <w:p w14:paraId="479A718C"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0B02F5A2"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0B95FF4D"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146FF056" w14:textId="0D036499"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2563D209" w14:textId="5636F9A1" w:rsidR="00E040FD" w:rsidRDefault="00740D6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17D5EFE" w14:textId="5E524A6E" w:rsidR="00E040FD" w:rsidRDefault="00740D64">
            <w:pPr>
              <w:pStyle w:val="P68B1DB1-Normal12"/>
              <w:spacing w:after="0" w:line="240" w:lineRule="auto"/>
              <w:jc w:val="both"/>
              <w:rPr>
                <w:rFonts w:eastAsia="Times New Roman" w:cstheme="minorHAnsi"/>
                <w:noProof/>
              </w:rPr>
            </w:pPr>
            <w:r>
              <w:rPr>
                <w:noProof/>
              </w:rPr>
              <w:t>Inledande av ansökningsomgången för urval av projekt som ska stödjas för minst 77 MW ny installerad förnybar vätgas och annan förnybar gasenergikapacitet med noll eller nära noll växthusgasutsläpp under hela livscykeln.</w:t>
            </w:r>
          </w:p>
        </w:tc>
      </w:tr>
      <w:tr w:rsidR="00E040FD" w14:paraId="40C08A18" w14:textId="77777777">
        <w:trPr>
          <w:trHeight w:val="430"/>
        </w:trPr>
        <w:tc>
          <w:tcPr>
            <w:tcW w:w="1135" w:type="dxa"/>
            <w:shd w:val="clear" w:color="auto" w:fill="C4EFCE"/>
            <w:vAlign w:val="center"/>
          </w:tcPr>
          <w:p w14:paraId="0D51024F" w14:textId="29C3E044" w:rsidR="00E040FD" w:rsidRDefault="00740D64">
            <w:pPr>
              <w:pStyle w:val="P68B1DB1-Normal11"/>
              <w:spacing w:after="0" w:line="240" w:lineRule="auto"/>
              <w:jc w:val="center"/>
              <w:rPr>
                <w:rFonts w:eastAsia="Times New Roman" w:cstheme="minorHAnsi"/>
                <w:noProof/>
              </w:rPr>
            </w:pPr>
            <w:r>
              <w:rPr>
                <w:noProof/>
              </w:rPr>
              <w:t>21.25</w:t>
            </w:r>
          </w:p>
        </w:tc>
        <w:tc>
          <w:tcPr>
            <w:tcW w:w="1276" w:type="dxa"/>
            <w:shd w:val="clear" w:color="auto" w:fill="C4EFCE"/>
            <w:noWrap/>
            <w:vAlign w:val="center"/>
          </w:tcPr>
          <w:p w14:paraId="77D23AA8" w14:textId="65077A31" w:rsidR="00E040FD" w:rsidRDefault="00740D64">
            <w:pPr>
              <w:pStyle w:val="P68B1DB1-Normal12"/>
              <w:spacing w:after="0" w:line="240" w:lineRule="auto"/>
              <w:jc w:val="center"/>
              <w:rPr>
                <w:rFonts w:eastAsia="Times New Roman"/>
                <w:noProof/>
              </w:rPr>
            </w:pPr>
            <w:r>
              <w:rPr>
                <w:noProof/>
              </w:rPr>
              <w:t>RP-C21-i06</w:t>
            </w:r>
          </w:p>
        </w:tc>
        <w:tc>
          <w:tcPr>
            <w:tcW w:w="1134" w:type="dxa"/>
            <w:shd w:val="clear" w:color="auto" w:fill="C4EFCE"/>
            <w:noWrap/>
            <w:vAlign w:val="center"/>
          </w:tcPr>
          <w:p w14:paraId="57213471" w14:textId="60058345"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FE5C52B" w14:textId="4E89CAFA" w:rsidR="00E040FD" w:rsidRDefault="00740D64">
            <w:pPr>
              <w:pStyle w:val="P68B1DB1-Normal12"/>
              <w:spacing w:after="0" w:line="240" w:lineRule="auto"/>
              <w:jc w:val="center"/>
              <w:rPr>
                <w:rFonts w:eastAsia="Times New Roman" w:cstheme="minorHAnsi"/>
                <w:noProof/>
              </w:rPr>
            </w:pPr>
            <w:r>
              <w:rPr>
                <w:noProof/>
              </w:rPr>
              <w:t>Ytterligare produktionskapacitet för förnybar vätgas och förnybar gas</w:t>
            </w:r>
          </w:p>
        </w:tc>
        <w:tc>
          <w:tcPr>
            <w:tcW w:w="1275" w:type="dxa"/>
            <w:shd w:val="clear" w:color="auto" w:fill="C4EFCE"/>
            <w:noWrap/>
            <w:vAlign w:val="center"/>
          </w:tcPr>
          <w:p w14:paraId="1CC9CE9A"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0507A478" w14:textId="2F6724C7" w:rsidR="00E040FD" w:rsidRDefault="00740D64">
            <w:pPr>
              <w:pStyle w:val="P68B1DB1-Bodytext1013"/>
              <w:jc w:val="center"/>
              <w:rPr>
                <w:rFonts w:cstheme="minorHAnsi"/>
                <w:noProof/>
              </w:rPr>
            </w:pPr>
            <w:r>
              <w:rPr>
                <w:noProof/>
              </w:rPr>
              <w:t>MW</w:t>
            </w:r>
          </w:p>
        </w:tc>
        <w:tc>
          <w:tcPr>
            <w:tcW w:w="992" w:type="dxa"/>
            <w:shd w:val="clear" w:color="auto" w:fill="C4EFCE"/>
            <w:noWrap/>
            <w:vAlign w:val="center"/>
          </w:tcPr>
          <w:p w14:paraId="113D3DC1" w14:textId="69E6A3A4" w:rsidR="00E040FD" w:rsidRDefault="00740D64">
            <w:pPr>
              <w:pStyle w:val="P68B1DB1-Bodytext1013"/>
              <w:jc w:val="center"/>
              <w:rPr>
                <w:rFonts w:cstheme="minorHAnsi"/>
                <w:noProof/>
              </w:rPr>
            </w:pPr>
            <w:r>
              <w:rPr>
                <w:noProof/>
              </w:rPr>
              <w:t>200</w:t>
            </w:r>
          </w:p>
        </w:tc>
        <w:tc>
          <w:tcPr>
            <w:tcW w:w="992" w:type="dxa"/>
            <w:shd w:val="clear" w:color="auto" w:fill="C4EFCE"/>
            <w:noWrap/>
            <w:vAlign w:val="center"/>
          </w:tcPr>
          <w:p w14:paraId="7576C464" w14:textId="71409B46" w:rsidR="00E040FD" w:rsidRDefault="00740D64">
            <w:pPr>
              <w:pStyle w:val="P68B1DB1-Bodytext1013"/>
              <w:jc w:val="center"/>
              <w:rPr>
                <w:rFonts w:cstheme="minorHAnsi"/>
                <w:noProof/>
              </w:rPr>
            </w:pPr>
            <w:r>
              <w:rPr>
                <w:noProof/>
              </w:rPr>
              <w:t>277</w:t>
            </w:r>
          </w:p>
        </w:tc>
        <w:tc>
          <w:tcPr>
            <w:tcW w:w="567" w:type="dxa"/>
            <w:shd w:val="clear" w:color="auto" w:fill="C4EFCE"/>
            <w:noWrap/>
            <w:vAlign w:val="center"/>
          </w:tcPr>
          <w:p w14:paraId="685921C4" w14:textId="6AE79D57" w:rsidR="00E040FD" w:rsidRDefault="00740D64">
            <w:pPr>
              <w:pStyle w:val="P68B1DB1-Normal12"/>
              <w:spacing w:after="0" w:line="240" w:lineRule="auto"/>
              <w:jc w:val="center"/>
              <w:rPr>
                <w:rFonts w:eastAsia="Times New Roman"/>
                <w:noProof/>
              </w:rPr>
            </w:pPr>
            <w:r>
              <w:rPr>
                <w:noProof/>
              </w:rPr>
              <w:t>KVARTAL 2</w:t>
            </w:r>
          </w:p>
        </w:tc>
        <w:tc>
          <w:tcPr>
            <w:tcW w:w="708" w:type="dxa"/>
            <w:shd w:val="clear" w:color="auto" w:fill="C4EFCE"/>
            <w:noWrap/>
            <w:vAlign w:val="center"/>
          </w:tcPr>
          <w:p w14:paraId="3E715CB5" w14:textId="528BEFE4" w:rsidR="00E040FD" w:rsidRDefault="00740D64">
            <w:pPr>
              <w:pStyle w:val="P68B1DB1-Normal12"/>
              <w:spacing w:after="0" w:line="240" w:lineRule="auto"/>
              <w:jc w:val="center"/>
              <w:rPr>
                <w:rFonts w:eastAsia="Times New Roman"/>
                <w:noProof/>
              </w:rPr>
            </w:pPr>
            <w:r>
              <w:rPr>
                <w:noProof/>
              </w:rPr>
              <w:t>2026</w:t>
            </w:r>
          </w:p>
        </w:tc>
        <w:tc>
          <w:tcPr>
            <w:tcW w:w="3969" w:type="dxa"/>
            <w:shd w:val="clear" w:color="auto" w:fill="C4EFCE"/>
            <w:vAlign w:val="center"/>
          </w:tcPr>
          <w:p w14:paraId="1DFE52F0" w14:textId="3B8ED44F" w:rsidR="00E040FD" w:rsidRDefault="00740D64">
            <w:pPr>
              <w:pStyle w:val="P68B1DB1-Normal12"/>
              <w:spacing w:after="0" w:line="240" w:lineRule="auto"/>
              <w:jc w:val="both"/>
              <w:rPr>
                <w:rFonts w:eastAsia="Times New Roman" w:cstheme="minorHAnsi"/>
                <w:noProof/>
              </w:rPr>
            </w:pPr>
            <w:r>
              <w:rPr>
                <w:noProof/>
              </w:rPr>
              <w:t>Ytterligare produktionskapacitet för förnybar vätgas och förnybara gaser installerad med noll eller nära noll växthusgasutsläpp under hela livscykeln</w:t>
            </w:r>
          </w:p>
        </w:tc>
      </w:tr>
      <w:tr w:rsidR="00E040FD" w14:paraId="1045276A" w14:textId="77777777">
        <w:trPr>
          <w:trHeight w:val="430"/>
        </w:trPr>
        <w:tc>
          <w:tcPr>
            <w:tcW w:w="1135" w:type="dxa"/>
            <w:shd w:val="clear" w:color="auto" w:fill="C4EFCE"/>
            <w:vAlign w:val="center"/>
          </w:tcPr>
          <w:p w14:paraId="55738168" w14:textId="0E945F03" w:rsidR="00E040FD" w:rsidRDefault="00740D64">
            <w:pPr>
              <w:pStyle w:val="P68B1DB1-Normal11"/>
              <w:spacing w:after="0" w:line="240" w:lineRule="auto"/>
              <w:jc w:val="center"/>
              <w:rPr>
                <w:rFonts w:eastAsia="Times New Roman" w:cstheme="minorHAnsi"/>
                <w:noProof/>
              </w:rPr>
            </w:pPr>
            <w:r>
              <w:rPr>
                <w:noProof/>
              </w:rPr>
              <w:t>21.26</w:t>
            </w:r>
          </w:p>
        </w:tc>
        <w:tc>
          <w:tcPr>
            <w:tcW w:w="1276" w:type="dxa"/>
            <w:shd w:val="clear" w:color="auto" w:fill="C4EFCE"/>
            <w:noWrap/>
            <w:vAlign w:val="center"/>
          </w:tcPr>
          <w:p w14:paraId="4B3853AA" w14:textId="5D7EDD36" w:rsidR="00E040FD" w:rsidRDefault="00740D64">
            <w:pPr>
              <w:pStyle w:val="P68B1DB1-Normal12"/>
              <w:spacing w:after="0" w:line="240" w:lineRule="auto"/>
              <w:jc w:val="center"/>
              <w:rPr>
                <w:rFonts w:eastAsia="Times New Roman"/>
                <w:noProof/>
              </w:rPr>
            </w:pPr>
            <w:r>
              <w:rPr>
                <w:noProof/>
              </w:rPr>
              <w:t>RP-C21-i07</w:t>
            </w:r>
          </w:p>
        </w:tc>
        <w:tc>
          <w:tcPr>
            <w:tcW w:w="1134" w:type="dxa"/>
            <w:shd w:val="clear" w:color="auto" w:fill="C4EFCE"/>
            <w:noWrap/>
            <w:vAlign w:val="center"/>
          </w:tcPr>
          <w:p w14:paraId="4AEE7547" w14:textId="408AED36"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3915FA70" w14:textId="3F664342" w:rsidR="00E040FD" w:rsidRDefault="00740D64">
            <w:pPr>
              <w:pStyle w:val="P68B1DB1-Normal12"/>
              <w:spacing w:after="0" w:line="240" w:lineRule="auto"/>
              <w:jc w:val="center"/>
              <w:rPr>
                <w:rFonts w:eastAsia="Times New Roman" w:cstheme="minorHAnsi"/>
                <w:noProof/>
              </w:rPr>
            </w:pPr>
            <w:r>
              <w:rPr>
                <w:noProof/>
              </w:rPr>
              <w:t>Undertecknande av kontrakt för tekniska studier till havs</w:t>
            </w:r>
          </w:p>
        </w:tc>
        <w:tc>
          <w:tcPr>
            <w:tcW w:w="1275" w:type="dxa"/>
            <w:shd w:val="clear" w:color="auto" w:fill="C4EFCE"/>
            <w:noWrap/>
            <w:vAlign w:val="center"/>
          </w:tcPr>
          <w:p w14:paraId="1B3565C5" w14:textId="155871F2" w:rsidR="00E040FD" w:rsidRDefault="00740D64">
            <w:pPr>
              <w:pStyle w:val="P68B1DB1-Normal12"/>
              <w:spacing w:after="0" w:line="240" w:lineRule="auto"/>
              <w:jc w:val="center"/>
              <w:rPr>
                <w:rFonts w:eastAsia="Times New Roman" w:cstheme="minorHAnsi"/>
                <w:noProof/>
              </w:rPr>
            </w:pPr>
            <w:r>
              <w:rPr>
                <w:noProof/>
              </w:rPr>
              <w:t>Undertecknande av kontrakt för tekniska studier till havs</w:t>
            </w:r>
          </w:p>
        </w:tc>
        <w:tc>
          <w:tcPr>
            <w:tcW w:w="993" w:type="dxa"/>
            <w:shd w:val="clear" w:color="auto" w:fill="C4EFCE"/>
            <w:noWrap/>
            <w:vAlign w:val="center"/>
          </w:tcPr>
          <w:p w14:paraId="6A8DEA31"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615E3968"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76CD424A"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3B750639" w14:textId="6AFCD4AA"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shd w:val="clear" w:color="auto" w:fill="C4EFCE"/>
            <w:noWrap/>
            <w:vAlign w:val="center"/>
          </w:tcPr>
          <w:p w14:paraId="137C7D92" w14:textId="007769A9"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9E9FABE" w14:textId="406ED44D" w:rsidR="00E040FD" w:rsidRDefault="00740D64">
            <w:pPr>
              <w:pStyle w:val="P68B1DB1-Normal12"/>
              <w:spacing w:after="0" w:line="240" w:lineRule="auto"/>
              <w:jc w:val="both"/>
              <w:rPr>
                <w:rFonts w:eastAsia="Times New Roman" w:cstheme="minorHAnsi"/>
                <w:noProof/>
              </w:rPr>
            </w:pPr>
            <w:r>
              <w:rPr>
                <w:noProof/>
              </w:rPr>
              <w:t xml:space="preserve">Undertecknande av kontrakt för geofysiska, geotekniska, vind-, våg- och strömstudier till havs som syftar till att underlätta installationen av havsbaserad vindkraft. </w:t>
            </w:r>
          </w:p>
        </w:tc>
      </w:tr>
      <w:tr w:rsidR="00E040FD" w14:paraId="54C1DF86" w14:textId="77777777">
        <w:trPr>
          <w:trHeight w:val="430"/>
        </w:trPr>
        <w:tc>
          <w:tcPr>
            <w:tcW w:w="1135" w:type="dxa"/>
            <w:shd w:val="clear" w:color="auto" w:fill="C4EFCE"/>
            <w:vAlign w:val="center"/>
          </w:tcPr>
          <w:p w14:paraId="74BF25A6" w14:textId="17A4170C" w:rsidR="00E040FD" w:rsidRDefault="00740D64">
            <w:pPr>
              <w:pStyle w:val="P68B1DB1-Normal11"/>
              <w:spacing w:after="0" w:line="240" w:lineRule="auto"/>
              <w:jc w:val="center"/>
              <w:rPr>
                <w:rFonts w:eastAsia="Times New Roman" w:cstheme="minorHAnsi"/>
                <w:noProof/>
              </w:rPr>
            </w:pPr>
            <w:r>
              <w:rPr>
                <w:noProof/>
              </w:rPr>
              <w:t>21.27</w:t>
            </w:r>
          </w:p>
        </w:tc>
        <w:tc>
          <w:tcPr>
            <w:tcW w:w="1276" w:type="dxa"/>
            <w:shd w:val="clear" w:color="auto" w:fill="C4EFCE"/>
            <w:noWrap/>
            <w:vAlign w:val="center"/>
          </w:tcPr>
          <w:p w14:paraId="64144345" w14:textId="66F94339" w:rsidR="00E040FD" w:rsidRDefault="00740D64">
            <w:pPr>
              <w:pStyle w:val="P68B1DB1-Normal12"/>
              <w:spacing w:after="0" w:line="240" w:lineRule="auto"/>
              <w:jc w:val="center"/>
              <w:rPr>
                <w:rFonts w:eastAsia="Times New Roman"/>
                <w:noProof/>
              </w:rPr>
            </w:pPr>
            <w:r>
              <w:rPr>
                <w:noProof/>
              </w:rPr>
              <w:t>RP-C21-i07</w:t>
            </w:r>
          </w:p>
        </w:tc>
        <w:tc>
          <w:tcPr>
            <w:tcW w:w="1134" w:type="dxa"/>
            <w:shd w:val="clear" w:color="auto" w:fill="C4EFCE"/>
            <w:noWrap/>
            <w:vAlign w:val="center"/>
          </w:tcPr>
          <w:p w14:paraId="7865928B" w14:textId="72EB631F"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BB3CE96" w14:textId="66D1E21F" w:rsidR="00E040FD" w:rsidRDefault="00740D64">
            <w:pPr>
              <w:pStyle w:val="P68B1DB1-Normal12"/>
              <w:spacing w:after="0" w:line="240" w:lineRule="auto"/>
              <w:jc w:val="center"/>
              <w:rPr>
                <w:rFonts w:eastAsia="Times New Roman" w:cstheme="minorHAnsi"/>
                <w:noProof/>
              </w:rPr>
            </w:pPr>
            <w:r>
              <w:rPr>
                <w:noProof/>
              </w:rPr>
              <w:t>Slutförande av tekniska studier för havsbaserad vindkraft</w:t>
            </w:r>
          </w:p>
        </w:tc>
        <w:tc>
          <w:tcPr>
            <w:tcW w:w="1275" w:type="dxa"/>
            <w:shd w:val="clear" w:color="auto" w:fill="C4EFCE"/>
            <w:noWrap/>
            <w:vAlign w:val="center"/>
          </w:tcPr>
          <w:p w14:paraId="6C094680" w14:textId="1CDCB07B" w:rsidR="00E040FD" w:rsidRDefault="00740D64">
            <w:pPr>
              <w:pStyle w:val="P68B1DB1-Normal12"/>
              <w:spacing w:after="0" w:line="240" w:lineRule="auto"/>
              <w:jc w:val="center"/>
              <w:rPr>
                <w:rFonts w:eastAsia="Times New Roman" w:cstheme="minorHAnsi"/>
                <w:noProof/>
              </w:rPr>
            </w:pPr>
            <w:r>
              <w:rPr>
                <w:noProof/>
              </w:rPr>
              <w:t>Slutförande av tekniska studier för havsbaserad vindkraft</w:t>
            </w:r>
          </w:p>
        </w:tc>
        <w:tc>
          <w:tcPr>
            <w:tcW w:w="993" w:type="dxa"/>
            <w:shd w:val="clear" w:color="auto" w:fill="C4EFCE"/>
            <w:noWrap/>
            <w:vAlign w:val="center"/>
          </w:tcPr>
          <w:p w14:paraId="3AE2A000"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2320F173"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41DB8D43"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1EC71DEE" w14:textId="4990C42A"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shd w:val="clear" w:color="auto" w:fill="C4EFCE"/>
            <w:noWrap/>
            <w:vAlign w:val="center"/>
          </w:tcPr>
          <w:p w14:paraId="57D3FE17" w14:textId="51C26B14" w:rsidR="00E040FD" w:rsidRDefault="00740D6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7AC78EE5" w14:textId="28037D15" w:rsidR="00E040FD" w:rsidRDefault="00740D64">
            <w:pPr>
              <w:pStyle w:val="P68B1DB1-Normal12"/>
              <w:spacing w:after="0" w:line="240" w:lineRule="auto"/>
              <w:jc w:val="both"/>
              <w:rPr>
                <w:rFonts w:eastAsia="Times New Roman"/>
                <w:noProof/>
              </w:rPr>
            </w:pPr>
            <w:r>
              <w:rPr>
                <w:noProof/>
              </w:rPr>
              <w:t>Slutförande av geofysiska, geotekniska, vind-, våg- och strömstudier som syftar till att underlätta installationen av havsbaserad vindkraft och som täcker ett område på minst 2 000 km².</w:t>
            </w:r>
          </w:p>
        </w:tc>
      </w:tr>
      <w:tr w:rsidR="00E040FD" w14:paraId="7539E854" w14:textId="77777777">
        <w:trPr>
          <w:trHeight w:val="430"/>
        </w:trPr>
        <w:tc>
          <w:tcPr>
            <w:tcW w:w="1135" w:type="dxa"/>
            <w:shd w:val="clear" w:color="auto" w:fill="C4EFCE"/>
            <w:vAlign w:val="center"/>
          </w:tcPr>
          <w:p w14:paraId="3006E847" w14:textId="1BEAC184" w:rsidR="00E040FD" w:rsidRDefault="00740D64">
            <w:pPr>
              <w:pStyle w:val="P68B1DB1-Normal11"/>
              <w:spacing w:after="0" w:line="240" w:lineRule="auto"/>
              <w:jc w:val="center"/>
              <w:rPr>
                <w:rFonts w:eastAsia="Times New Roman" w:cstheme="minorHAnsi"/>
                <w:noProof/>
              </w:rPr>
            </w:pPr>
            <w:r>
              <w:rPr>
                <w:noProof/>
              </w:rPr>
              <w:t>21.28</w:t>
            </w:r>
          </w:p>
        </w:tc>
        <w:tc>
          <w:tcPr>
            <w:tcW w:w="1276" w:type="dxa"/>
            <w:shd w:val="clear" w:color="auto" w:fill="C4EFCE"/>
            <w:noWrap/>
            <w:vAlign w:val="center"/>
          </w:tcPr>
          <w:p w14:paraId="1409BB5F" w14:textId="7C2538F1" w:rsidR="00E040FD" w:rsidRDefault="00740D64">
            <w:pPr>
              <w:pStyle w:val="P68B1DB1-Normal12"/>
              <w:spacing w:after="0" w:line="240" w:lineRule="auto"/>
              <w:jc w:val="center"/>
              <w:rPr>
                <w:rFonts w:eastAsia="Times New Roman"/>
                <w:noProof/>
              </w:rPr>
            </w:pPr>
            <w:r>
              <w:rPr>
                <w:noProof/>
              </w:rPr>
              <w:t>RP-C21-i08</w:t>
            </w:r>
          </w:p>
        </w:tc>
        <w:tc>
          <w:tcPr>
            <w:tcW w:w="1134" w:type="dxa"/>
            <w:shd w:val="clear" w:color="auto" w:fill="C4EFCE"/>
            <w:noWrap/>
            <w:vAlign w:val="center"/>
          </w:tcPr>
          <w:p w14:paraId="5465DB3D" w14:textId="06A0BB9B"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298A80C" w14:textId="44A074A0" w:rsidR="00E040FD" w:rsidRDefault="00740D64">
            <w:pPr>
              <w:pStyle w:val="P68B1DB1-Normal12"/>
              <w:spacing w:after="0" w:line="240" w:lineRule="auto"/>
              <w:jc w:val="center"/>
              <w:rPr>
                <w:rFonts w:eastAsia="Times New Roman" w:cstheme="minorHAnsi"/>
                <w:noProof/>
              </w:rPr>
            </w:pPr>
            <w:r>
              <w:rPr>
                <w:noProof/>
              </w:rPr>
              <w:t>Undertecknande av villkor för godkännande av installation av lagringskapacitet för el</w:t>
            </w:r>
          </w:p>
        </w:tc>
        <w:tc>
          <w:tcPr>
            <w:tcW w:w="1275" w:type="dxa"/>
            <w:shd w:val="clear" w:color="auto" w:fill="C4EFCE"/>
            <w:noWrap/>
            <w:vAlign w:val="center"/>
          </w:tcPr>
          <w:p w14:paraId="1573BBFD" w14:textId="4C8CE9E8" w:rsidR="00E040FD" w:rsidRDefault="00740D64">
            <w:pPr>
              <w:pStyle w:val="P68B1DB1-Normal12"/>
              <w:spacing w:after="0" w:line="240" w:lineRule="auto"/>
              <w:jc w:val="center"/>
              <w:rPr>
                <w:rFonts w:eastAsia="Times New Roman" w:cstheme="minorHAnsi"/>
                <w:noProof/>
              </w:rPr>
            </w:pPr>
            <w:r>
              <w:rPr>
                <w:noProof/>
              </w:rPr>
              <w:t>Undertecknande av godkännandevillkor för installation av en lagringskapacitet på minst 500 MW</w:t>
            </w:r>
          </w:p>
        </w:tc>
        <w:tc>
          <w:tcPr>
            <w:tcW w:w="993" w:type="dxa"/>
            <w:shd w:val="clear" w:color="auto" w:fill="C4EFCE"/>
            <w:noWrap/>
            <w:vAlign w:val="center"/>
          </w:tcPr>
          <w:p w14:paraId="13FF9468"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4EED15CC" w14:textId="7413286F" w:rsidR="00E040FD" w:rsidRDefault="00740D6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786A1FE7"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1A56D73B" w14:textId="2347516A" w:rsidR="00E040FD" w:rsidRDefault="00740D64">
            <w:pPr>
              <w:pStyle w:val="P68B1DB1-Normal12"/>
              <w:spacing w:after="0" w:line="240" w:lineRule="auto"/>
              <w:jc w:val="center"/>
              <w:rPr>
                <w:rFonts w:eastAsia="Times New Roman"/>
                <w:noProof/>
              </w:rPr>
            </w:pPr>
            <w:r>
              <w:rPr>
                <w:noProof/>
              </w:rPr>
              <w:t>KVARTAL 2</w:t>
            </w:r>
          </w:p>
        </w:tc>
        <w:tc>
          <w:tcPr>
            <w:tcW w:w="708" w:type="dxa"/>
            <w:shd w:val="clear" w:color="auto" w:fill="C4EFCE"/>
            <w:noWrap/>
            <w:vAlign w:val="center"/>
          </w:tcPr>
          <w:p w14:paraId="108BC515" w14:textId="020B0AB5" w:rsidR="00E040FD" w:rsidRDefault="00740D64">
            <w:pPr>
              <w:pStyle w:val="P68B1DB1-Normal12"/>
              <w:spacing w:after="0" w:line="240" w:lineRule="auto"/>
              <w:jc w:val="center"/>
              <w:rPr>
                <w:rFonts w:eastAsia="Times New Roman"/>
                <w:noProof/>
              </w:rPr>
            </w:pPr>
            <w:r>
              <w:rPr>
                <w:noProof/>
              </w:rPr>
              <w:t>2024</w:t>
            </w:r>
          </w:p>
        </w:tc>
        <w:tc>
          <w:tcPr>
            <w:tcW w:w="3969" w:type="dxa"/>
            <w:shd w:val="clear" w:color="auto" w:fill="C4EFCE"/>
            <w:vAlign w:val="center"/>
          </w:tcPr>
          <w:p w14:paraId="5D147784" w14:textId="549198BC" w:rsidR="00E040FD" w:rsidRDefault="00740D64">
            <w:pPr>
              <w:pStyle w:val="P68B1DB1-Normal12"/>
              <w:spacing w:after="0" w:line="240" w:lineRule="auto"/>
              <w:jc w:val="both"/>
              <w:rPr>
                <w:rFonts w:eastAsia="Times New Roman" w:cstheme="minorHAnsi"/>
                <w:noProof/>
              </w:rPr>
            </w:pPr>
            <w:r>
              <w:rPr>
                <w:noProof/>
              </w:rPr>
              <w:t>Godkännandevillkor undertecknade för installation av minst 500 MW lagringskapacitet i de på förhand identifierade områden som anses vara mest behövande.</w:t>
            </w:r>
          </w:p>
        </w:tc>
      </w:tr>
      <w:tr w:rsidR="00E040FD" w14:paraId="6EA9FB44" w14:textId="77777777">
        <w:trPr>
          <w:trHeight w:val="430"/>
        </w:trPr>
        <w:tc>
          <w:tcPr>
            <w:tcW w:w="1135" w:type="dxa"/>
            <w:shd w:val="clear" w:color="auto" w:fill="C4EFCE"/>
            <w:vAlign w:val="center"/>
          </w:tcPr>
          <w:p w14:paraId="67CC59EB" w14:textId="5139272B" w:rsidR="00E040FD" w:rsidRDefault="00740D64">
            <w:pPr>
              <w:pStyle w:val="P68B1DB1-Normal11"/>
              <w:spacing w:after="0" w:line="240" w:lineRule="auto"/>
              <w:jc w:val="center"/>
              <w:rPr>
                <w:rFonts w:eastAsia="Times New Roman" w:cstheme="minorHAnsi"/>
                <w:noProof/>
              </w:rPr>
            </w:pPr>
            <w:r>
              <w:rPr>
                <w:noProof/>
              </w:rPr>
              <w:t>21.29</w:t>
            </w:r>
          </w:p>
        </w:tc>
        <w:tc>
          <w:tcPr>
            <w:tcW w:w="1276" w:type="dxa"/>
            <w:shd w:val="clear" w:color="auto" w:fill="C4EFCE"/>
            <w:noWrap/>
            <w:vAlign w:val="center"/>
          </w:tcPr>
          <w:p w14:paraId="25A27E44" w14:textId="3B066F9C" w:rsidR="00E040FD" w:rsidRDefault="00740D64">
            <w:pPr>
              <w:pStyle w:val="P68B1DB1-Normal12"/>
              <w:spacing w:after="0" w:line="240" w:lineRule="auto"/>
              <w:jc w:val="center"/>
              <w:rPr>
                <w:rFonts w:eastAsia="Times New Roman"/>
                <w:noProof/>
              </w:rPr>
            </w:pPr>
            <w:r>
              <w:rPr>
                <w:noProof/>
              </w:rPr>
              <w:t>RP-C21-i08</w:t>
            </w:r>
          </w:p>
        </w:tc>
        <w:tc>
          <w:tcPr>
            <w:tcW w:w="1134" w:type="dxa"/>
            <w:shd w:val="clear" w:color="auto" w:fill="C4EFCE"/>
            <w:noWrap/>
            <w:vAlign w:val="center"/>
          </w:tcPr>
          <w:p w14:paraId="65D2ADC6" w14:textId="5D60B062"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E61722C" w14:textId="562F0185" w:rsidR="00E040FD" w:rsidRDefault="00740D64">
            <w:pPr>
              <w:pStyle w:val="P68B1DB1-Bodytext1013"/>
              <w:spacing w:line="240" w:lineRule="auto"/>
              <w:jc w:val="center"/>
              <w:rPr>
                <w:rFonts w:cstheme="minorHAnsi"/>
                <w:noProof/>
              </w:rPr>
            </w:pPr>
            <w:r>
              <w:rPr>
                <w:noProof/>
              </w:rPr>
              <w:t>Installation av lagringskapacitet för el</w:t>
            </w:r>
          </w:p>
        </w:tc>
        <w:tc>
          <w:tcPr>
            <w:tcW w:w="1275" w:type="dxa"/>
            <w:shd w:val="clear" w:color="auto" w:fill="C4EFCE"/>
            <w:noWrap/>
            <w:vAlign w:val="center"/>
          </w:tcPr>
          <w:p w14:paraId="5B65FBBE"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7277883B" w14:textId="11FA7FED" w:rsidR="00E040FD" w:rsidRDefault="00740D64">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6EB221F6" w14:textId="520A661D" w:rsidR="00E040FD" w:rsidRDefault="00740D6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42CDD52D" w14:textId="73FC3728" w:rsidR="00E040FD" w:rsidRDefault="00740D64">
            <w:pPr>
              <w:pStyle w:val="P68B1DB1-Normal12"/>
              <w:spacing w:after="0" w:line="240" w:lineRule="auto"/>
              <w:jc w:val="center"/>
              <w:rPr>
                <w:rFonts w:eastAsia="Times New Roman" w:cstheme="minorHAnsi"/>
                <w:noProof/>
              </w:rPr>
            </w:pPr>
            <w:r>
              <w:rPr>
                <w:noProof/>
              </w:rPr>
              <w:t>500</w:t>
            </w:r>
          </w:p>
        </w:tc>
        <w:tc>
          <w:tcPr>
            <w:tcW w:w="567" w:type="dxa"/>
            <w:shd w:val="clear" w:color="auto" w:fill="C4EFCE"/>
            <w:noWrap/>
            <w:vAlign w:val="center"/>
          </w:tcPr>
          <w:p w14:paraId="6D77EE18" w14:textId="2DDCE475"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2CF60B40" w14:textId="0E3517C7" w:rsidR="00E040FD" w:rsidRDefault="00740D6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61A6BE4" w14:textId="6EFF85E1" w:rsidR="00E040FD" w:rsidRDefault="00740D64">
            <w:pPr>
              <w:pStyle w:val="P68B1DB1-Bodytext1013"/>
              <w:spacing w:after="0" w:line="240" w:lineRule="auto"/>
              <w:jc w:val="both"/>
              <w:rPr>
                <w:rFonts w:cstheme="minorHAnsi"/>
                <w:noProof/>
              </w:rPr>
            </w:pPr>
            <w:r>
              <w:rPr>
                <w:noProof/>
              </w:rPr>
              <w:t xml:space="preserve">Minst 500 MW installerad ellagringskapacitet. </w:t>
            </w:r>
          </w:p>
        </w:tc>
      </w:tr>
      <w:tr w:rsidR="00E040FD" w14:paraId="666E99E3" w14:textId="77777777">
        <w:trPr>
          <w:trHeight w:val="430"/>
        </w:trPr>
        <w:tc>
          <w:tcPr>
            <w:tcW w:w="1135" w:type="dxa"/>
            <w:shd w:val="clear" w:color="auto" w:fill="C4EFCE"/>
            <w:vAlign w:val="center"/>
          </w:tcPr>
          <w:p w14:paraId="7B3F0627" w14:textId="37869B3E" w:rsidR="00E040FD" w:rsidRDefault="00740D64">
            <w:pPr>
              <w:pStyle w:val="P68B1DB1-Normal11"/>
              <w:spacing w:after="0" w:line="240" w:lineRule="auto"/>
              <w:jc w:val="center"/>
              <w:rPr>
                <w:rFonts w:eastAsia="Times New Roman" w:cstheme="minorHAnsi"/>
                <w:noProof/>
              </w:rPr>
            </w:pPr>
            <w:r>
              <w:rPr>
                <w:noProof/>
              </w:rPr>
              <w:t>21.30</w:t>
            </w:r>
          </w:p>
        </w:tc>
        <w:tc>
          <w:tcPr>
            <w:tcW w:w="1276" w:type="dxa"/>
            <w:shd w:val="clear" w:color="auto" w:fill="C4EFCE"/>
            <w:noWrap/>
            <w:vAlign w:val="center"/>
          </w:tcPr>
          <w:p w14:paraId="3BDC0F23" w14:textId="157C435B" w:rsidR="00E040FD" w:rsidRDefault="00740D64">
            <w:pPr>
              <w:pStyle w:val="P68B1DB1-Normal12"/>
              <w:spacing w:after="0" w:line="240" w:lineRule="auto"/>
              <w:jc w:val="center"/>
              <w:rPr>
                <w:rFonts w:eastAsia="Times New Roman"/>
                <w:noProof/>
              </w:rPr>
            </w:pPr>
            <w:r>
              <w:rPr>
                <w:noProof/>
              </w:rPr>
              <w:t>RP-C21-i09</w:t>
            </w:r>
          </w:p>
        </w:tc>
        <w:tc>
          <w:tcPr>
            <w:tcW w:w="1134" w:type="dxa"/>
            <w:shd w:val="clear" w:color="auto" w:fill="C4EFCE"/>
            <w:noWrap/>
            <w:vAlign w:val="center"/>
          </w:tcPr>
          <w:p w14:paraId="043D8D0E" w14:textId="5A1B02C4"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85915AC" w14:textId="356C2A62" w:rsidR="00E040FD" w:rsidRDefault="00740D64">
            <w:pPr>
              <w:pStyle w:val="P68B1DB1-Bodytext1013"/>
              <w:spacing w:line="240" w:lineRule="auto"/>
              <w:jc w:val="center"/>
              <w:rPr>
                <w:rFonts w:cstheme="minorHAnsi"/>
                <w:noProof/>
              </w:rPr>
            </w:pPr>
            <w:r>
              <w:rPr>
                <w:noProof/>
              </w:rPr>
              <w:t>Idrifttagande av den första fasens moduler i den digitala plattformen One-Stop-Shop för tillståndsgivning och övervakning av projekt för förnybar energi</w:t>
            </w:r>
          </w:p>
        </w:tc>
        <w:tc>
          <w:tcPr>
            <w:tcW w:w="1275" w:type="dxa"/>
            <w:shd w:val="clear" w:color="auto" w:fill="C4EFCE"/>
            <w:noWrap/>
            <w:vAlign w:val="center"/>
          </w:tcPr>
          <w:p w14:paraId="1CA13B2F" w14:textId="7D796230" w:rsidR="00E040FD" w:rsidRDefault="00740D64">
            <w:pPr>
              <w:pStyle w:val="P68B1DB1-Bodytext1013"/>
              <w:rPr>
                <w:rFonts w:cstheme="minorHAnsi"/>
                <w:noProof/>
              </w:rPr>
            </w:pPr>
            <w:r>
              <w:rPr>
                <w:noProof/>
              </w:rPr>
              <w:t>Idrifttagande av den första fasens moduler i den digitala plattformen One-Stop-Shop för tillståndsgivning och övervakning av projekt för förnybar energi</w:t>
            </w:r>
          </w:p>
        </w:tc>
        <w:tc>
          <w:tcPr>
            <w:tcW w:w="993" w:type="dxa"/>
            <w:shd w:val="clear" w:color="auto" w:fill="C4EFCE"/>
            <w:noWrap/>
            <w:vAlign w:val="center"/>
          </w:tcPr>
          <w:p w14:paraId="7068296D"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670A3301"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0D53A9AC"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5DA0EC12" w14:textId="4A6E8E0F"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018D5E69" w14:textId="0E4CC2FF"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76B9CE4" w14:textId="4108B586" w:rsidR="00E040FD" w:rsidRDefault="00740D64">
            <w:pPr>
              <w:pStyle w:val="P68B1DB1-Bodytext1013"/>
              <w:spacing w:after="0" w:line="240" w:lineRule="auto"/>
              <w:jc w:val="both"/>
              <w:rPr>
                <w:rFonts w:cstheme="minorHAnsi"/>
                <w:noProof/>
              </w:rPr>
            </w:pPr>
            <w:r>
              <w:rPr>
                <w:noProof/>
              </w:rPr>
              <w:t>Idrifttagande av den första fasens moduler i den digitala plattformen One-Stop-Shop för tillståndsgivning och övervakning av projekt för förnybar energi, i enlighet med beskrivningen av åtgärden.</w:t>
            </w:r>
          </w:p>
        </w:tc>
      </w:tr>
      <w:tr w:rsidR="00E040FD" w14:paraId="4586FFC2" w14:textId="77777777">
        <w:trPr>
          <w:trHeight w:val="430"/>
        </w:trPr>
        <w:tc>
          <w:tcPr>
            <w:tcW w:w="1135" w:type="dxa"/>
            <w:shd w:val="clear" w:color="auto" w:fill="C4EFCE"/>
            <w:vAlign w:val="center"/>
          </w:tcPr>
          <w:p w14:paraId="7F1EF689" w14:textId="32009939" w:rsidR="00E040FD" w:rsidRDefault="00740D64">
            <w:pPr>
              <w:pStyle w:val="P68B1DB1-Normal11"/>
              <w:spacing w:after="0" w:line="240" w:lineRule="auto"/>
              <w:jc w:val="center"/>
              <w:rPr>
                <w:rFonts w:eastAsia="Times New Roman" w:cstheme="minorHAnsi"/>
                <w:noProof/>
              </w:rPr>
            </w:pPr>
            <w:r>
              <w:rPr>
                <w:noProof/>
              </w:rPr>
              <w:t>21.31</w:t>
            </w:r>
          </w:p>
        </w:tc>
        <w:tc>
          <w:tcPr>
            <w:tcW w:w="1276" w:type="dxa"/>
            <w:shd w:val="clear" w:color="auto" w:fill="C4EFCE"/>
            <w:noWrap/>
            <w:vAlign w:val="center"/>
          </w:tcPr>
          <w:p w14:paraId="61E4D6AF" w14:textId="2D0F6781" w:rsidR="00E040FD" w:rsidRDefault="00740D64">
            <w:pPr>
              <w:pStyle w:val="P68B1DB1-Normal12"/>
              <w:spacing w:after="0" w:line="240" w:lineRule="auto"/>
              <w:jc w:val="center"/>
              <w:rPr>
                <w:rFonts w:eastAsia="Times New Roman"/>
                <w:noProof/>
              </w:rPr>
            </w:pPr>
            <w:r>
              <w:rPr>
                <w:noProof/>
              </w:rPr>
              <w:t>RP-C21-i09</w:t>
            </w:r>
          </w:p>
        </w:tc>
        <w:tc>
          <w:tcPr>
            <w:tcW w:w="1134" w:type="dxa"/>
            <w:shd w:val="clear" w:color="auto" w:fill="C4EFCE"/>
            <w:noWrap/>
            <w:vAlign w:val="center"/>
          </w:tcPr>
          <w:p w14:paraId="230CED97" w14:textId="74F37228"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203708E" w14:textId="12D046CF" w:rsidR="00E040FD" w:rsidRDefault="00740D64">
            <w:pPr>
              <w:pStyle w:val="P68B1DB1-Bodytext1013"/>
              <w:spacing w:line="240" w:lineRule="auto"/>
              <w:jc w:val="center"/>
              <w:rPr>
                <w:rFonts w:cstheme="minorHAnsi"/>
                <w:noProof/>
              </w:rPr>
            </w:pPr>
            <w:r>
              <w:rPr>
                <w:noProof/>
              </w:rPr>
              <w:t>Idrifttagande av modulerna i den andra fasen av den digitala plattformen One-Stop-Shop för tillståndsgivning och övervakning av projekt för förnybar energi och slutförande av processen för dematerialisering av befintliga tillståndsdokument.</w:t>
            </w:r>
          </w:p>
        </w:tc>
        <w:tc>
          <w:tcPr>
            <w:tcW w:w="1275" w:type="dxa"/>
            <w:shd w:val="clear" w:color="auto" w:fill="C4EFCE"/>
            <w:noWrap/>
            <w:vAlign w:val="center"/>
          </w:tcPr>
          <w:p w14:paraId="1901C1FE" w14:textId="3FE5BDE9" w:rsidR="00E040FD" w:rsidRDefault="00740D64">
            <w:pPr>
              <w:pStyle w:val="P68B1DB1-Bodytext1013"/>
              <w:rPr>
                <w:rFonts w:cstheme="minorHAnsi"/>
                <w:noProof/>
              </w:rPr>
            </w:pPr>
            <w:r>
              <w:rPr>
                <w:noProof/>
              </w:rPr>
              <w:t>Idrifttagande av den andra fasens moduler och slutförande av dematerialiseringsprocessen</w:t>
            </w:r>
          </w:p>
        </w:tc>
        <w:tc>
          <w:tcPr>
            <w:tcW w:w="993" w:type="dxa"/>
            <w:shd w:val="clear" w:color="auto" w:fill="C4EFCE"/>
            <w:noWrap/>
            <w:vAlign w:val="center"/>
          </w:tcPr>
          <w:p w14:paraId="737BEEE8"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74893EFA"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5041F109"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0CC8B59F" w14:textId="2295E9F0" w:rsidR="00E040FD" w:rsidRDefault="00740D64">
            <w:pPr>
              <w:pStyle w:val="P68B1DB1-Normal12"/>
              <w:spacing w:after="0" w:line="240" w:lineRule="auto"/>
              <w:jc w:val="center"/>
              <w:rPr>
                <w:rFonts w:eastAsia="Times New Roman"/>
                <w:noProof/>
              </w:rPr>
            </w:pPr>
            <w:r>
              <w:rPr>
                <w:noProof/>
              </w:rPr>
              <w:t>KVARTAL 2</w:t>
            </w:r>
          </w:p>
        </w:tc>
        <w:tc>
          <w:tcPr>
            <w:tcW w:w="708" w:type="dxa"/>
            <w:shd w:val="clear" w:color="auto" w:fill="C4EFCE"/>
            <w:noWrap/>
            <w:vAlign w:val="center"/>
          </w:tcPr>
          <w:p w14:paraId="0AEC55F4" w14:textId="056D3D0C" w:rsidR="00E040FD" w:rsidRDefault="00740D6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7AA262B" w14:textId="4E31E36C" w:rsidR="00E040FD" w:rsidRDefault="00740D64">
            <w:pPr>
              <w:pStyle w:val="P68B1DB1-Normal12"/>
              <w:spacing w:after="0" w:line="240" w:lineRule="auto"/>
              <w:jc w:val="both"/>
              <w:rPr>
                <w:rFonts w:eastAsia="Times New Roman"/>
                <w:noProof/>
              </w:rPr>
            </w:pPr>
            <w:r>
              <w:rPr>
                <w:noProof/>
              </w:rPr>
              <w:t>Idrifttagande av modulerna för den andra fasen av den digitala plattformen One-Stop-Shop för tillståndsgivning och övervakning av projekt för förnybar energi och slutförande av processen för dematerialisering av befintliga tillståndshandlingar, i enlighet med det behov som fastställts av generaldirektoratet för energi och geologi, i enlighet med beskrivningen av åtgärden.</w:t>
            </w:r>
          </w:p>
        </w:tc>
      </w:tr>
      <w:tr w:rsidR="00E040FD" w14:paraId="6BE813FA" w14:textId="77777777">
        <w:trPr>
          <w:trHeight w:val="430"/>
        </w:trPr>
        <w:tc>
          <w:tcPr>
            <w:tcW w:w="1135" w:type="dxa"/>
            <w:shd w:val="clear" w:color="auto" w:fill="C4EFCE"/>
            <w:vAlign w:val="center"/>
          </w:tcPr>
          <w:p w14:paraId="733A43BD" w14:textId="414B2FAD" w:rsidR="00E040FD" w:rsidRDefault="00740D64">
            <w:pPr>
              <w:pStyle w:val="P68B1DB1-Normal11"/>
              <w:spacing w:after="0" w:line="240" w:lineRule="auto"/>
              <w:jc w:val="center"/>
              <w:rPr>
                <w:rFonts w:eastAsia="Times New Roman" w:cstheme="minorHAnsi"/>
                <w:noProof/>
              </w:rPr>
            </w:pPr>
            <w:r>
              <w:rPr>
                <w:noProof/>
              </w:rPr>
              <w:t>21.32</w:t>
            </w:r>
          </w:p>
        </w:tc>
        <w:tc>
          <w:tcPr>
            <w:tcW w:w="1276" w:type="dxa"/>
            <w:shd w:val="clear" w:color="auto" w:fill="C4EFCE"/>
            <w:noWrap/>
            <w:vAlign w:val="center"/>
          </w:tcPr>
          <w:p w14:paraId="1D4596FC" w14:textId="6C3C6EAE" w:rsidR="00E040FD" w:rsidRDefault="00740D64">
            <w:pPr>
              <w:pStyle w:val="P68B1DB1-Normal12"/>
              <w:spacing w:after="0" w:line="240" w:lineRule="auto"/>
              <w:jc w:val="center"/>
              <w:rPr>
                <w:rFonts w:eastAsia="Times New Roman"/>
                <w:noProof/>
              </w:rPr>
            </w:pPr>
            <w:r>
              <w:rPr>
                <w:noProof/>
              </w:rPr>
              <w:t>RP-C21-i10-RAA</w:t>
            </w:r>
          </w:p>
        </w:tc>
        <w:tc>
          <w:tcPr>
            <w:tcW w:w="1134" w:type="dxa"/>
            <w:shd w:val="clear" w:color="auto" w:fill="C4EFCE"/>
            <w:noWrap/>
            <w:vAlign w:val="center"/>
          </w:tcPr>
          <w:p w14:paraId="11BDF5A0" w14:textId="0F4DD2C5"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F84B7D1" w14:textId="71264E8C" w:rsidR="00E040FD" w:rsidRDefault="00740D64">
            <w:pPr>
              <w:pStyle w:val="P68B1DB1-Normal12"/>
              <w:spacing w:after="0" w:line="240" w:lineRule="auto"/>
              <w:jc w:val="center"/>
              <w:rPr>
                <w:rFonts w:eastAsia="Times New Roman" w:cstheme="minorHAnsi"/>
                <w:noProof/>
              </w:rPr>
            </w:pPr>
            <w:r>
              <w:rPr>
                <w:noProof/>
              </w:rPr>
              <w:t>Installation av lagringskapacitet för el</w:t>
            </w:r>
          </w:p>
        </w:tc>
        <w:tc>
          <w:tcPr>
            <w:tcW w:w="1275" w:type="dxa"/>
            <w:shd w:val="clear" w:color="auto" w:fill="C4EFCE"/>
            <w:noWrap/>
            <w:vAlign w:val="center"/>
          </w:tcPr>
          <w:p w14:paraId="618CABB5"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6CA43656" w14:textId="647D88FA" w:rsidR="00E040FD" w:rsidRDefault="00740D64">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72C57D8C" w14:textId="3EFCC2B3" w:rsidR="00E040FD" w:rsidRDefault="00740D6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1D6E4AE3" w14:textId="01C62BBE" w:rsidR="00E040FD" w:rsidRDefault="00740D64">
            <w:pPr>
              <w:pStyle w:val="P68B1DB1-Normal12"/>
              <w:spacing w:after="0" w:line="240" w:lineRule="auto"/>
              <w:jc w:val="center"/>
              <w:rPr>
                <w:rFonts w:eastAsia="Times New Roman" w:cstheme="minorHAnsi"/>
                <w:noProof/>
              </w:rPr>
            </w:pPr>
            <w:r>
              <w:rPr>
                <w:noProof/>
              </w:rPr>
              <w:t>8,75</w:t>
            </w:r>
          </w:p>
        </w:tc>
        <w:tc>
          <w:tcPr>
            <w:tcW w:w="567" w:type="dxa"/>
            <w:shd w:val="clear" w:color="auto" w:fill="C4EFCE"/>
            <w:noWrap/>
            <w:vAlign w:val="center"/>
          </w:tcPr>
          <w:p w14:paraId="2B3BB704" w14:textId="2A88BBEA"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2CE8D20C" w14:textId="5A9DDA13" w:rsidR="00E040FD" w:rsidRDefault="00740D6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ACED5AC" w14:textId="74C3E21E" w:rsidR="00E040FD" w:rsidRDefault="00740D64">
            <w:pPr>
              <w:pStyle w:val="P68B1DB1-Normal12"/>
              <w:spacing w:after="0" w:line="240" w:lineRule="auto"/>
              <w:jc w:val="both"/>
              <w:rPr>
                <w:rFonts w:eastAsia="Times New Roman" w:cstheme="minorHAnsi"/>
                <w:noProof/>
              </w:rPr>
            </w:pPr>
            <w:r>
              <w:rPr>
                <w:noProof/>
              </w:rPr>
              <w:t>Minst 8,75 MW ellagringskapacitet installerad för egenförbrukning.</w:t>
            </w:r>
          </w:p>
        </w:tc>
      </w:tr>
      <w:tr w:rsidR="00E040FD" w14:paraId="59FCB201" w14:textId="77777777">
        <w:trPr>
          <w:trHeight w:val="430"/>
        </w:trPr>
        <w:tc>
          <w:tcPr>
            <w:tcW w:w="1135" w:type="dxa"/>
            <w:shd w:val="clear" w:color="auto" w:fill="C4EFCE"/>
            <w:vAlign w:val="center"/>
          </w:tcPr>
          <w:p w14:paraId="16D1E889" w14:textId="1734E102" w:rsidR="00E040FD" w:rsidRDefault="00740D64">
            <w:pPr>
              <w:pStyle w:val="P68B1DB1-Normal11"/>
              <w:spacing w:after="0" w:line="240" w:lineRule="auto"/>
              <w:jc w:val="center"/>
              <w:rPr>
                <w:rFonts w:eastAsia="Times New Roman" w:cstheme="minorHAnsi"/>
                <w:noProof/>
              </w:rPr>
            </w:pPr>
            <w:r>
              <w:rPr>
                <w:noProof/>
              </w:rPr>
              <w:t>21.33</w:t>
            </w:r>
          </w:p>
        </w:tc>
        <w:tc>
          <w:tcPr>
            <w:tcW w:w="1276" w:type="dxa"/>
            <w:shd w:val="clear" w:color="auto" w:fill="C4EFCE"/>
            <w:noWrap/>
            <w:vAlign w:val="center"/>
          </w:tcPr>
          <w:p w14:paraId="0DD29FA5" w14:textId="656F08E3" w:rsidR="00E040FD" w:rsidRDefault="00740D64">
            <w:pPr>
              <w:pStyle w:val="P68B1DB1-Normal12"/>
              <w:spacing w:after="0" w:line="240" w:lineRule="auto"/>
              <w:jc w:val="center"/>
              <w:rPr>
                <w:rFonts w:eastAsia="Times New Roman"/>
                <w:noProof/>
              </w:rPr>
            </w:pPr>
            <w:r>
              <w:rPr>
                <w:noProof/>
              </w:rPr>
              <w:t>RP-C21-i11-RAM</w:t>
            </w:r>
          </w:p>
        </w:tc>
        <w:tc>
          <w:tcPr>
            <w:tcW w:w="1134" w:type="dxa"/>
            <w:shd w:val="clear" w:color="auto" w:fill="C4EFCE"/>
            <w:noWrap/>
            <w:vAlign w:val="center"/>
          </w:tcPr>
          <w:p w14:paraId="6443488B" w14:textId="0171A2E8"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442E0E7" w14:textId="10C4B9DB" w:rsidR="00E040FD" w:rsidRDefault="00740D64">
            <w:pPr>
              <w:pStyle w:val="P68B1DB1-Normal12"/>
              <w:spacing w:after="0" w:line="240" w:lineRule="auto"/>
              <w:jc w:val="center"/>
              <w:rPr>
                <w:rFonts w:eastAsia="Times New Roman"/>
                <w:noProof/>
              </w:rPr>
            </w:pPr>
            <w:r>
              <w:rPr>
                <w:noProof/>
              </w:rPr>
              <w:t>Ökning av installerad kapacitet i enheter för produktion av förnybar energi för egen förbrukning och ökning av installerad lagringskapacitet för egenförbrukning</w:t>
            </w:r>
          </w:p>
        </w:tc>
        <w:tc>
          <w:tcPr>
            <w:tcW w:w="1275" w:type="dxa"/>
            <w:shd w:val="clear" w:color="auto" w:fill="C4EFCE"/>
            <w:noWrap/>
            <w:vAlign w:val="center"/>
          </w:tcPr>
          <w:p w14:paraId="14BAC0AF"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5B7EA6FB" w14:textId="6D0983F5" w:rsidR="00E040FD" w:rsidRDefault="00740D64">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24D8C7DF" w14:textId="21183495" w:rsidR="00E040FD" w:rsidRDefault="00740D64">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2B7883F0" w14:textId="7809369D" w:rsidR="00E040FD" w:rsidRDefault="00740D64">
            <w:pPr>
              <w:pStyle w:val="P68B1DB1-Normal12"/>
              <w:spacing w:after="0" w:line="240" w:lineRule="auto"/>
              <w:jc w:val="center"/>
              <w:rPr>
                <w:rFonts w:eastAsia="Times New Roman"/>
                <w:noProof/>
              </w:rPr>
            </w:pPr>
            <w:r>
              <w:rPr>
                <w:noProof/>
              </w:rPr>
              <w:t>5.25</w:t>
            </w:r>
          </w:p>
        </w:tc>
        <w:tc>
          <w:tcPr>
            <w:tcW w:w="567" w:type="dxa"/>
            <w:shd w:val="clear" w:color="auto" w:fill="C4EFCE"/>
            <w:noWrap/>
            <w:vAlign w:val="center"/>
          </w:tcPr>
          <w:p w14:paraId="496A646E" w14:textId="54237EC0" w:rsidR="00E040FD" w:rsidRDefault="00740D64">
            <w:pPr>
              <w:pStyle w:val="P68B1DB1-Normal12"/>
              <w:spacing w:after="0" w:line="240" w:lineRule="auto"/>
              <w:jc w:val="center"/>
              <w:rPr>
                <w:rFonts w:eastAsia="Times New Roman" w:cstheme="minorHAnsi"/>
                <w:noProof/>
              </w:rPr>
            </w:pPr>
            <w:r>
              <w:rPr>
                <w:noProof/>
              </w:rPr>
              <w:t>KVARTAL 1</w:t>
            </w:r>
          </w:p>
        </w:tc>
        <w:tc>
          <w:tcPr>
            <w:tcW w:w="708" w:type="dxa"/>
            <w:shd w:val="clear" w:color="auto" w:fill="C4EFCE"/>
            <w:noWrap/>
            <w:vAlign w:val="center"/>
          </w:tcPr>
          <w:p w14:paraId="119BAC6D" w14:textId="70C26F2D" w:rsidR="00E040FD" w:rsidRDefault="00740D6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4F13C5D1" w14:textId="58328E68" w:rsidR="00E040FD" w:rsidRDefault="00740D64">
            <w:pPr>
              <w:pStyle w:val="P68B1DB1-Normal12"/>
              <w:spacing w:after="0" w:line="240" w:lineRule="auto"/>
              <w:jc w:val="both"/>
              <w:rPr>
                <w:rFonts w:eastAsia="Times New Roman"/>
                <w:noProof/>
              </w:rPr>
            </w:pPr>
            <w:r>
              <w:rPr>
                <w:noProof/>
              </w:rPr>
              <w:t>Minst 2,75 MW kapacitet för produktion av förnybar energi för egenförbrukning har installerats.</w:t>
            </w:r>
          </w:p>
          <w:p w14:paraId="0A9ABADC" w14:textId="3E09A486" w:rsidR="00E040FD" w:rsidRDefault="00E040FD">
            <w:pPr>
              <w:spacing w:after="0" w:line="240" w:lineRule="auto"/>
              <w:jc w:val="both"/>
              <w:rPr>
                <w:noProof/>
                <w:sz w:val="16"/>
              </w:rPr>
            </w:pPr>
          </w:p>
          <w:p w14:paraId="1C328A9F" w14:textId="1996C913" w:rsidR="00E040FD" w:rsidRDefault="00740D64">
            <w:pPr>
              <w:pStyle w:val="P68B1DB1-Normal12"/>
              <w:spacing w:after="0" w:line="240" w:lineRule="auto"/>
              <w:jc w:val="both"/>
              <w:rPr>
                <w:rFonts w:eastAsia="Times New Roman"/>
                <w:noProof/>
              </w:rPr>
            </w:pPr>
            <w:r>
              <w:rPr>
                <w:noProof/>
              </w:rPr>
              <w:t>Minst 2,5 MW lagringskapacitet för egenförbrukning är installerad.</w:t>
            </w:r>
          </w:p>
        </w:tc>
      </w:tr>
      <w:tr w:rsidR="00E040FD" w14:paraId="5AEA89DD" w14:textId="77777777">
        <w:trPr>
          <w:trHeight w:val="430"/>
        </w:trPr>
        <w:tc>
          <w:tcPr>
            <w:tcW w:w="1135" w:type="dxa"/>
            <w:shd w:val="clear" w:color="auto" w:fill="C4EFCE"/>
            <w:vAlign w:val="center"/>
          </w:tcPr>
          <w:p w14:paraId="06F06D71" w14:textId="1CAAC2A0" w:rsidR="00E040FD" w:rsidRDefault="00740D64">
            <w:pPr>
              <w:pStyle w:val="P68B1DB1-Normal11"/>
              <w:spacing w:after="0" w:line="240" w:lineRule="auto"/>
              <w:jc w:val="center"/>
              <w:rPr>
                <w:rFonts w:eastAsia="Times New Roman" w:cstheme="minorHAnsi"/>
                <w:noProof/>
              </w:rPr>
            </w:pPr>
            <w:r>
              <w:rPr>
                <w:noProof/>
              </w:rPr>
              <w:t>21.34</w:t>
            </w:r>
          </w:p>
        </w:tc>
        <w:tc>
          <w:tcPr>
            <w:tcW w:w="1276" w:type="dxa"/>
            <w:shd w:val="clear" w:color="auto" w:fill="C4EFCE"/>
            <w:noWrap/>
            <w:vAlign w:val="center"/>
          </w:tcPr>
          <w:p w14:paraId="50A32A38" w14:textId="6FB4DA15" w:rsidR="00E040FD" w:rsidRDefault="00740D64">
            <w:pPr>
              <w:pStyle w:val="P68B1DB1-Normal12"/>
              <w:spacing w:after="0" w:line="240" w:lineRule="auto"/>
              <w:jc w:val="center"/>
              <w:rPr>
                <w:rFonts w:eastAsia="Times New Roman"/>
                <w:noProof/>
              </w:rPr>
            </w:pPr>
            <w:r>
              <w:rPr>
                <w:noProof/>
              </w:rPr>
              <w:t>RP-C21-i11-RAM</w:t>
            </w:r>
          </w:p>
        </w:tc>
        <w:tc>
          <w:tcPr>
            <w:tcW w:w="1134" w:type="dxa"/>
            <w:shd w:val="clear" w:color="auto" w:fill="C4EFCE"/>
            <w:noWrap/>
            <w:vAlign w:val="center"/>
          </w:tcPr>
          <w:p w14:paraId="1E977997" w14:textId="68BD8EDF"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4206821" w14:textId="7D6204F6" w:rsidR="00E040FD" w:rsidRDefault="00740D64">
            <w:pPr>
              <w:pStyle w:val="P68B1DB1-Normal12"/>
              <w:spacing w:after="0" w:line="240" w:lineRule="auto"/>
              <w:jc w:val="center"/>
              <w:rPr>
                <w:rFonts w:eastAsia="Times New Roman" w:cstheme="minorHAnsi"/>
                <w:noProof/>
              </w:rPr>
            </w:pPr>
            <w:r>
              <w:rPr>
                <w:noProof/>
              </w:rPr>
              <w:t>Förstärkning av installerad vindkraftskapacitet</w:t>
            </w:r>
          </w:p>
        </w:tc>
        <w:tc>
          <w:tcPr>
            <w:tcW w:w="1275" w:type="dxa"/>
            <w:shd w:val="clear" w:color="auto" w:fill="C4EFCE"/>
            <w:noWrap/>
          </w:tcPr>
          <w:p w14:paraId="5A477E66" w14:textId="3465589D" w:rsidR="00E040FD" w:rsidRDefault="00740D6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3C8E2AE" w14:textId="2F0553A1" w:rsidR="00E040FD" w:rsidRDefault="00740D64">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4CACD599" w14:textId="7A662419" w:rsidR="00E040FD" w:rsidRDefault="00740D6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1D8B24C1" w14:textId="3B83C067" w:rsidR="00E040FD" w:rsidRDefault="00740D64">
            <w:pPr>
              <w:pStyle w:val="P68B1DB1-Normal12"/>
              <w:spacing w:after="0" w:line="240" w:lineRule="auto"/>
              <w:jc w:val="center"/>
              <w:rPr>
                <w:rFonts w:eastAsia="Times New Roman" w:cstheme="minorHAnsi"/>
                <w:noProof/>
              </w:rPr>
            </w:pPr>
            <w:r>
              <w:rPr>
                <w:noProof/>
              </w:rPr>
              <w:t>7</w:t>
            </w:r>
          </w:p>
        </w:tc>
        <w:tc>
          <w:tcPr>
            <w:tcW w:w="567" w:type="dxa"/>
            <w:shd w:val="clear" w:color="auto" w:fill="C4EFCE"/>
            <w:noWrap/>
            <w:vAlign w:val="center"/>
          </w:tcPr>
          <w:p w14:paraId="7E0DAF3D" w14:textId="487909DB"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6E08C107" w14:textId="667BF99D" w:rsidR="00E040FD" w:rsidRDefault="00740D6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60E20BC6" w14:textId="03E226A0" w:rsidR="00E040FD" w:rsidRDefault="00740D64">
            <w:pPr>
              <w:pStyle w:val="P68B1DB1-Normal12"/>
              <w:spacing w:after="0" w:line="240" w:lineRule="auto"/>
              <w:jc w:val="both"/>
              <w:rPr>
                <w:rFonts w:eastAsia="Times New Roman" w:cstheme="minorHAnsi"/>
                <w:noProof/>
              </w:rPr>
            </w:pPr>
            <w:r>
              <w:rPr>
                <w:noProof/>
              </w:rPr>
              <w:t>Ytterligare en vindkraftskapacitet på 7 MW som är ansluten till elnätet ska installeras på ön Porto Santo.</w:t>
            </w:r>
          </w:p>
        </w:tc>
      </w:tr>
      <w:tr w:rsidR="00E040FD" w14:paraId="57E89DD0" w14:textId="77777777">
        <w:trPr>
          <w:trHeight w:val="430"/>
        </w:trPr>
        <w:tc>
          <w:tcPr>
            <w:tcW w:w="1135" w:type="dxa"/>
            <w:shd w:val="clear" w:color="auto" w:fill="C4EFCE"/>
            <w:vAlign w:val="center"/>
          </w:tcPr>
          <w:p w14:paraId="5BE74300" w14:textId="459942DF" w:rsidR="00E040FD" w:rsidRDefault="00740D64">
            <w:pPr>
              <w:pStyle w:val="P68B1DB1-Normal11"/>
              <w:spacing w:after="0" w:line="240" w:lineRule="auto"/>
              <w:jc w:val="center"/>
              <w:rPr>
                <w:rFonts w:eastAsia="Times New Roman" w:cstheme="minorHAnsi"/>
                <w:noProof/>
              </w:rPr>
            </w:pPr>
            <w:r>
              <w:rPr>
                <w:noProof/>
              </w:rPr>
              <w:t>21.35</w:t>
            </w:r>
          </w:p>
        </w:tc>
        <w:tc>
          <w:tcPr>
            <w:tcW w:w="1276" w:type="dxa"/>
            <w:shd w:val="clear" w:color="auto" w:fill="C4EFCE"/>
            <w:noWrap/>
            <w:vAlign w:val="center"/>
          </w:tcPr>
          <w:p w14:paraId="5202472B" w14:textId="081F4DDF" w:rsidR="00E040FD" w:rsidRDefault="00740D64">
            <w:pPr>
              <w:pStyle w:val="P68B1DB1-Normal12"/>
              <w:spacing w:after="0" w:line="240" w:lineRule="auto"/>
              <w:jc w:val="center"/>
              <w:rPr>
                <w:rFonts w:eastAsia="Times New Roman"/>
                <w:noProof/>
              </w:rPr>
            </w:pPr>
            <w:r>
              <w:rPr>
                <w:noProof/>
              </w:rPr>
              <w:t>RP-C21-i12</w:t>
            </w:r>
          </w:p>
        </w:tc>
        <w:tc>
          <w:tcPr>
            <w:tcW w:w="1134" w:type="dxa"/>
            <w:shd w:val="clear" w:color="auto" w:fill="C4EFCE"/>
            <w:noWrap/>
            <w:vAlign w:val="center"/>
          </w:tcPr>
          <w:p w14:paraId="3C71133D" w14:textId="339DEA58"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58FBE419" w14:textId="66C41B1C" w:rsidR="00E040FD" w:rsidRDefault="00740D64">
            <w:pPr>
              <w:pStyle w:val="P68B1DB1-Normal12"/>
              <w:spacing w:after="0" w:line="240" w:lineRule="auto"/>
              <w:jc w:val="center"/>
              <w:rPr>
                <w:rFonts w:eastAsia="Times New Roman" w:cstheme="minorHAnsi"/>
                <w:noProof/>
              </w:rPr>
            </w:pPr>
            <w:r>
              <w:rPr>
                <w:noProof/>
              </w:rPr>
              <w:t>Undertecknande av avtalet om inköp av rena bussar inom ramen för programmet för utfasning av fossila bränslen inom kollektivtrafiken</w:t>
            </w:r>
          </w:p>
        </w:tc>
        <w:tc>
          <w:tcPr>
            <w:tcW w:w="1275" w:type="dxa"/>
            <w:shd w:val="clear" w:color="auto" w:fill="C4EFCE"/>
            <w:noWrap/>
          </w:tcPr>
          <w:p w14:paraId="526A8439" w14:textId="21927C98" w:rsidR="00E040FD" w:rsidRDefault="00740D64">
            <w:pPr>
              <w:pStyle w:val="P68B1DB1-Normal12"/>
              <w:spacing w:after="0" w:line="240" w:lineRule="auto"/>
              <w:jc w:val="center"/>
              <w:rPr>
                <w:rFonts w:eastAsia="Times New Roman" w:cstheme="minorHAnsi"/>
                <w:noProof/>
              </w:rPr>
            </w:pPr>
            <w:r>
              <w:rPr>
                <w:noProof/>
              </w:rPr>
              <w:t>Undertecknande av avtalet om inköp av rena bussar inom ramen för programmet för utfasning av fossila bränslen inom kollektivtrafiken</w:t>
            </w:r>
          </w:p>
        </w:tc>
        <w:tc>
          <w:tcPr>
            <w:tcW w:w="993" w:type="dxa"/>
            <w:shd w:val="clear" w:color="auto" w:fill="C4EFCE"/>
            <w:noWrap/>
          </w:tcPr>
          <w:p w14:paraId="5B5F632F" w14:textId="43CF795F" w:rsidR="00E040FD" w:rsidRDefault="00740D6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756CF22A" w14:textId="0AB870C4" w:rsidR="00E040FD" w:rsidRDefault="00E040FD">
            <w:pPr>
              <w:spacing w:after="0" w:line="240" w:lineRule="auto"/>
              <w:jc w:val="center"/>
              <w:rPr>
                <w:rFonts w:eastAsia="Times New Roman" w:cstheme="minorHAnsi"/>
                <w:noProof/>
                <w:sz w:val="16"/>
              </w:rPr>
            </w:pPr>
          </w:p>
        </w:tc>
        <w:tc>
          <w:tcPr>
            <w:tcW w:w="992" w:type="dxa"/>
            <w:shd w:val="clear" w:color="auto" w:fill="C4EFCE"/>
            <w:noWrap/>
          </w:tcPr>
          <w:p w14:paraId="6F932B44" w14:textId="27A48D92" w:rsidR="00E040FD" w:rsidRDefault="00740D64">
            <w:pPr>
              <w:pStyle w:val="P68B1DB1-Normal12"/>
              <w:spacing w:after="0" w:line="240" w:lineRule="auto"/>
              <w:jc w:val="center"/>
              <w:rPr>
                <w:rFonts w:eastAsia="Times New Roman" w:cstheme="minorHAnsi"/>
                <w:noProof/>
              </w:rPr>
            </w:pPr>
            <w:r>
              <w:rPr>
                <w:noProof/>
              </w:rPr>
              <w:t xml:space="preserve"> </w:t>
            </w:r>
          </w:p>
        </w:tc>
        <w:tc>
          <w:tcPr>
            <w:tcW w:w="567" w:type="dxa"/>
            <w:shd w:val="clear" w:color="auto" w:fill="C4EFCE"/>
            <w:noWrap/>
            <w:vAlign w:val="center"/>
          </w:tcPr>
          <w:p w14:paraId="7BEFD333" w14:textId="6ED7E9C3"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shd w:val="clear" w:color="auto" w:fill="C4EFCE"/>
            <w:noWrap/>
            <w:vAlign w:val="center"/>
          </w:tcPr>
          <w:p w14:paraId="3A864357" w14:textId="6C2FC1DE"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BD2252A" w14:textId="03C0FAE2" w:rsidR="00E040FD" w:rsidRDefault="00740D64">
            <w:pPr>
              <w:pStyle w:val="P68B1DB1-Normal12"/>
              <w:spacing w:after="0" w:line="240" w:lineRule="auto"/>
              <w:jc w:val="both"/>
              <w:rPr>
                <w:rFonts w:eastAsia="Times New Roman" w:cstheme="minorHAnsi"/>
                <w:noProof/>
              </w:rPr>
            </w:pPr>
            <w:r>
              <w:rPr>
                <w:noProof/>
              </w:rPr>
              <w:t>Undertecknande av kontraktet mellan stödmottagarna och ledningsorganet, på grundval av ett konkurrensutsatt anbudsförfarande, med ett åtagande om att köpa 300 utsläppsfria bussar (el- och vätgasbussar).</w:t>
            </w:r>
          </w:p>
        </w:tc>
      </w:tr>
      <w:tr w:rsidR="00E040FD" w14:paraId="716F3052" w14:textId="77777777">
        <w:trPr>
          <w:trHeight w:val="430"/>
        </w:trPr>
        <w:tc>
          <w:tcPr>
            <w:tcW w:w="1135" w:type="dxa"/>
            <w:shd w:val="clear" w:color="auto" w:fill="C4EFCE"/>
            <w:vAlign w:val="center"/>
          </w:tcPr>
          <w:p w14:paraId="3FC90F90" w14:textId="5F27DE07" w:rsidR="00E040FD" w:rsidRDefault="00740D64">
            <w:pPr>
              <w:pStyle w:val="P68B1DB1-Normal11"/>
              <w:spacing w:after="0" w:line="240" w:lineRule="auto"/>
              <w:jc w:val="center"/>
              <w:rPr>
                <w:rFonts w:eastAsia="Times New Roman" w:cstheme="minorHAnsi"/>
                <w:noProof/>
              </w:rPr>
            </w:pPr>
            <w:r>
              <w:rPr>
                <w:noProof/>
              </w:rPr>
              <w:t>21.36</w:t>
            </w:r>
          </w:p>
        </w:tc>
        <w:tc>
          <w:tcPr>
            <w:tcW w:w="1276" w:type="dxa"/>
            <w:shd w:val="clear" w:color="auto" w:fill="C4EFCE"/>
            <w:noWrap/>
            <w:vAlign w:val="center"/>
          </w:tcPr>
          <w:p w14:paraId="1F66CCD9" w14:textId="33FB0967" w:rsidR="00E040FD" w:rsidRDefault="00740D64">
            <w:pPr>
              <w:pStyle w:val="P68B1DB1-Normal12"/>
              <w:spacing w:after="0" w:line="240" w:lineRule="auto"/>
              <w:jc w:val="center"/>
              <w:rPr>
                <w:rFonts w:eastAsia="Times New Roman"/>
                <w:noProof/>
              </w:rPr>
            </w:pPr>
            <w:r>
              <w:rPr>
                <w:noProof/>
              </w:rPr>
              <w:t>RP-C21-i12</w:t>
            </w:r>
          </w:p>
        </w:tc>
        <w:tc>
          <w:tcPr>
            <w:tcW w:w="1134" w:type="dxa"/>
            <w:shd w:val="clear" w:color="auto" w:fill="C4EFCE"/>
            <w:noWrap/>
            <w:vAlign w:val="center"/>
          </w:tcPr>
          <w:p w14:paraId="45CD69E3" w14:textId="4C7E9777"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7464071F" w14:textId="2F857C6F" w:rsidR="00E040FD" w:rsidRDefault="00740D64">
            <w:pPr>
              <w:pStyle w:val="P68B1DB1-Normal12"/>
              <w:spacing w:after="0" w:line="240" w:lineRule="auto"/>
              <w:jc w:val="center"/>
              <w:rPr>
                <w:rFonts w:eastAsia="Times New Roman" w:cstheme="minorHAnsi"/>
                <w:noProof/>
              </w:rPr>
            </w:pPr>
            <w:r>
              <w:rPr>
                <w:noProof/>
              </w:rPr>
              <w:t>Inköp av nya utsläppsfria bussar (el- eller vätgasbussar) som används för kollektivtrafik</w:t>
            </w:r>
          </w:p>
        </w:tc>
        <w:tc>
          <w:tcPr>
            <w:tcW w:w="1275" w:type="dxa"/>
            <w:shd w:val="clear" w:color="auto" w:fill="C4EFCE"/>
            <w:noWrap/>
          </w:tcPr>
          <w:p w14:paraId="3C72326A" w14:textId="2F037DC0" w:rsidR="00E040FD" w:rsidRDefault="00740D6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404D39E" w14:textId="33FBF6E8" w:rsidR="00E040FD" w:rsidRDefault="00740D64">
            <w:pPr>
              <w:pStyle w:val="P68B1DB1-Normal12"/>
              <w:spacing w:after="0" w:line="240" w:lineRule="auto"/>
              <w:jc w:val="center"/>
              <w:rPr>
                <w:rFonts w:eastAsia="Times New Roman" w:cstheme="minorHAnsi"/>
                <w:noProof/>
              </w:rPr>
            </w:pPr>
            <w:r>
              <w:rPr>
                <w:noProof/>
              </w:rPr>
              <w:t>Antal</w:t>
            </w:r>
          </w:p>
        </w:tc>
        <w:tc>
          <w:tcPr>
            <w:tcW w:w="992" w:type="dxa"/>
            <w:shd w:val="clear" w:color="auto" w:fill="C4EFCE"/>
            <w:noWrap/>
            <w:vAlign w:val="center"/>
          </w:tcPr>
          <w:p w14:paraId="48371656" w14:textId="6BCE283C" w:rsidR="00E040FD" w:rsidRDefault="00740D64">
            <w:pPr>
              <w:pStyle w:val="P68B1DB1-Normal12"/>
              <w:spacing w:after="0" w:line="240" w:lineRule="auto"/>
              <w:jc w:val="center"/>
              <w:rPr>
                <w:rFonts w:eastAsia="Times New Roman" w:cstheme="minorHAnsi"/>
                <w:noProof/>
              </w:rPr>
            </w:pPr>
            <w:r>
              <w:rPr>
                <w:noProof/>
              </w:rPr>
              <w:t>145</w:t>
            </w:r>
          </w:p>
        </w:tc>
        <w:tc>
          <w:tcPr>
            <w:tcW w:w="992" w:type="dxa"/>
            <w:shd w:val="clear" w:color="auto" w:fill="C4EFCE"/>
            <w:noWrap/>
            <w:vAlign w:val="center"/>
          </w:tcPr>
          <w:p w14:paraId="0460B517" w14:textId="5EEA6EB2" w:rsidR="00E040FD" w:rsidRDefault="00740D64">
            <w:pPr>
              <w:pStyle w:val="P68B1DB1-Normal12"/>
              <w:spacing w:after="0" w:line="240" w:lineRule="auto"/>
              <w:jc w:val="center"/>
              <w:rPr>
                <w:rFonts w:eastAsia="Times New Roman" w:cstheme="minorHAnsi"/>
                <w:noProof/>
              </w:rPr>
            </w:pPr>
            <w:r>
              <w:rPr>
                <w:noProof/>
              </w:rPr>
              <w:t>445</w:t>
            </w:r>
          </w:p>
        </w:tc>
        <w:tc>
          <w:tcPr>
            <w:tcW w:w="567" w:type="dxa"/>
            <w:shd w:val="clear" w:color="auto" w:fill="C4EFCE"/>
            <w:noWrap/>
            <w:vAlign w:val="center"/>
          </w:tcPr>
          <w:p w14:paraId="0D0FF0A6" w14:textId="62A587E4"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shd w:val="clear" w:color="auto" w:fill="C4EFCE"/>
            <w:noWrap/>
            <w:vAlign w:val="center"/>
          </w:tcPr>
          <w:p w14:paraId="378FDA1C" w14:textId="035B1EE2" w:rsidR="00E040FD" w:rsidRDefault="00740D6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24AF3ACA" w14:textId="54F8D633" w:rsidR="00E040FD" w:rsidRDefault="00740D64">
            <w:pPr>
              <w:pStyle w:val="P68B1DB1-Normal12"/>
              <w:spacing w:after="0" w:line="240" w:lineRule="auto"/>
              <w:jc w:val="both"/>
              <w:rPr>
                <w:rFonts w:eastAsia="Times New Roman" w:cstheme="minorHAnsi"/>
                <w:noProof/>
              </w:rPr>
            </w:pPr>
            <w:r>
              <w:rPr>
                <w:noProof/>
              </w:rPr>
              <w:t>300 nya utsläppsfria bussar (el- eller vätgasbussar) ska köpas in och tillhörande laddnings- eller tankstationer ska installeras.</w:t>
            </w:r>
          </w:p>
        </w:tc>
      </w:tr>
      <w:tr w:rsidR="00E040FD" w14:paraId="384ADCA7" w14:textId="77777777">
        <w:trPr>
          <w:trHeight w:val="430"/>
        </w:trPr>
        <w:tc>
          <w:tcPr>
            <w:tcW w:w="1135" w:type="dxa"/>
            <w:shd w:val="clear" w:color="auto" w:fill="C4EFCE"/>
            <w:vAlign w:val="center"/>
          </w:tcPr>
          <w:p w14:paraId="2962B7B9" w14:textId="4E1C3EE5" w:rsidR="00E040FD" w:rsidRDefault="00740D64">
            <w:pPr>
              <w:pStyle w:val="P68B1DB1-Normal11"/>
              <w:spacing w:after="0" w:line="240" w:lineRule="auto"/>
              <w:jc w:val="center"/>
              <w:rPr>
                <w:rFonts w:eastAsia="Times New Roman" w:cstheme="minorHAnsi"/>
                <w:noProof/>
              </w:rPr>
            </w:pPr>
            <w:r>
              <w:rPr>
                <w:noProof/>
              </w:rPr>
              <w:t>21.37</w:t>
            </w:r>
          </w:p>
        </w:tc>
        <w:tc>
          <w:tcPr>
            <w:tcW w:w="1276" w:type="dxa"/>
            <w:shd w:val="clear" w:color="auto" w:fill="C4EFCE"/>
            <w:noWrap/>
            <w:vAlign w:val="center"/>
          </w:tcPr>
          <w:p w14:paraId="4B2F008F" w14:textId="40A48065" w:rsidR="00E040FD" w:rsidRDefault="00740D64">
            <w:pPr>
              <w:pStyle w:val="P68B1DB1-Normal12"/>
              <w:spacing w:after="0" w:line="240" w:lineRule="auto"/>
              <w:jc w:val="center"/>
              <w:rPr>
                <w:rFonts w:eastAsia="Times New Roman"/>
                <w:noProof/>
              </w:rPr>
            </w:pPr>
            <w:r>
              <w:rPr>
                <w:noProof/>
              </w:rPr>
              <w:t>RP-C21-i13-RAM</w:t>
            </w:r>
          </w:p>
        </w:tc>
        <w:tc>
          <w:tcPr>
            <w:tcW w:w="1134" w:type="dxa"/>
            <w:shd w:val="clear" w:color="auto" w:fill="C4EFCE"/>
            <w:noWrap/>
            <w:vAlign w:val="center"/>
          </w:tcPr>
          <w:p w14:paraId="65354B4F" w14:textId="517B6DCE"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896FBFA" w14:textId="04C5CE6F" w:rsidR="00E040FD" w:rsidRDefault="00740D64">
            <w:pPr>
              <w:pStyle w:val="P68B1DB1-Normal12"/>
              <w:spacing w:after="0" w:line="240" w:lineRule="auto"/>
              <w:jc w:val="center"/>
              <w:rPr>
                <w:rFonts w:eastAsia="Times New Roman"/>
                <w:noProof/>
              </w:rPr>
            </w:pPr>
            <w:r>
              <w:rPr>
                <w:noProof/>
              </w:rPr>
              <w:t>Inköp av nya utsläppsfria bussar (el- eller vätgasbussar) som används för kollektivtrafik och turisttjänster och inköp av elbilar som ersätter skrotade fordon</w:t>
            </w:r>
          </w:p>
        </w:tc>
        <w:tc>
          <w:tcPr>
            <w:tcW w:w="1275" w:type="dxa"/>
            <w:shd w:val="clear" w:color="auto" w:fill="C4EFCE"/>
            <w:noWrap/>
            <w:vAlign w:val="center"/>
          </w:tcPr>
          <w:p w14:paraId="634D7D56"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2ECE2C14" w14:textId="6594762E" w:rsidR="00E040FD" w:rsidRDefault="00740D64">
            <w:pPr>
              <w:pStyle w:val="P68B1DB1-Normal12"/>
              <w:spacing w:after="0" w:line="240" w:lineRule="auto"/>
              <w:jc w:val="center"/>
              <w:rPr>
                <w:rFonts w:eastAsia="Times New Roman"/>
                <w:noProof/>
              </w:rPr>
            </w:pPr>
            <w:r>
              <w:rPr>
                <w:noProof/>
              </w:rPr>
              <w:t>Antal</w:t>
            </w:r>
          </w:p>
        </w:tc>
        <w:tc>
          <w:tcPr>
            <w:tcW w:w="992" w:type="dxa"/>
            <w:shd w:val="clear" w:color="auto" w:fill="C4EFCE"/>
            <w:noWrap/>
            <w:vAlign w:val="center"/>
          </w:tcPr>
          <w:p w14:paraId="367DBAF5" w14:textId="0B86A6AB" w:rsidR="00E040FD" w:rsidRDefault="00740D6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07A0B9E" w14:textId="7CEAB357" w:rsidR="00E040FD" w:rsidRDefault="00740D64">
            <w:pPr>
              <w:pStyle w:val="P68B1DB1-Normal12"/>
              <w:spacing w:after="0" w:line="240" w:lineRule="auto"/>
              <w:jc w:val="center"/>
              <w:rPr>
                <w:rFonts w:eastAsia="Times New Roman"/>
                <w:noProof/>
              </w:rPr>
            </w:pPr>
            <w:r>
              <w:rPr>
                <w:noProof/>
              </w:rPr>
              <w:t>576</w:t>
            </w:r>
          </w:p>
        </w:tc>
        <w:tc>
          <w:tcPr>
            <w:tcW w:w="567" w:type="dxa"/>
            <w:shd w:val="clear" w:color="auto" w:fill="C4EFCE"/>
            <w:noWrap/>
            <w:vAlign w:val="center"/>
          </w:tcPr>
          <w:p w14:paraId="351C723C" w14:textId="796E67D1" w:rsidR="00E040FD" w:rsidRDefault="00740D64">
            <w:pPr>
              <w:pStyle w:val="P68B1DB1-Normal12"/>
              <w:spacing w:after="0" w:line="240" w:lineRule="auto"/>
              <w:jc w:val="center"/>
              <w:rPr>
                <w:rFonts w:eastAsia="Times New Roman" w:cstheme="minorHAnsi"/>
                <w:noProof/>
              </w:rPr>
            </w:pPr>
            <w:r>
              <w:rPr>
                <w:noProof/>
              </w:rPr>
              <w:t>KVARTAL 1</w:t>
            </w:r>
          </w:p>
        </w:tc>
        <w:tc>
          <w:tcPr>
            <w:tcW w:w="708" w:type="dxa"/>
            <w:shd w:val="clear" w:color="auto" w:fill="C4EFCE"/>
            <w:noWrap/>
            <w:vAlign w:val="center"/>
          </w:tcPr>
          <w:p w14:paraId="1F57265D" w14:textId="1B91BDBB" w:rsidR="00E040FD" w:rsidRDefault="00740D6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1EE77ED" w14:textId="213DF929" w:rsidR="00E040FD" w:rsidRDefault="00740D64">
            <w:pPr>
              <w:pStyle w:val="P68B1DB1-Normal12"/>
              <w:spacing w:after="0" w:line="240" w:lineRule="auto"/>
              <w:jc w:val="both"/>
              <w:rPr>
                <w:rFonts w:eastAsia="Times New Roman"/>
                <w:noProof/>
              </w:rPr>
            </w:pPr>
            <w:r>
              <w:rPr>
                <w:noProof/>
              </w:rPr>
              <w:t xml:space="preserve">26 nya utsläppsfria bussar (el- eller vätgasbussar) ska köpas in och de relativa laddningsstationerna ska installeras i den autonoma regionen Madeira. Minst 10 av de bussar som köps ska användas för kollektivtrafik. </w:t>
            </w:r>
          </w:p>
          <w:p w14:paraId="2D49F8EB" w14:textId="3C0DE98F" w:rsidR="00E040FD" w:rsidRDefault="00E040FD">
            <w:pPr>
              <w:spacing w:after="0" w:line="240" w:lineRule="auto"/>
              <w:jc w:val="both"/>
              <w:rPr>
                <w:noProof/>
                <w:sz w:val="16"/>
              </w:rPr>
            </w:pPr>
          </w:p>
          <w:p w14:paraId="6D678AF5" w14:textId="0E55A84D" w:rsidR="00E040FD" w:rsidRDefault="00740D64">
            <w:pPr>
              <w:pStyle w:val="P68B1DB1-Normal12"/>
              <w:spacing w:after="0" w:line="240" w:lineRule="auto"/>
              <w:jc w:val="both"/>
              <w:rPr>
                <w:rFonts w:eastAsia="Times New Roman"/>
                <w:noProof/>
              </w:rPr>
            </w:pPr>
            <w:r>
              <w:rPr>
                <w:noProof/>
              </w:rPr>
              <w:t>550 fordon ska skrotas och ersättas med elfordon i den autonoma regionen Madeira.</w:t>
            </w:r>
          </w:p>
        </w:tc>
      </w:tr>
      <w:tr w:rsidR="00E040FD" w14:paraId="7128FD55" w14:textId="77777777">
        <w:trPr>
          <w:trHeight w:val="430"/>
        </w:trPr>
        <w:tc>
          <w:tcPr>
            <w:tcW w:w="1135" w:type="dxa"/>
            <w:shd w:val="clear" w:color="auto" w:fill="C4EFCE"/>
            <w:vAlign w:val="center"/>
          </w:tcPr>
          <w:p w14:paraId="3D47AF57" w14:textId="7724070C" w:rsidR="00E040FD" w:rsidRDefault="00740D64">
            <w:pPr>
              <w:pStyle w:val="P68B1DB1-Normal11"/>
              <w:spacing w:after="0" w:line="240" w:lineRule="auto"/>
              <w:jc w:val="center"/>
              <w:rPr>
                <w:rFonts w:eastAsia="Times New Roman" w:cstheme="minorHAnsi"/>
                <w:noProof/>
              </w:rPr>
            </w:pPr>
            <w:r>
              <w:rPr>
                <w:noProof/>
              </w:rPr>
              <w:t>21.38</w:t>
            </w:r>
          </w:p>
        </w:tc>
        <w:tc>
          <w:tcPr>
            <w:tcW w:w="1276" w:type="dxa"/>
            <w:shd w:val="clear" w:color="auto" w:fill="C4EFCE"/>
            <w:noWrap/>
            <w:vAlign w:val="center"/>
          </w:tcPr>
          <w:p w14:paraId="021E606B" w14:textId="01DE8394" w:rsidR="00E040FD" w:rsidRDefault="00740D64">
            <w:pPr>
              <w:pStyle w:val="P68B1DB1-Normal12"/>
              <w:spacing w:after="0" w:line="240" w:lineRule="auto"/>
              <w:jc w:val="center"/>
              <w:rPr>
                <w:rFonts w:eastAsia="Times New Roman"/>
                <w:noProof/>
              </w:rPr>
            </w:pPr>
            <w:r>
              <w:rPr>
                <w:noProof/>
              </w:rPr>
              <w:t>RP-C21-i14</w:t>
            </w:r>
          </w:p>
        </w:tc>
        <w:tc>
          <w:tcPr>
            <w:tcW w:w="1134" w:type="dxa"/>
            <w:shd w:val="clear" w:color="auto" w:fill="C4EFCE"/>
            <w:noWrap/>
            <w:vAlign w:val="center"/>
          </w:tcPr>
          <w:p w14:paraId="6265AB1B" w14:textId="2A284064"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1621A87" w14:textId="60F63A87" w:rsidR="00E040FD" w:rsidRDefault="00740D64">
            <w:pPr>
              <w:pStyle w:val="P68B1DB1-Normal12"/>
              <w:spacing w:after="0" w:line="240" w:lineRule="auto"/>
              <w:jc w:val="center"/>
              <w:rPr>
                <w:rFonts w:eastAsia="Times New Roman" w:cstheme="minorHAnsi"/>
                <w:noProof/>
              </w:rPr>
            </w:pPr>
            <w:r>
              <w:rPr>
                <w:noProof/>
              </w:rPr>
              <w:t>Undertecknande av avtalet om uppförande av två linjer för snabb transitering av Bus i Braga</w:t>
            </w:r>
          </w:p>
        </w:tc>
        <w:tc>
          <w:tcPr>
            <w:tcW w:w="1275" w:type="dxa"/>
            <w:shd w:val="clear" w:color="auto" w:fill="C4EFCE"/>
            <w:noWrap/>
            <w:vAlign w:val="center"/>
          </w:tcPr>
          <w:p w14:paraId="5BA09737"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3AD601A8"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3F0A5A5B"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0B39241D"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2A2B11DA" w14:textId="2701FEF8" w:rsidR="00E040FD" w:rsidRDefault="00740D64">
            <w:pPr>
              <w:pStyle w:val="P68B1DB1-Normal12"/>
              <w:spacing w:after="0" w:line="240" w:lineRule="auto"/>
              <w:jc w:val="center"/>
              <w:rPr>
                <w:rFonts w:eastAsia="Times New Roman" w:cstheme="minorHAnsi"/>
                <w:noProof/>
              </w:rPr>
            </w:pPr>
            <w:r>
              <w:rPr>
                <w:noProof/>
              </w:rPr>
              <w:t>KVARTAL 3</w:t>
            </w:r>
          </w:p>
        </w:tc>
        <w:tc>
          <w:tcPr>
            <w:tcW w:w="708" w:type="dxa"/>
            <w:shd w:val="clear" w:color="auto" w:fill="C4EFCE"/>
            <w:noWrap/>
            <w:vAlign w:val="center"/>
          </w:tcPr>
          <w:p w14:paraId="51589D34" w14:textId="129F25AC"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F93B8E5" w14:textId="02E466A0" w:rsidR="00E040FD" w:rsidRDefault="00740D64">
            <w:pPr>
              <w:pStyle w:val="P68B1DB1-Normal12"/>
              <w:spacing w:after="0" w:line="240" w:lineRule="auto"/>
              <w:jc w:val="both"/>
              <w:rPr>
                <w:rFonts w:eastAsia="Times New Roman" w:cstheme="minorHAnsi"/>
                <w:noProof/>
              </w:rPr>
            </w:pPr>
            <w:r>
              <w:rPr>
                <w:noProof/>
              </w:rPr>
              <w:t>Undertecknande av kontraktet för genomförande av projektet mellan de offentliga myndigheterna och den uppdragstagare som valts ut genom ett öppet anbudsförfarande. I avtalet ska anges uppförandet av två busslinjer för snabb transitering som förbinder järnvägsstationen med sjukhuset Avenida Robert Smith och Braga.</w:t>
            </w:r>
          </w:p>
        </w:tc>
      </w:tr>
      <w:tr w:rsidR="00E040FD" w14:paraId="1EF25195" w14:textId="77777777">
        <w:trPr>
          <w:trHeight w:val="430"/>
        </w:trPr>
        <w:tc>
          <w:tcPr>
            <w:tcW w:w="1135" w:type="dxa"/>
            <w:shd w:val="clear" w:color="auto" w:fill="C4EFCE"/>
            <w:vAlign w:val="center"/>
          </w:tcPr>
          <w:p w14:paraId="360DF924" w14:textId="1F7490F1" w:rsidR="00E040FD" w:rsidRDefault="00740D64">
            <w:pPr>
              <w:pStyle w:val="P68B1DB1-Normal11"/>
              <w:spacing w:after="0" w:line="240" w:lineRule="auto"/>
              <w:jc w:val="center"/>
              <w:rPr>
                <w:rFonts w:eastAsia="Times New Roman" w:cstheme="minorHAnsi"/>
                <w:noProof/>
              </w:rPr>
            </w:pPr>
            <w:r>
              <w:rPr>
                <w:noProof/>
              </w:rPr>
              <w:t>21.39</w:t>
            </w:r>
          </w:p>
        </w:tc>
        <w:tc>
          <w:tcPr>
            <w:tcW w:w="1276" w:type="dxa"/>
            <w:shd w:val="clear" w:color="auto" w:fill="C4EFCE"/>
            <w:noWrap/>
            <w:vAlign w:val="center"/>
          </w:tcPr>
          <w:p w14:paraId="511BB843" w14:textId="506A72EC" w:rsidR="00E040FD" w:rsidRDefault="00740D64">
            <w:pPr>
              <w:pStyle w:val="P68B1DB1-Normal12"/>
              <w:spacing w:after="0" w:line="240" w:lineRule="auto"/>
              <w:jc w:val="center"/>
              <w:rPr>
                <w:rFonts w:eastAsia="Times New Roman"/>
                <w:noProof/>
              </w:rPr>
            </w:pPr>
            <w:r>
              <w:rPr>
                <w:noProof/>
              </w:rPr>
              <w:t>RP-C21-i14</w:t>
            </w:r>
          </w:p>
        </w:tc>
        <w:tc>
          <w:tcPr>
            <w:tcW w:w="1134" w:type="dxa"/>
            <w:shd w:val="clear" w:color="auto" w:fill="C4EFCE"/>
            <w:noWrap/>
            <w:vAlign w:val="center"/>
          </w:tcPr>
          <w:p w14:paraId="2F78C88B" w14:textId="006A851A"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7B24D0B" w14:textId="65A04047" w:rsidR="00E040FD" w:rsidRDefault="00740D64">
            <w:pPr>
              <w:pStyle w:val="P68B1DB1-Normal12"/>
              <w:spacing w:after="0" w:line="240" w:lineRule="auto"/>
              <w:jc w:val="center"/>
              <w:rPr>
                <w:rFonts w:eastAsia="Times New Roman" w:cstheme="minorHAnsi"/>
                <w:noProof/>
              </w:rPr>
            </w:pPr>
            <w:r>
              <w:rPr>
                <w:noProof/>
              </w:rPr>
              <w:t>Byggande av två busslinjer för snabb transitering i Braga</w:t>
            </w:r>
          </w:p>
        </w:tc>
        <w:tc>
          <w:tcPr>
            <w:tcW w:w="1275" w:type="dxa"/>
            <w:shd w:val="clear" w:color="auto" w:fill="C4EFCE"/>
            <w:noWrap/>
            <w:vAlign w:val="center"/>
          </w:tcPr>
          <w:p w14:paraId="1E4282F4"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78A689F4" w14:textId="16AF7609" w:rsidR="00E040FD" w:rsidRDefault="00740D64">
            <w:pPr>
              <w:pStyle w:val="P68B1DB1-Normal12"/>
              <w:spacing w:after="0" w:line="240" w:lineRule="auto"/>
              <w:jc w:val="center"/>
              <w:rPr>
                <w:rFonts w:eastAsia="Times New Roman" w:cstheme="minorHAnsi"/>
                <w:noProof/>
              </w:rPr>
            </w:pPr>
            <w:r>
              <w:rPr>
                <w:noProof/>
              </w:rPr>
              <w:t>Km</w:t>
            </w:r>
          </w:p>
        </w:tc>
        <w:tc>
          <w:tcPr>
            <w:tcW w:w="992" w:type="dxa"/>
            <w:shd w:val="clear" w:color="auto" w:fill="C4EFCE"/>
            <w:noWrap/>
            <w:vAlign w:val="center"/>
          </w:tcPr>
          <w:p w14:paraId="28074223"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39811327" w14:textId="644FF319" w:rsidR="00E040FD" w:rsidRDefault="00740D64">
            <w:pPr>
              <w:pStyle w:val="P68B1DB1-Normal12"/>
              <w:spacing w:after="0" w:line="240" w:lineRule="auto"/>
              <w:jc w:val="center"/>
              <w:rPr>
                <w:rFonts w:eastAsia="Times New Roman" w:cstheme="minorHAnsi"/>
                <w:noProof/>
              </w:rPr>
            </w:pPr>
            <w:r>
              <w:rPr>
                <w:noProof/>
              </w:rPr>
              <w:t>12.2</w:t>
            </w:r>
          </w:p>
        </w:tc>
        <w:tc>
          <w:tcPr>
            <w:tcW w:w="567" w:type="dxa"/>
            <w:shd w:val="clear" w:color="auto" w:fill="C4EFCE"/>
            <w:noWrap/>
            <w:vAlign w:val="center"/>
          </w:tcPr>
          <w:p w14:paraId="27C8A23A" w14:textId="6A2DF4A3" w:rsidR="00E040FD" w:rsidRDefault="00740D64">
            <w:pPr>
              <w:pStyle w:val="P68B1DB1-Normal12"/>
              <w:spacing w:after="0" w:line="240" w:lineRule="auto"/>
              <w:jc w:val="center"/>
              <w:rPr>
                <w:rFonts w:eastAsia="Times New Roman" w:cstheme="minorHAnsi"/>
                <w:noProof/>
              </w:rPr>
            </w:pPr>
            <w:r>
              <w:rPr>
                <w:noProof/>
              </w:rPr>
              <w:t>KVARTAL 2</w:t>
            </w:r>
          </w:p>
        </w:tc>
        <w:tc>
          <w:tcPr>
            <w:tcW w:w="708" w:type="dxa"/>
            <w:shd w:val="clear" w:color="auto" w:fill="C4EFCE"/>
            <w:noWrap/>
            <w:vAlign w:val="center"/>
          </w:tcPr>
          <w:p w14:paraId="5704437E" w14:textId="000EFE9D" w:rsidR="00E040FD" w:rsidRDefault="00740D6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599E09FF" w14:textId="633D041E" w:rsidR="00E040FD" w:rsidRDefault="00740D64">
            <w:pPr>
              <w:pStyle w:val="P68B1DB1-Normal12"/>
              <w:spacing w:after="0" w:line="240" w:lineRule="auto"/>
              <w:jc w:val="both"/>
              <w:rPr>
                <w:rFonts w:eastAsia="Times New Roman"/>
                <w:noProof/>
              </w:rPr>
            </w:pPr>
            <w:r>
              <w:rPr>
                <w:noProof/>
              </w:rPr>
              <w:t>Byggnadsarbeten på 12.2 kilometer ska slutföras för busslinjerna för snabb transitering i Braga (gul och röd linje), som förbinder tågstationen med sjukhuset Avenida Robert Smith och Braga. Systemet ska till största delen användas på särskilda körfält och med endast utsläppsfria bussar. Investeringen ska också omfatta inköp av tio utsläppsfria bussar, inklusive de laddningsstationer som krävs för att driva linjerna. Linjerna ska vara klara för omedelbar drift av de planerade transporttjänsterna.</w:t>
            </w:r>
          </w:p>
        </w:tc>
      </w:tr>
      <w:tr w:rsidR="00E040FD" w14:paraId="39E29B98" w14:textId="77777777">
        <w:trPr>
          <w:trHeight w:val="430"/>
        </w:trPr>
        <w:tc>
          <w:tcPr>
            <w:tcW w:w="1135" w:type="dxa"/>
            <w:shd w:val="clear" w:color="auto" w:fill="C4EFCE"/>
            <w:vAlign w:val="center"/>
          </w:tcPr>
          <w:p w14:paraId="1E15D547" w14:textId="16041CD9" w:rsidR="00E040FD" w:rsidRDefault="00740D64">
            <w:pPr>
              <w:pStyle w:val="P68B1DB1-Normal11"/>
              <w:spacing w:after="0" w:line="240" w:lineRule="auto"/>
              <w:jc w:val="center"/>
              <w:rPr>
                <w:rFonts w:eastAsia="Times New Roman" w:cstheme="minorHAnsi"/>
                <w:noProof/>
              </w:rPr>
            </w:pPr>
            <w:r>
              <w:rPr>
                <w:noProof/>
              </w:rPr>
              <w:t>21.40</w:t>
            </w:r>
          </w:p>
        </w:tc>
        <w:tc>
          <w:tcPr>
            <w:tcW w:w="1276" w:type="dxa"/>
            <w:shd w:val="clear" w:color="auto" w:fill="C4EFCE"/>
            <w:noWrap/>
            <w:vAlign w:val="center"/>
          </w:tcPr>
          <w:p w14:paraId="46A3C78E" w14:textId="1EC79D62" w:rsidR="00E040FD" w:rsidRDefault="00740D64">
            <w:pPr>
              <w:pStyle w:val="P68B1DB1-Normal12"/>
              <w:spacing w:after="0" w:line="240" w:lineRule="auto"/>
              <w:jc w:val="center"/>
              <w:rPr>
                <w:rFonts w:eastAsia="Times New Roman"/>
                <w:noProof/>
              </w:rPr>
            </w:pPr>
            <w:r>
              <w:rPr>
                <w:noProof/>
              </w:rPr>
              <w:t>RP-C21-i15-RAA</w:t>
            </w:r>
          </w:p>
        </w:tc>
        <w:tc>
          <w:tcPr>
            <w:tcW w:w="1134" w:type="dxa"/>
            <w:shd w:val="clear" w:color="auto" w:fill="C4EFCE"/>
            <w:noWrap/>
            <w:vAlign w:val="center"/>
          </w:tcPr>
          <w:p w14:paraId="142B665C" w14:textId="29FC4974"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0028DBE" w14:textId="3E426063" w:rsidR="00E040FD" w:rsidRDefault="00740D64">
            <w:pPr>
              <w:pStyle w:val="P68B1DB1-Normal12"/>
              <w:spacing w:after="0" w:line="240" w:lineRule="auto"/>
              <w:jc w:val="center"/>
              <w:rPr>
                <w:rFonts w:eastAsia="Times New Roman" w:cstheme="minorHAnsi"/>
                <w:noProof/>
              </w:rPr>
            </w:pPr>
            <w:r>
              <w:rPr>
                <w:noProof/>
              </w:rPr>
              <w:t>Undertecknande av avtalet om inköp av två elfärjor för transport av passagerare och fordon mellan öarna Pico, Faial och São Jorge</w:t>
            </w:r>
          </w:p>
        </w:tc>
        <w:tc>
          <w:tcPr>
            <w:tcW w:w="1275" w:type="dxa"/>
            <w:shd w:val="clear" w:color="auto" w:fill="C4EFCE"/>
            <w:noWrap/>
          </w:tcPr>
          <w:p w14:paraId="5D04A650" w14:textId="77777777" w:rsidR="00E040FD" w:rsidRDefault="00E040FD">
            <w:pPr>
              <w:spacing w:after="0" w:line="240" w:lineRule="auto"/>
              <w:jc w:val="center"/>
              <w:rPr>
                <w:rFonts w:eastAsia="Times New Roman" w:cstheme="minorHAnsi"/>
                <w:noProof/>
                <w:sz w:val="16"/>
              </w:rPr>
            </w:pPr>
          </w:p>
        </w:tc>
        <w:tc>
          <w:tcPr>
            <w:tcW w:w="993" w:type="dxa"/>
            <w:shd w:val="clear" w:color="auto" w:fill="C4EFCE"/>
            <w:noWrap/>
            <w:vAlign w:val="center"/>
          </w:tcPr>
          <w:p w14:paraId="166D214F"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73A389CB"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63EA367E"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2B396275" w14:textId="1FAB48B9" w:rsidR="00E040FD" w:rsidRDefault="00740D64">
            <w:pPr>
              <w:pStyle w:val="P68B1DB1-Normal12"/>
              <w:spacing w:after="0" w:line="240" w:lineRule="auto"/>
              <w:jc w:val="center"/>
              <w:rPr>
                <w:rFonts w:eastAsia="Times New Roman" w:cstheme="minorHAnsi"/>
                <w:noProof/>
              </w:rPr>
            </w:pPr>
            <w:r>
              <w:rPr>
                <w:noProof/>
              </w:rPr>
              <w:t>KVARTAL 1</w:t>
            </w:r>
          </w:p>
        </w:tc>
        <w:tc>
          <w:tcPr>
            <w:tcW w:w="708" w:type="dxa"/>
            <w:shd w:val="clear" w:color="auto" w:fill="C4EFCE"/>
            <w:noWrap/>
            <w:vAlign w:val="center"/>
          </w:tcPr>
          <w:p w14:paraId="5382DE72" w14:textId="0911A6D2"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5E9CA13D" w14:textId="0D1554CF" w:rsidR="00E040FD" w:rsidRDefault="00740D64">
            <w:pPr>
              <w:pStyle w:val="P68B1DB1-Normal12"/>
              <w:spacing w:after="0" w:line="240" w:lineRule="auto"/>
              <w:jc w:val="both"/>
              <w:rPr>
                <w:rFonts w:eastAsia="Times New Roman" w:cstheme="minorHAnsi"/>
                <w:noProof/>
              </w:rPr>
            </w:pPr>
            <w:r>
              <w:rPr>
                <w:noProof/>
              </w:rPr>
              <w:t>Undertecknande av kontraktet mellan de offentliga myndigheterna och den uppdragstagare som valts ut genom ett öppet anbudsförfarande för inköp av två elfärjor för transport av passagerare och fordon mellan öarna Pico, Faial och São Jorge.</w:t>
            </w:r>
          </w:p>
        </w:tc>
      </w:tr>
      <w:tr w:rsidR="00E040FD" w14:paraId="532849A0" w14:textId="77777777">
        <w:trPr>
          <w:trHeight w:val="430"/>
        </w:trPr>
        <w:tc>
          <w:tcPr>
            <w:tcW w:w="1135" w:type="dxa"/>
            <w:shd w:val="clear" w:color="auto" w:fill="C4EFCE"/>
            <w:vAlign w:val="center"/>
          </w:tcPr>
          <w:p w14:paraId="55C6CC28" w14:textId="1C4AEDF6" w:rsidR="00E040FD" w:rsidRDefault="00740D64">
            <w:pPr>
              <w:pStyle w:val="P68B1DB1-Normal11"/>
              <w:spacing w:after="0" w:line="240" w:lineRule="auto"/>
              <w:jc w:val="center"/>
              <w:rPr>
                <w:rFonts w:eastAsia="Times New Roman" w:cstheme="minorHAnsi"/>
                <w:noProof/>
              </w:rPr>
            </w:pPr>
            <w:r>
              <w:rPr>
                <w:noProof/>
              </w:rPr>
              <w:t>21.41</w:t>
            </w:r>
          </w:p>
        </w:tc>
        <w:tc>
          <w:tcPr>
            <w:tcW w:w="1276" w:type="dxa"/>
            <w:shd w:val="clear" w:color="auto" w:fill="C4EFCE"/>
            <w:noWrap/>
            <w:vAlign w:val="center"/>
          </w:tcPr>
          <w:p w14:paraId="4692FE69" w14:textId="6AED7451" w:rsidR="00E040FD" w:rsidRDefault="00740D64">
            <w:pPr>
              <w:pStyle w:val="P68B1DB1-Normal12"/>
              <w:spacing w:after="0" w:line="240" w:lineRule="auto"/>
              <w:jc w:val="center"/>
              <w:rPr>
                <w:rFonts w:eastAsia="Times New Roman"/>
                <w:noProof/>
              </w:rPr>
            </w:pPr>
            <w:r>
              <w:rPr>
                <w:noProof/>
              </w:rPr>
              <w:t>RP-C21-i15-RAA</w:t>
            </w:r>
          </w:p>
        </w:tc>
        <w:tc>
          <w:tcPr>
            <w:tcW w:w="1134" w:type="dxa"/>
            <w:shd w:val="clear" w:color="auto" w:fill="C4EFCE"/>
            <w:noWrap/>
            <w:vAlign w:val="center"/>
          </w:tcPr>
          <w:p w14:paraId="1036E0DB" w14:textId="5894D827"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45CFBD1" w14:textId="6135298E" w:rsidR="00E040FD" w:rsidRDefault="00740D64">
            <w:pPr>
              <w:pStyle w:val="P68B1DB1-Normal12"/>
              <w:spacing w:after="0" w:line="240" w:lineRule="auto"/>
              <w:jc w:val="center"/>
              <w:rPr>
                <w:rFonts w:eastAsia="Times New Roman" w:cstheme="minorHAnsi"/>
                <w:noProof/>
              </w:rPr>
            </w:pPr>
            <w:r>
              <w:rPr>
                <w:noProof/>
              </w:rPr>
              <w:t>Två nya elfärjor tas i drift</w:t>
            </w:r>
          </w:p>
        </w:tc>
        <w:tc>
          <w:tcPr>
            <w:tcW w:w="1275" w:type="dxa"/>
            <w:shd w:val="clear" w:color="auto" w:fill="C4EFCE"/>
            <w:noWrap/>
          </w:tcPr>
          <w:p w14:paraId="1E3534A1" w14:textId="4F88212C" w:rsidR="00E040FD" w:rsidRDefault="00740D6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7A30C4B3" w14:textId="346D871A" w:rsidR="00E040FD" w:rsidRDefault="00740D64">
            <w:pPr>
              <w:pStyle w:val="P68B1DB1-Normal12"/>
              <w:spacing w:after="0" w:line="240" w:lineRule="auto"/>
              <w:jc w:val="center"/>
              <w:rPr>
                <w:rFonts w:eastAsia="Times New Roman" w:cstheme="minorHAnsi"/>
                <w:noProof/>
              </w:rPr>
            </w:pPr>
            <w:r>
              <w:rPr>
                <w:noProof/>
              </w:rPr>
              <w:t>Antal</w:t>
            </w:r>
          </w:p>
        </w:tc>
        <w:tc>
          <w:tcPr>
            <w:tcW w:w="992" w:type="dxa"/>
            <w:shd w:val="clear" w:color="auto" w:fill="C4EFCE"/>
            <w:noWrap/>
            <w:vAlign w:val="center"/>
          </w:tcPr>
          <w:p w14:paraId="3BF6FA6B"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0CF1AA39" w14:textId="68E4BC6C" w:rsidR="00E040FD" w:rsidRDefault="00740D64">
            <w:pPr>
              <w:pStyle w:val="P68B1DB1-Normal12"/>
              <w:spacing w:after="0" w:line="240" w:lineRule="auto"/>
              <w:jc w:val="center"/>
              <w:rPr>
                <w:rFonts w:eastAsia="Times New Roman" w:cstheme="minorHAnsi"/>
                <w:noProof/>
              </w:rPr>
            </w:pPr>
            <w:r>
              <w:rPr>
                <w:noProof/>
              </w:rPr>
              <w:t>2</w:t>
            </w:r>
          </w:p>
        </w:tc>
        <w:tc>
          <w:tcPr>
            <w:tcW w:w="567" w:type="dxa"/>
            <w:shd w:val="clear" w:color="auto" w:fill="C4EFCE"/>
            <w:noWrap/>
            <w:vAlign w:val="center"/>
          </w:tcPr>
          <w:p w14:paraId="2E1C0DE5" w14:textId="2A1D5C1E" w:rsidR="00E040FD" w:rsidRDefault="00740D64">
            <w:pPr>
              <w:pStyle w:val="P68B1DB1-Normal12"/>
              <w:spacing w:after="0" w:line="240" w:lineRule="auto"/>
              <w:jc w:val="center"/>
              <w:rPr>
                <w:rFonts w:eastAsia="Times New Roman" w:cstheme="minorHAnsi"/>
                <w:noProof/>
              </w:rPr>
            </w:pPr>
            <w:r>
              <w:rPr>
                <w:noProof/>
              </w:rPr>
              <w:t>KVARTAL 4</w:t>
            </w:r>
          </w:p>
        </w:tc>
        <w:tc>
          <w:tcPr>
            <w:tcW w:w="708" w:type="dxa"/>
            <w:shd w:val="clear" w:color="auto" w:fill="C4EFCE"/>
            <w:noWrap/>
            <w:vAlign w:val="center"/>
          </w:tcPr>
          <w:p w14:paraId="054DE515" w14:textId="4363BF6B" w:rsidR="00E040FD" w:rsidRDefault="00740D6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185A16C5" w14:textId="6AA0A3D6" w:rsidR="00E040FD" w:rsidRDefault="00740D64">
            <w:pPr>
              <w:pStyle w:val="P68B1DB1-Normal12"/>
              <w:spacing w:after="0" w:line="240" w:lineRule="auto"/>
              <w:jc w:val="both"/>
              <w:rPr>
                <w:rFonts w:eastAsia="Times New Roman" w:cstheme="minorHAnsi"/>
                <w:noProof/>
              </w:rPr>
            </w:pPr>
            <w:r>
              <w:rPr>
                <w:noProof/>
              </w:rPr>
              <w:t>Två nya elfärjor ska köpas in och användas för transport av passagerare och fordon mellan öarna Pico, Faial och São Jorge. Färjorna ska ha en kapacitet på minst 200 respektive 100 passagerare.</w:t>
            </w:r>
          </w:p>
        </w:tc>
      </w:tr>
      <w:tr w:rsidR="00E040FD" w14:paraId="1DF1176B" w14:textId="77777777">
        <w:trPr>
          <w:trHeight w:val="430"/>
        </w:trPr>
        <w:tc>
          <w:tcPr>
            <w:tcW w:w="1135" w:type="dxa"/>
            <w:shd w:val="clear" w:color="auto" w:fill="C4EFCE"/>
            <w:vAlign w:val="center"/>
          </w:tcPr>
          <w:p w14:paraId="3EF0FD70" w14:textId="48FA3140" w:rsidR="00E040FD" w:rsidRDefault="00740D64">
            <w:pPr>
              <w:pStyle w:val="P68B1DB1-Normal11"/>
              <w:spacing w:after="0" w:line="240" w:lineRule="auto"/>
              <w:jc w:val="center"/>
              <w:rPr>
                <w:rFonts w:eastAsia="Times New Roman" w:cstheme="minorHAnsi"/>
                <w:noProof/>
              </w:rPr>
            </w:pPr>
            <w:r>
              <w:rPr>
                <w:noProof/>
              </w:rPr>
              <w:t>21.42</w:t>
            </w:r>
          </w:p>
        </w:tc>
        <w:tc>
          <w:tcPr>
            <w:tcW w:w="1276" w:type="dxa"/>
            <w:shd w:val="clear" w:color="auto" w:fill="C4EFCE"/>
            <w:noWrap/>
            <w:vAlign w:val="center"/>
          </w:tcPr>
          <w:p w14:paraId="3E37980A" w14:textId="32943EB6" w:rsidR="00E040FD" w:rsidRDefault="00740D64">
            <w:pPr>
              <w:pStyle w:val="P68B1DB1-Normal12"/>
              <w:spacing w:after="0" w:line="240" w:lineRule="auto"/>
              <w:jc w:val="center"/>
              <w:rPr>
                <w:rFonts w:eastAsia="Times New Roman"/>
                <w:noProof/>
              </w:rPr>
            </w:pPr>
            <w:r>
              <w:rPr>
                <w:noProof/>
              </w:rPr>
              <w:t>RP-C21-i16</w:t>
            </w:r>
          </w:p>
        </w:tc>
        <w:tc>
          <w:tcPr>
            <w:tcW w:w="1134" w:type="dxa"/>
            <w:shd w:val="clear" w:color="auto" w:fill="C4EFCE"/>
            <w:noWrap/>
            <w:vAlign w:val="center"/>
          </w:tcPr>
          <w:p w14:paraId="75D0961D" w14:textId="5C584069" w:rsidR="00E040FD" w:rsidRDefault="00740D6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5E1BD89C" w14:textId="0763BBE2" w:rsidR="00E040FD" w:rsidRDefault="00740D64">
            <w:pPr>
              <w:pStyle w:val="P68B1DB1-Normal12"/>
              <w:spacing w:after="0" w:line="240" w:lineRule="auto"/>
              <w:jc w:val="center"/>
              <w:rPr>
                <w:rFonts w:eastAsia="Times New Roman" w:cstheme="minorHAnsi"/>
                <w:noProof/>
              </w:rPr>
            </w:pPr>
            <w:r>
              <w:rPr>
                <w:noProof/>
              </w:rPr>
              <w:t>Undertecknande av kontraktet för genomförandet av projektet</w:t>
            </w:r>
          </w:p>
        </w:tc>
        <w:tc>
          <w:tcPr>
            <w:tcW w:w="1275" w:type="dxa"/>
            <w:shd w:val="clear" w:color="auto" w:fill="C4EFCE"/>
            <w:noWrap/>
            <w:vAlign w:val="center"/>
          </w:tcPr>
          <w:p w14:paraId="6D51BF19" w14:textId="1E92AFD0" w:rsidR="00E040FD" w:rsidRDefault="00740D64">
            <w:pPr>
              <w:pStyle w:val="P68B1DB1-Normal12"/>
              <w:spacing w:after="0" w:line="240" w:lineRule="auto"/>
              <w:jc w:val="center"/>
              <w:rPr>
                <w:rFonts w:eastAsia="Times New Roman" w:cstheme="minorHAnsi"/>
                <w:noProof/>
              </w:rPr>
            </w:pPr>
            <w:r>
              <w:rPr>
                <w:noProof/>
              </w:rPr>
              <w:t>Undertecknande av kontraktet</w:t>
            </w:r>
          </w:p>
        </w:tc>
        <w:tc>
          <w:tcPr>
            <w:tcW w:w="993" w:type="dxa"/>
            <w:shd w:val="clear" w:color="auto" w:fill="C4EFCE"/>
            <w:noWrap/>
            <w:vAlign w:val="center"/>
          </w:tcPr>
          <w:p w14:paraId="741D0788"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18B6EA83"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3C4F720A"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4ED6CA4A" w14:textId="7C6F7542" w:rsidR="00E040FD" w:rsidRDefault="00740D64">
            <w:pPr>
              <w:pStyle w:val="P68B1DB1-Normal12"/>
              <w:spacing w:after="0" w:line="240" w:lineRule="auto"/>
              <w:jc w:val="center"/>
              <w:rPr>
                <w:rFonts w:eastAsia="Times New Roman" w:cstheme="minorHAnsi"/>
                <w:noProof/>
              </w:rPr>
            </w:pPr>
            <w:r>
              <w:rPr>
                <w:noProof/>
              </w:rPr>
              <w:t>KVARTAL 3</w:t>
            </w:r>
          </w:p>
        </w:tc>
        <w:tc>
          <w:tcPr>
            <w:tcW w:w="708" w:type="dxa"/>
            <w:shd w:val="clear" w:color="auto" w:fill="C4EFCE"/>
            <w:noWrap/>
            <w:vAlign w:val="center"/>
          </w:tcPr>
          <w:p w14:paraId="211B5EDD" w14:textId="5AF255BE" w:rsidR="00E040FD" w:rsidRDefault="00740D6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3212FFEE" w14:textId="40EC26CF" w:rsidR="00E040FD" w:rsidRDefault="00740D64">
            <w:pPr>
              <w:pStyle w:val="P68B1DB1-Normal12"/>
              <w:spacing w:after="0" w:line="240" w:lineRule="auto"/>
              <w:jc w:val="both"/>
              <w:rPr>
                <w:rFonts w:eastAsia="Times New Roman" w:cstheme="minorHAnsi"/>
                <w:noProof/>
              </w:rPr>
            </w:pPr>
            <w:r>
              <w:rPr>
                <w:noProof/>
              </w:rPr>
              <w:t>Undertecknande av kontraktet för genomförande av projektet mellan de offentliga myndigheterna och den uppdragstagare som valts ut genom ett internationellt öppet anbudsförfarande.</w:t>
            </w:r>
          </w:p>
        </w:tc>
      </w:tr>
      <w:tr w:rsidR="00E040FD" w14:paraId="529C25C3" w14:textId="77777777">
        <w:trPr>
          <w:trHeight w:val="430"/>
        </w:trPr>
        <w:tc>
          <w:tcPr>
            <w:tcW w:w="1135" w:type="dxa"/>
            <w:shd w:val="clear" w:color="auto" w:fill="C4EFCE"/>
            <w:vAlign w:val="center"/>
          </w:tcPr>
          <w:p w14:paraId="2ADCAD91" w14:textId="62A09313" w:rsidR="00E040FD" w:rsidRDefault="00740D64">
            <w:pPr>
              <w:pStyle w:val="P68B1DB1-Normal11"/>
              <w:spacing w:after="0" w:line="240" w:lineRule="auto"/>
              <w:jc w:val="center"/>
              <w:rPr>
                <w:rFonts w:eastAsia="Times New Roman" w:cstheme="minorHAnsi"/>
                <w:noProof/>
              </w:rPr>
            </w:pPr>
            <w:r>
              <w:rPr>
                <w:noProof/>
              </w:rPr>
              <w:t>21.43</w:t>
            </w:r>
          </w:p>
        </w:tc>
        <w:tc>
          <w:tcPr>
            <w:tcW w:w="1276" w:type="dxa"/>
            <w:shd w:val="clear" w:color="auto" w:fill="C4EFCE"/>
            <w:noWrap/>
            <w:vAlign w:val="center"/>
          </w:tcPr>
          <w:p w14:paraId="6EFB5CCE" w14:textId="7C36AC8C" w:rsidR="00E040FD" w:rsidRDefault="00740D64">
            <w:pPr>
              <w:pStyle w:val="P68B1DB1-Normal12"/>
              <w:spacing w:after="0" w:line="240" w:lineRule="auto"/>
              <w:jc w:val="center"/>
              <w:rPr>
                <w:rFonts w:eastAsia="Times New Roman"/>
                <w:noProof/>
              </w:rPr>
            </w:pPr>
            <w:r>
              <w:rPr>
                <w:noProof/>
              </w:rPr>
              <w:t>RP-C21-i16</w:t>
            </w:r>
          </w:p>
        </w:tc>
        <w:tc>
          <w:tcPr>
            <w:tcW w:w="1134" w:type="dxa"/>
            <w:shd w:val="clear" w:color="auto" w:fill="C4EFCE"/>
            <w:noWrap/>
            <w:vAlign w:val="center"/>
          </w:tcPr>
          <w:p w14:paraId="3C242F77" w14:textId="218D6D72" w:rsidR="00E040FD" w:rsidRDefault="00740D6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33DBFF8" w14:textId="384221C4" w:rsidR="00E040FD" w:rsidRDefault="00740D64">
            <w:pPr>
              <w:pStyle w:val="P68B1DB1-Normal12"/>
              <w:spacing w:after="0" w:line="240" w:lineRule="auto"/>
              <w:jc w:val="center"/>
              <w:rPr>
                <w:rFonts w:eastAsia="Times New Roman"/>
                <w:noProof/>
              </w:rPr>
            </w:pPr>
            <w:r>
              <w:rPr>
                <w:noProof/>
              </w:rPr>
              <w:t>Konstruktion av en bergbana</w:t>
            </w:r>
          </w:p>
        </w:tc>
        <w:tc>
          <w:tcPr>
            <w:tcW w:w="1275" w:type="dxa"/>
            <w:shd w:val="clear" w:color="auto" w:fill="C4EFCE"/>
            <w:noWrap/>
            <w:vAlign w:val="center"/>
          </w:tcPr>
          <w:p w14:paraId="02FA81D6" w14:textId="764DECD3" w:rsidR="00E040FD" w:rsidRDefault="00740D64">
            <w:pPr>
              <w:pStyle w:val="P68B1DB1-Normal12"/>
              <w:spacing w:after="0" w:line="240" w:lineRule="auto"/>
              <w:jc w:val="center"/>
              <w:rPr>
                <w:rFonts w:eastAsia="Times New Roman" w:cstheme="minorHAnsi"/>
                <w:noProof/>
              </w:rPr>
            </w:pPr>
            <w:r>
              <w:rPr>
                <w:noProof/>
              </w:rPr>
              <w:t>Genomförande</w:t>
            </w:r>
          </w:p>
        </w:tc>
        <w:tc>
          <w:tcPr>
            <w:tcW w:w="993" w:type="dxa"/>
            <w:shd w:val="clear" w:color="auto" w:fill="C4EFCE"/>
            <w:noWrap/>
            <w:vAlign w:val="center"/>
          </w:tcPr>
          <w:p w14:paraId="5F53A211"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267D5047" w14:textId="77777777" w:rsidR="00E040FD" w:rsidRDefault="00E040FD">
            <w:pPr>
              <w:spacing w:after="0" w:line="240" w:lineRule="auto"/>
              <w:jc w:val="center"/>
              <w:rPr>
                <w:rFonts w:eastAsia="Times New Roman" w:cstheme="minorHAnsi"/>
                <w:noProof/>
                <w:sz w:val="16"/>
              </w:rPr>
            </w:pPr>
          </w:p>
        </w:tc>
        <w:tc>
          <w:tcPr>
            <w:tcW w:w="992" w:type="dxa"/>
            <w:shd w:val="clear" w:color="auto" w:fill="C4EFCE"/>
            <w:noWrap/>
            <w:vAlign w:val="center"/>
          </w:tcPr>
          <w:p w14:paraId="307D8611" w14:textId="77777777" w:rsidR="00E040FD" w:rsidRDefault="00E040FD">
            <w:pPr>
              <w:spacing w:after="0" w:line="240" w:lineRule="auto"/>
              <w:jc w:val="center"/>
              <w:rPr>
                <w:rFonts w:eastAsia="Times New Roman" w:cstheme="minorHAnsi"/>
                <w:noProof/>
                <w:sz w:val="16"/>
              </w:rPr>
            </w:pPr>
          </w:p>
        </w:tc>
        <w:tc>
          <w:tcPr>
            <w:tcW w:w="567" w:type="dxa"/>
            <w:shd w:val="clear" w:color="auto" w:fill="C4EFCE"/>
            <w:noWrap/>
            <w:vAlign w:val="center"/>
          </w:tcPr>
          <w:p w14:paraId="5A8CFE96" w14:textId="2683462D" w:rsidR="00E040FD" w:rsidRDefault="00740D64">
            <w:pPr>
              <w:pStyle w:val="P68B1DB1-Normal12"/>
              <w:spacing w:after="0" w:line="240" w:lineRule="auto"/>
              <w:jc w:val="center"/>
              <w:rPr>
                <w:rFonts w:eastAsia="Times New Roman" w:cstheme="minorHAnsi"/>
                <w:noProof/>
              </w:rPr>
            </w:pPr>
            <w:r>
              <w:rPr>
                <w:noProof/>
              </w:rPr>
              <w:t>KVARTAL 1</w:t>
            </w:r>
          </w:p>
        </w:tc>
        <w:tc>
          <w:tcPr>
            <w:tcW w:w="708" w:type="dxa"/>
            <w:shd w:val="clear" w:color="auto" w:fill="C4EFCE"/>
            <w:noWrap/>
            <w:vAlign w:val="center"/>
          </w:tcPr>
          <w:p w14:paraId="6E0F941C" w14:textId="1527F901" w:rsidR="00E040FD" w:rsidRDefault="00740D6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6B1EB48" w14:textId="691924FE" w:rsidR="00E040FD" w:rsidRDefault="00740D64">
            <w:pPr>
              <w:pStyle w:val="P68B1DB1-Normal12"/>
              <w:spacing w:after="0" w:line="240" w:lineRule="auto"/>
              <w:jc w:val="both"/>
              <w:rPr>
                <w:rFonts w:eastAsia="Times New Roman"/>
                <w:noProof/>
              </w:rPr>
            </w:pPr>
            <w:r>
              <w:rPr>
                <w:noProof/>
              </w:rPr>
              <w:t>En mekanisk transportlösning (funikulär) på cirka 200 meter ska vara klar för omedelbar drift och förbinda Pedreneiraområdet med den nedre delen av byn Nazaré.</w:t>
            </w:r>
          </w:p>
        </w:tc>
      </w:tr>
    </w:tbl>
    <w:p w14:paraId="35ED878F" w14:textId="77777777" w:rsidR="00E040FD" w:rsidRDefault="00E040FD">
      <w:pPr>
        <w:spacing w:after="0"/>
        <w:jc w:val="both"/>
        <w:rPr>
          <w:rFonts w:ascii="Times New Roman" w:hAnsi="Times New Roman" w:cs="Times New Roman"/>
          <w:noProof/>
          <w:sz w:val="24"/>
        </w:rPr>
        <w:sectPr w:rsidR="00E040FD" w:rsidSect="00587917">
          <w:headerReference w:type="even" r:id="rId374"/>
          <w:headerReference w:type="default" r:id="rId375"/>
          <w:footerReference w:type="even" r:id="rId376"/>
          <w:footerReference w:type="default" r:id="rId377"/>
          <w:headerReference w:type="first" r:id="rId378"/>
          <w:footerReference w:type="first" r:id="rId379"/>
          <w:pgSz w:w="16838" w:h="11906" w:orient="landscape"/>
          <w:pgMar w:top="1134" w:right="1134" w:bottom="1134" w:left="1134" w:header="567" w:footer="567" w:gutter="0"/>
          <w:cols w:space="708"/>
          <w:docGrid w:linePitch="360"/>
        </w:sectPr>
      </w:pPr>
    </w:p>
    <w:p w14:paraId="236D10E6" w14:textId="66A5EAFD" w:rsidR="00E040FD" w:rsidRDefault="00740D64">
      <w:pPr>
        <w:pStyle w:val="P68B1DB1-Normal3"/>
        <w:keepNext/>
        <w:spacing w:before="40" w:after="0" w:line="259" w:lineRule="auto"/>
        <w:ind w:left="130" w:firstLine="720"/>
        <w:jc w:val="both"/>
        <w:outlineLvl w:val="1"/>
        <w:rPr>
          <w:rFonts w:eastAsiaTheme="minorEastAsia" w:cs="Times New Roman"/>
          <w:noProof/>
        </w:rPr>
      </w:pPr>
      <w:r>
        <w:rPr>
          <w:noProof/>
        </w:rPr>
        <w:t>V. KOMPONENT 22: Revision och kontroller</w:t>
      </w:r>
    </w:p>
    <w:p w14:paraId="44234FA0"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12542E50" w14:textId="77777777"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V.1. Beskrivning av reformen</w:t>
      </w:r>
    </w:p>
    <w:p w14:paraId="4C7B8830" w14:textId="27F623A3" w:rsidR="00E040FD" w:rsidRDefault="00740D64">
      <w:pPr>
        <w:pStyle w:val="P68B1DB1-Normal5"/>
        <w:keepNext/>
        <w:spacing w:before="240" w:after="0" w:line="259" w:lineRule="auto"/>
        <w:ind w:left="851"/>
        <w:jc w:val="both"/>
        <w:outlineLvl w:val="2"/>
        <w:rPr>
          <w:rFonts w:eastAsiaTheme="minorEastAsia" w:cs="Times New Roman"/>
          <w:noProof/>
        </w:rPr>
      </w:pPr>
      <w:r>
        <w:rPr>
          <w:noProof/>
        </w:rPr>
        <w:t>Reform RE-C22 – r49: Arrangemang för övervakning och genomförande av återhämtnings- och resiliensplanen</w:t>
      </w:r>
    </w:p>
    <w:p w14:paraId="180C4631" w14:textId="314000A4" w:rsidR="00E040FD" w:rsidRDefault="00740D64">
      <w:pPr>
        <w:pStyle w:val="P68B1DB1-Normal4"/>
        <w:spacing w:after="0" w:line="240" w:lineRule="auto"/>
        <w:jc w:val="both"/>
        <w:rPr>
          <w:rFonts w:cs="Times New Roman"/>
          <w:noProof/>
        </w:rPr>
      </w:pPr>
      <w:r>
        <w:rPr>
          <w:noProof/>
        </w:rPr>
        <w:t>Syftet med åtgärden är att förbättra övervakningen och genomförandet av planen för återhämtning och resiliens. För att säkerställa ett effektivt genomförande av proportionella åtgärder för bedrägeribekämpning och korruptionsbekämpning ska Portugal ändra de avtal som undertecknats mellan samordningsorganet EMRP och alla myndigheter som ansvarar för genomförandet av återhämtnings- och resiliensplanen för att lägga till en rättslig skyldighet för genomförandeorganen att göra en bedömning av bedrägeririsken inom tre månader efter ändringen av deras kontrakt och, om bedrägeririskbedömningen identifierar risker som inte omfattas av de befintliga kontrollerna, utarbeta en handlingsplan med ytterligare kontroller. Denna skyldighet ska återspeglas i samordningsorganets förfarandehandbok. Samordningsorganet ska också formellt meddela alla genomförandeorgan en teknisk vägledning för att stödja dem i utförandet av bedömningen av bedrägeririsken. Portugal ska dessutom förbättra förfarandena för att minska eller minska risken för dubbelfinansiering genom att införa effektiva systematiska dubbelkontroller av ansökningar om potentiell finansiering inom faciliteten för återhämtning och resiliens och mellan faciliteten för återhämtning och resiliens och andra unionsprogram, i enlighet med principen om sund ekonomisk förvaltning. Samordningsorganet ska lägga fram ett dokument som beskriver de föreslagna detaljerade dubbelkontrollerna av dubbelfinansiering för att bekräfta att det finns lämpliga förfaranden för att undvika dubbelfinansiering.</w:t>
      </w:r>
    </w:p>
    <w:p w14:paraId="74765BC7" w14:textId="77777777" w:rsidR="00E040FD" w:rsidRDefault="00E040FD">
      <w:pPr>
        <w:spacing w:before="40" w:after="0" w:line="259" w:lineRule="auto"/>
        <w:jc w:val="both"/>
        <w:rPr>
          <w:rFonts w:ascii="Times New Roman" w:hAnsi="Times New Roman" w:cs="Times New Roman"/>
          <w:noProof/>
          <w:sz w:val="24"/>
        </w:rPr>
        <w:sectPr w:rsidR="00E040FD" w:rsidSect="00737670">
          <w:headerReference w:type="even" r:id="rId380"/>
          <w:headerReference w:type="default" r:id="rId381"/>
          <w:footerReference w:type="even" r:id="rId382"/>
          <w:footerReference w:type="default" r:id="rId383"/>
          <w:headerReference w:type="first" r:id="rId384"/>
          <w:footerReference w:type="first" r:id="rId385"/>
          <w:pgSz w:w="11906" w:h="16838"/>
          <w:pgMar w:top="1134" w:right="1134" w:bottom="1134" w:left="1134" w:header="567" w:footer="567" w:gutter="0"/>
          <w:cols w:space="708"/>
          <w:docGrid w:linePitch="360"/>
        </w:sectPr>
      </w:pPr>
    </w:p>
    <w:p w14:paraId="3636EC65" w14:textId="77777777" w:rsidR="00E040FD" w:rsidRDefault="00E040FD">
      <w:pPr>
        <w:spacing w:before="40" w:after="0" w:line="259" w:lineRule="auto"/>
        <w:jc w:val="both"/>
        <w:rPr>
          <w:rFonts w:ascii="Times New Roman" w:hAnsi="Times New Roman" w:cs="Times New Roman"/>
          <w:noProof/>
          <w:sz w:val="24"/>
        </w:rPr>
      </w:pPr>
    </w:p>
    <w:p w14:paraId="2CBAD660" w14:textId="647AAFB2" w:rsidR="00E040FD" w:rsidRDefault="00740D64">
      <w:pPr>
        <w:pStyle w:val="P68B1DB1-Normal3"/>
        <w:keepNext/>
        <w:spacing w:before="40" w:after="0" w:line="259" w:lineRule="auto"/>
        <w:ind w:left="130" w:firstLine="720"/>
        <w:jc w:val="both"/>
        <w:outlineLvl w:val="2"/>
        <w:rPr>
          <w:rFonts w:eastAsiaTheme="minorEastAsia" w:cs="Times New Roman"/>
          <w:noProof/>
        </w:rPr>
      </w:pPr>
      <w:r>
        <w:rPr>
          <w:noProof/>
        </w:rPr>
        <w:t>V.2. Delmål, mål, indikatorer och tidsplan för övervakning och genomförande</w:t>
      </w:r>
    </w:p>
    <w:p w14:paraId="68A62073" w14:textId="77777777"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984"/>
        <w:gridCol w:w="1134"/>
        <w:gridCol w:w="851"/>
        <w:gridCol w:w="992"/>
        <w:gridCol w:w="709"/>
        <w:gridCol w:w="567"/>
        <w:gridCol w:w="708"/>
        <w:gridCol w:w="4395"/>
      </w:tblGrid>
      <w:tr w:rsidR="00E040FD" w14:paraId="7A27D3D1" w14:textId="77777777">
        <w:trPr>
          <w:trHeight w:val="300"/>
          <w:tblHeader/>
        </w:trPr>
        <w:tc>
          <w:tcPr>
            <w:tcW w:w="1135" w:type="dxa"/>
            <w:vMerge w:val="restart"/>
            <w:shd w:val="clear" w:color="auto" w:fill="BDD6EE"/>
            <w:vAlign w:val="center"/>
            <w:hideMark/>
          </w:tcPr>
          <w:p w14:paraId="5CC94774"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276" w:type="dxa"/>
            <w:vMerge w:val="restart"/>
            <w:shd w:val="clear" w:color="auto" w:fill="BDD6EE"/>
            <w:noWrap/>
            <w:vAlign w:val="center"/>
            <w:hideMark/>
          </w:tcPr>
          <w:p w14:paraId="30C71F68" w14:textId="77777777" w:rsidR="00E040FD" w:rsidRDefault="00740D64">
            <w:pPr>
              <w:pStyle w:val="P68B1DB1-Normal6"/>
              <w:spacing w:after="0" w:line="240" w:lineRule="auto"/>
              <w:jc w:val="center"/>
              <w:rPr>
                <w:rFonts w:eastAsia="Times New Roman" w:cs="Times New Roman"/>
                <w:noProof/>
              </w:rPr>
            </w:pPr>
            <w:r>
              <w:rPr>
                <w:noProof/>
              </w:rPr>
              <w:t>Åtgärd (reform eller investering)</w:t>
            </w:r>
          </w:p>
        </w:tc>
        <w:tc>
          <w:tcPr>
            <w:tcW w:w="1134" w:type="dxa"/>
            <w:vMerge w:val="restart"/>
            <w:shd w:val="clear" w:color="auto" w:fill="BDD6EE"/>
            <w:noWrap/>
            <w:vAlign w:val="center"/>
            <w:hideMark/>
          </w:tcPr>
          <w:p w14:paraId="620CB2B2" w14:textId="77777777" w:rsidR="00E040FD" w:rsidRDefault="00740D64">
            <w:pPr>
              <w:pStyle w:val="P68B1DB1-Normal6"/>
              <w:spacing w:after="0" w:line="240" w:lineRule="auto"/>
              <w:jc w:val="center"/>
              <w:rPr>
                <w:rFonts w:eastAsia="Times New Roman" w:cs="Times New Roman"/>
                <w:noProof/>
              </w:rPr>
            </w:pPr>
            <w:r>
              <w:rPr>
                <w:noProof/>
              </w:rPr>
              <w:t>Delmål/mål</w:t>
            </w:r>
          </w:p>
        </w:tc>
        <w:tc>
          <w:tcPr>
            <w:tcW w:w="1984" w:type="dxa"/>
            <w:vMerge w:val="restart"/>
            <w:shd w:val="clear" w:color="auto" w:fill="BDD6EE"/>
            <w:noWrap/>
            <w:vAlign w:val="center"/>
            <w:hideMark/>
          </w:tcPr>
          <w:p w14:paraId="1C302F4F" w14:textId="77777777" w:rsidR="00E040FD" w:rsidRDefault="00740D64">
            <w:pPr>
              <w:pStyle w:val="P68B1DB1-Normal6"/>
              <w:spacing w:after="0" w:line="240" w:lineRule="auto"/>
              <w:jc w:val="center"/>
              <w:rPr>
                <w:rFonts w:eastAsia="Times New Roman" w:cs="Times New Roman"/>
                <w:noProof/>
              </w:rPr>
            </w:pPr>
            <w:r>
              <w:rPr>
                <w:noProof/>
              </w:rPr>
              <w:t>Namn</w:t>
            </w:r>
          </w:p>
        </w:tc>
        <w:tc>
          <w:tcPr>
            <w:tcW w:w="1134" w:type="dxa"/>
            <w:vMerge w:val="restart"/>
            <w:shd w:val="clear" w:color="auto" w:fill="BDD6EE"/>
            <w:noWrap/>
            <w:vAlign w:val="center"/>
            <w:hideMark/>
          </w:tcPr>
          <w:p w14:paraId="7F93989A" w14:textId="77777777" w:rsidR="00E040FD" w:rsidRDefault="00740D64">
            <w:pPr>
              <w:pStyle w:val="P68B1DB1-Normal6"/>
              <w:spacing w:after="0" w:line="240" w:lineRule="auto"/>
              <w:jc w:val="center"/>
              <w:rPr>
                <w:rFonts w:eastAsia="Times New Roman" w:cs="Times New Roman"/>
                <w:noProof/>
              </w:rPr>
            </w:pPr>
            <w:r>
              <w:rPr>
                <w:noProof/>
              </w:rPr>
              <w:t>Kvalitativa indikatorer (för delmål)</w:t>
            </w:r>
          </w:p>
        </w:tc>
        <w:tc>
          <w:tcPr>
            <w:tcW w:w="2552" w:type="dxa"/>
            <w:gridSpan w:val="3"/>
            <w:shd w:val="clear" w:color="auto" w:fill="BDD6EE"/>
            <w:noWrap/>
            <w:vAlign w:val="center"/>
            <w:hideMark/>
          </w:tcPr>
          <w:p w14:paraId="5C5240E8" w14:textId="77777777" w:rsidR="00E040FD" w:rsidRDefault="00740D64">
            <w:pPr>
              <w:pStyle w:val="P68B1DB1-Normal6"/>
              <w:spacing w:after="0" w:line="240" w:lineRule="auto"/>
              <w:jc w:val="center"/>
              <w:rPr>
                <w:rFonts w:eastAsia="Times New Roman" w:cs="Times New Roman"/>
                <w:noProof/>
              </w:rPr>
            </w:pPr>
            <w:r>
              <w:rPr>
                <w:noProof/>
              </w:rPr>
              <w:t>Kvantitativa indikatorer (för mål)</w:t>
            </w:r>
          </w:p>
        </w:tc>
        <w:tc>
          <w:tcPr>
            <w:tcW w:w="1275" w:type="dxa"/>
            <w:gridSpan w:val="2"/>
            <w:shd w:val="clear" w:color="auto" w:fill="BDD6EE"/>
            <w:noWrap/>
            <w:vAlign w:val="center"/>
            <w:hideMark/>
          </w:tcPr>
          <w:p w14:paraId="5A90F2F3" w14:textId="77777777" w:rsidR="00E040FD" w:rsidRDefault="00740D64">
            <w:pPr>
              <w:pStyle w:val="P68B1DB1-Normal6"/>
              <w:spacing w:after="0" w:line="240" w:lineRule="auto"/>
              <w:jc w:val="center"/>
              <w:rPr>
                <w:rFonts w:eastAsia="Times New Roman" w:cs="Times New Roman"/>
                <w:noProof/>
              </w:rPr>
            </w:pPr>
            <w:r>
              <w:rPr>
                <w:noProof/>
              </w:rPr>
              <w:t>Tidsplan för slutförande</w:t>
            </w:r>
          </w:p>
        </w:tc>
        <w:tc>
          <w:tcPr>
            <w:tcW w:w="4395" w:type="dxa"/>
            <w:vMerge w:val="restart"/>
            <w:shd w:val="clear" w:color="auto" w:fill="BDD6EE"/>
            <w:vAlign w:val="center"/>
            <w:hideMark/>
          </w:tcPr>
          <w:p w14:paraId="05C538FC" w14:textId="77777777" w:rsidR="00E040FD" w:rsidRDefault="00740D64">
            <w:pPr>
              <w:pStyle w:val="P68B1DB1-Normal6"/>
              <w:spacing w:after="0" w:line="240" w:lineRule="auto"/>
              <w:jc w:val="center"/>
              <w:rPr>
                <w:rFonts w:eastAsia="Times New Roman" w:cs="Times New Roman"/>
                <w:noProof/>
              </w:rPr>
            </w:pPr>
            <w:r>
              <w:rPr>
                <w:noProof/>
              </w:rPr>
              <w:t>Beskrivning och tydlig definition av varje delmål och mål</w:t>
            </w:r>
          </w:p>
        </w:tc>
      </w:tr>
      <w:tr w:rsidR="00E040FD" w14:paraId="791474D6" w14:textId="77777777">
        <w:trPr>
          <w:trHeight w:val="300"/>
          <w:tblHeader/>
        </w:trPr>
        <w:tc>
          <w:tcPr>
            <w:tcW w:w="1135" w:type="dxa"/>
            <w:vMerge/>
            <w:vAlign w:val="center"/>
            <w:hideMark/>
          </w:tcPr>
          <w:p w14:paraId="64F5E293" w14:textId="77777777" w:rsidR="00E040FD" w:rsidRDefault="00E040FD">
            <w:pPr>
              <w:spacing w:after="0" w:line="240" w:lineRule="auto"/>
              <w:rPr>
                <w:rFonts w:ascii="Times New Roman" w:eastAsia="Times New Roman" w:hAnsi="Times New Roman" w:cs="Times New Roman"/>
                <w:b/>
                <w:noProof/>
                <w:sz w:val="18"/>
              </w:rPr>
            </w:pPr>
          </w:p>
        </w:tc>
        <w:tc>
          <w:tcPr>
            <w:tcW w:w="1276" w:type="dxa"/>
            <w:vMerge/>
            <w:vAlign w:val="center"/>
            <w:hideMark/>
          </w:tcPr>
          <w:p w14:paraId="4801FFBD"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noWrap/>
            <w:vAlign w:val="center"/>
            <w:hideMark/>
          </w:tcPr>
          <w:p w14:paraId="0FBCC370" w14:textId="77777777" w:rsidR="00E040FD" w:rsidRDefault="00E040FD">
            <w:pPr>
              <w:spacing w:after="0" w:line="240" w:lineRule="auto"/>
              <w:jc w:val="center"/>
              <w:rPr>
                <w:rFonts w:ascii="Times New Roman" w:eastAsia="Times New Roman" w:hAnsi="Times New Roman" w:cs="Times New Roman"/>
                <w:b/>
                <w:noProof/>
                <w:sz w:val="18"/>
              </w:rPr>
            </w:pPr>
          </w:p>
        </w:tc>
        <w:tc>
          <w:tcPr>
            <w:tcW w:w="1984" w:type="dxa"/>
            <w:vMerge/>
            <w:vAlign w:val="center"/>
            <w:hideMark/>
          </w:tcPr>
          <w:p w14:paraId="57A267FE" w14:textId="77777777" w:rsidR="00E040FD" w:rsidRDefault="00E040FD">
            <w:pPr>
              <w:spacing w:after="0" w:line="240" w:lineRule="auto"/>
              <w:rPr>
                <w:rFonts w:ascii="Times New Roman" w:eastAsia="Times New Roman" w:hAnsi="Times New Roman" w:cs="Times New Roman"/>
                <w:b/>
                <w:noProof/>
                <w:sz w:val="18"/>
              </w:rPr>
            </w:pPr>
          </w:p>
        </w:tc>
        <w:tc>
          <w:tcPr>
            <w:tcW w:w="1134" w:type="dxa"/>
            <w:vMerge/>
            <w:vAlign w:val="center"/>
            <w:hideMark/>
          </w:tcPr>
          <w:p w14:paraId="0C7C5FFB" w14:textId="77777777" w:rsidR="00E040FD" w:rsidRDefault="00E040FD">
            <w:pPr>
              <w:spacing w:after="0" w:line="240" w:lineRule="auto"/>
              <w:rPr>
                <w:rFonts w:ascii="Times New Roman" w:eastAsia="Times New Roman" w:hAnsi="Times New Roman" w:cs="Times New Roman"/>
                <w:b/>
                <w:noProof/>
                <w:sz w:val="18"/>
              </w:rPr>
            </w:pPr>
          </w:p>
        </w:tc>
        <w:tc>
          <w:tcPr>
            <w:tcW w:w="851" w:type="dxa"/>
            <w:shd w:val="clear" w:color="auto" w:fill="BDD6EE"/>
            <w:noWrap/>
            <w:vAlign w:val="center"/>
            <w:hideMark/>
          </w:tcPr>
          <w:p w14:paraId="1A7AD875" w14:textId="77777777" w:rsidR="00E040FD" w:rsidRDefault="00740D64">
            <w:pPr>
              <w:pStyle w:val="P68B1DB1-Normal6"/>
              <w:spacing w:after="0" w:line="240" w:lineRule="auto"/>
              <w:jc w:val="center"/>
              <w:rPr>
                <w:rFonts w:eastAsia="Times New Roman" w:cs="Times New Roman"/>
                <w:noProof/>
              </w:rPr>
            </w:pPr>
            <w:r>
              <w:rPr>
                <w:noProof/>
              </w:rPr>
              <w:t>Enhet för åtgärd</w:t>
            </w:r>
          </w:p>
        </w:tc>
        <w:tc>
          <w:tcPr>
            <w:tcW w:w="992" w:type="dxa"/>
            <w:shd w:val="clear" w:color="auto" w:fill="BDD6EE"/>
            <w:noWrap/>
            <w:vAlign w:val="center"/>
            <w:hideMark/>
          </w:tcPr>
          <w:p w14:paraId="75CEC3C9" w14:textId="77777777" w:rsidR="00E040FD" w:rsidRDefault="00740D64">
            <w:pPr>
              <w:pStyle w:val="P68B1DB1-Normal6"/>
              <w:spacing w:after="0" w:line="240" w:lineRule="auto"/>
              <w:jc w:val="center"/>
              <w:rPr>
                <w:rFonts w:eastAsia="Times New Roman" w:cs="Times New Roman"/>
                <w:noProof/>
              </w:rPr>
            </w:pPr>
            <w:r>
              <w:rPr>
                <w:noProof/>
              </w:rPr>
              <w:t>Baslinjen</w:t>
            </w:r>
          </w:p>
        </w:tc>
        <w:tc>
          <w:tcPr>
            <w:tcW w:w="709" w:type="dxa"/>
            <w:shd w:val="clear" w:color="auto" w:fill="BDD6EE"/>
            <w:noWrap/>
            <w:vAlign w:val="center"/>
            <w:hideMark/>
          </w:tcPr>
          <w:p w14:paraId="1839FA92" w14:textId="77777777" w:rsidR="00E040FD" w:rsidRDefault="00740D64">
            <w:pPr>
              <w:pStyle w:val="P68B1DB1-Normal6"/>
              <w:spacing w:after="0" w:line="240" w:lineRule="auto"/>
              <w:jc w:val="center"/>
              <w:rPr>
                <w:rFonts w:eastAsia="Times New Roman" w:cs="Times New Roman"/>
                <w:noProof/>
              </w:rPr>
            </w:pPr>
            <w:r>
              <w:rPr>
                <w:noProof/>
              </w:rPr>
              <w:t>Mål</w:t>
            </w:r>
          </w:p>
        </w:tc>
        <w:tc>
          <w:tcPr>
            <w:tcW w:w="567" w:type="dxa"/>
            <w:shd w:val="clear" w:color="auto" w:fill="BDD6EE"/>
            <w:noWrap/>
            <w:vAlign w:val="center"/>
            <w:hideMark/>
          </w:tcPr>
          <w:p w14:paraId="034E72F5" w14:textId="77777777" w:rsidR="00E040FD" w:rsidRDefault="00740D64">
            <w:pPr>
              <w:pStyle w:val="P68B1DB1-Normal6"/>
              <w:spacing w:after="0" w:line="240" w:lineRule="auto"/>
              <w:jc w:val="center"/>
              <w:rPr>
                <w:rFonts w:eastAsia="Times New Roman" w:cs="Times New Roman"/>
                <w:noProof/>
              </w:rPr>
            </w:pPr>
            <w:r>
              <w:rPr>
                <w:noProof/>
              </w:rPr>
              <w:t>Q</w:t>
            </w:r>
          </w:p>
        </w:tc>
        <w:tc>
          <w:tcPr>
            <w:tcW w:w="708" w:type="dxa"/>
            <w:shd w:val="clear" w:color="auto" w:fill="BDD6EE"/>
            <w:noWrap/>
            <w:vAlign w:val="center"/>
            <w:hideMark/>
          </w:tcPr>
          <w:p w14:paraId="739CD227" w14:textId="77777777" w:rsidR="00E040FD" w:rsidRDefault="00740D64">
            <w:pPr>
              <w:pStyle w:val="P68B1DB1-Normal6"/>
              <w:spacing w:after="0" w:line="240" w:lineRule="auto"/>
              <w:jc w:val="center"/>
              <w:rPr>
                <w:rFonts w:eastAsia="Times New Roman" w:cs="Times New Roman"/>
                <w:noProof/>
              </w:rPr>
            </w:pPr>
            <w:r>
              <w:rPr>
                <w:noProof/>
              </w:rPr>
              <w:t>Året</w:t>
            </w:r>
          </w:p>
        </w:tc>
        <w:tc>
          <w:tcPr>
            <w:tcW w:w="4395" w:type="dxa"/>
            <w:vMerge/>
            <w:vAlign w:val="center"/>
            <w:hideMark/>
          </w:tcPr>
          <w:p w14:paraId="6237285D" w14:textId="77777777" w:rsidR="00E040FD" w:rsidRDefault="00E040FD">
            <w:pPr>
              <w:spacing w:after="0" w:line="240" w:lineRule="auto"/>
              <w:rPr>
                <w:rFonts w:ascii="Times New Roman" w:eastAsia="Times New Roman" w:hAnsi="Times New Roman" w:cs="Times New Roman"/>
                <w:b/>
                <w:noProof/>
                <w:sz w:val="18"/>
              </w:rPr>
            </w:pPr>
          </w:p>
        </w:tc>
      </w:tr>
      <w:tr w:rsidR="00E040FD" w14:paraId="6842EF63" w14:textId="77777777">
        <w:trPr>
          <w:trHeight w:val="1260"/>
          <w:tblHeader/>
        </w:trPr>
        <w:tc>
          <w:tcPr>
            <w:tcW w:w="1135" w:type="dxa"/>
            <w:shd w:val="clear" w:color="auto" w:fill="C4EFCE"/>
            <w:noWrap/>
            <w:vAlign w:val="center"/>
          </w:tcPr>
          <w:p w14:paraId="20D33C04" w14:textId="3BE29466" w:rsidR="00E040FD" w:rsidRDefault="00740D64">
            <w:pPr>
              <w:pStyle w:val="P68B1DB1-Normal7"/>
              <w:spacing w:after="0" w:line="240" w:lineRule="auto"/>
              <w:jc w:val="center"/>
              <w:rPr>
                <w:rFonts w:eastAsia="Times New Roman" w:cs="Calibri"/>
                <w:noProof/>
              </w:rPr>
            </w:pPr>
            <w:r>
              <w:rPr>
                <w:noProof/>
              </w:rPr>
              <w:t>22.1</w:t>
            </w:r>
          </w:p>
        </w:tc>
        <w:tc>
          <w:tcPr>
            <w:tcW w:w="1276" w:type="dxa"/>
            <w:shd w:val="clear" w:color="auto" w:fill="C4EFCE"/>
            <w:noWrap/>
            <w:vAlign w:val="center"/>
          </w:tcPr>
          <w:p w14:paraId="62B22C1C" w14:textId="0E34FE03" w:rsidR="00E040FD" w:rsidRDefault="00740D64">
            <w:pPr>
              <w:pStyle w:val="P68B1DB1-Normal8"/>
              <w:spacing w:after="0" w:line="240" w:lineRule="auto"/>
              <w:jc w:val="center"/>
              <w:rPr>
                <w:rFonts w:eastAsia="Times New Roman" w:cs="Calibri"/>
                <w:noProof/>
              </w:rPr>
            </w:pPr>
            <w:r>
              <w:rPr>
                <w:noProof/>
              </w:rPr>
              <w:t>RE-C22-r49</w:t>
            </w:r>
          </w:p>
        </w:tc>
        <w:tc>
          <w:tcPr>
            <w:tcW w:w="1134" w:type="dxa"/>
            <w:shd w:val="clear" w:color="auto" w:fill="C4EFCE"/>
            <w:noWrap/>
            <w:vAlign w:val="center"/>
          </w:tcPr>
          <w:p w14:paraId="68531306" w14:textId="7F47F2D7" w:rsidR="00E040FD" w:rsidRDefault="00740D64">
            <w:pPr>
              <w:pStyle w:val="P68B1DB1-Normal8"/>
              <w:spacing w:after="0" w:line="240" w:lineRule="auto"/>
              <w:jc w:val="center"/>
              <w:rPr>
                <w:rFonts w:eastAsia="Times New Roman" w:cs="Calibri"/>
                <w:noProof/>
              </w:rPr>
            </w:pPr>
            <w:r>
              <w:rPr>
                <w:noProof/>
              </w:rPr>
              <w:t>M</w:t>
            </w:r>
          </w:p>
        </w:tc>
        <w:tc>
          <w:tcPr>
            <w:tcW w:w="1984" w:type="dxa"/>
            <w:shd w:val="clear" w:color="auto" w:fill="C4EFCE"/>
            <w:noWrap/>
            <w:vAlign w:val="center"/>
          </w:tcPr>
          <w:p w14:paraId="560DB9C0" w14:textId="2B36040C" w:rsidR="00E040FD" w:rsidRDefault="00740D64">
            <w:pPr>
              <w:pStyle w:val="P68B1DB1-Normal8"/>
              <w:spacing w:after="0" w:line="240" w:lineRule="auto"/>
              <w:jc w:val="center"/>
              <w:rPr>
                <w:rFonts w:eastAsia="Times New Roman" w:cs="Calibri"/>
                <w:noProof/>
              </w:rPr>
            </w:pPr>
            <w:r>
              <w:rPr>
                <w:noProof/>
              </w:rPr>
              <w:t>Ändring av finansieringsavtalen mellan EMRP och genomförandeorganen för att inkludera skyldigheten att utföra en bedömning av bedrägeririsker</w:t>
            </w:r>
          </w:p>
        </w:tc>
        <w:tc>
          <w:tcPr>
            <w:tcW w:w="1134" w:type="dxa"/>
            <w:shd w:val="clear" w:color="auto" w:fill="C4EFCE"/>
            <w:noWrap/>
            <w:vAlign w:val="center"/>
          </w:tcPr>
          <w:p w14:paraId="205B0F66" w14:textId="77777777" w:rsidR="00E040FD" w:rsidRDefault="00E040FD">
            <w:pPr>
              <w:spacing w:after="0" w:line="240" w:lineRule="auto"/>
              <w:rPr>
                <w:rFonts w:ascii="Calibri" w:hAnsi="Calibri" w:cs="Calibri"/>
                <w:noProof/>
                <w:sz w:val="16"/>
              </w:rPr>
            </w:pPr>
          </w:p>
          <w:p w14:paraId="679BDC28" w14:textId="5A459A31" w:rsidR="00E040FD" w:rsidRDefault="00740D64">
            <w:pPr>
              <w:pStyle w:val="P68B1DB1-Normal8"/>
              <w:jc w:val="center"/>
              <w:rPr>
                <w:rFonts w:cs="Calibri"/>
                <w:noProof/>
              </w:rPr>
            </w:pPr>
            <w:r>
              <w:rPr>
                <w:noProof/>
              </w:rPr>
              <w:t>Ändrade kontrakt</w:t>
            </w:r>
          </w:p>
        </w:tc>
        <w:tc>
          <w:tcPr>
            <w:tcW w:w="851" w:type="dxa"/>
            <w:shd w:val="clear" w:color="auto" w:fill="C4EFCE"/>
            <w:noWrap/>
            <w:vAlign w:val="center"/>
          </w:tcPr>
          <w:p w14:paraId="6159C977" w14:textId="77777777" w:rsidR="00E040FD" w:rsidRDefault="00E040FD">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4C92B964" w14:textId="77777777" w:rsidR="00E040FD" w:rsidRDefault="00E040FD">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33DEFF08" w14:textId="77777777" w:rsidR="00E040FD" w:rsidRDefault="00E040FD">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0CEA973F" w14:textId="74F5DD87"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tcPr>
          <w:p w14:paraId="1EB90E5A" w14:textId="798D8660" w:rsidR="00E040FD" w:rsidRDefault="00740D64">
            <w:pPr>
              <w:pStyle w:val="P68B1DB1-Normal8"/>
              <w:spacing w:after="0" w:line="240" w:lineRule="auto"/>
              <w:jc w:val="center"/>
              <w:rPr>
                <w:rFonts w:eastAsia="Times New Roman" w:cs="Calibri"/>
                <w:noProof/>
              </w:rPr>
            </w:pPr>
            <w:r>
              <w:rPr>
                <w:noProof/>
              </w:rPr>
              <w:t>2023</w:t>
            </w:r>
          </w:p>
        </w:tc>
        <w:tc>
          <w:tcPr>
            <w:tcW w:w="4395" w:type="dxa"/>
            <w:shd w:val="clear" w:color="auto" w:fill="C4EFCE"/>
          </w:tcPr>
          <w:p w14:paraId="23E3766D" w14:textId="2A2CD04B" w:rsidR="00E040FD" w:rsidRDefault="00740D64">
            <w:pPr>
              <w:pStyle w:val="P68B1DB1-Normal8"/>
              <w:spacing w:after="0" w:line="240" w:lineRule="auto"/>
              <w:jc w:val="both"/>
              <w:rPr>
                <w:rFonts w:eastAsia="Times New Roman" w:cs="Calibri"/>
                <w:noProof/>
              </w:rPr>
            </w:pPr>
            <w:r>
              <w:rPr>
                <w:noProof/>
              </w:rPr>
              <w:t>Samordningsorganet EMRP ska ändra de kontrakt som undertecknats med alla myndigheter som ansvarar för genomförandet av återhämtnings- och resiliensplanen för att lägga till en rättslig skyldighet för genomförandeorganen att göra en bedömning av bedrägeririsken inom tre månader efter ändringen av deras kontrakt och, om bedrägeririskbedömningen identifierar risker som inte omfattas av de befintliga kontrollerna, utarbeta en handlingsplan med ytterligare kontroller. Denna skyldighet ska återspeglas i samordningsorganets förfarandehandbok. Samordningsorganet ska också formellt meddela alla genomförandeorgan en teknisk vägledning för att stödja dem i utförandet av bedömningen av bedrägeririsken.</w:t>
            </w:r>
          </w:p>
        </w:tc>
      </w:tr>
      <w:tr w:rsidR="00E040FD" w14:paraId="4F83E9D0" w14:textId="77777777">
        <w:trPr>
          <w:trHeight w:val="1050"/>
          <w:tblHeader/>
        </w:trPr>
        <w:tc>
          <w:tcPr>
            <w:tcW w:w="1135" w:type="dxa"/>
            <w:shd w:val="clear" w:color="auto" w:fill="C4EFCE"/>
            <w:noWrap/>
            <w:vAlign w:val="center"/>
          </w:tcPr>
          <w:p w14:paraId="6AE6A737" w14:textId="1AC80AEF" w:rsidR="00E040FD" w:rsidRDefault="00740D64">
            <w:pPr>
              <w:pStyle w:val="P68B1DB1-Normal7"/>
              <w:spacing w:after="0" w:line="240" w:lineRule="auto"/>
              <w:jc w:val="center"/>
              <w:rPr>
                <w:rFonts w:eastAsia="Times New Roman" w:cs="Calibri"/>
                <w:noProof/>
              </w:rPr>
            </w:pPr>
            <w:r>
              <w:rPr>
                <w:noProof/>
              </w:rPr>
              <w:t>22.2</w:t>
            </w:r>
          </w:p>
        </w:tc>
        <w:tc>
          <w:tcPr>
            <w:tcW w:w="1276" w:type="dxa"/>
            <w:shd w:val="clear" w:color="auto" w:fill="C4EFCE"/>
            <w:noWrap/>
            <w:vAlign w:val="center"/>
          </w:tcPr>
          <w:p w14:paraId="2DA9EBA8" w14:textId="6B386F7E" w:rsidR="00E040FD" w:rsidRDefault="00740D64">
            <w:pPr>
              <w:pStyle w:val="P68B1DB1-Normal8"/>
              <w:spacing w:after="0" w:line="240" w:lineRule="auto"/>
              <w:jc w:val="center"/>
              <w:rPr>
                <w:rFonts w:eastAsia="Times New Roman" w:cs="Calibri"/>
                <w:noProof/>
              </w:rPr>
            </w:pPr>
            <w:r>
              <w:rPr>
                <w:noProof/>
              </w:rPr>
              <w:t>RE-C22-r49</w:t>
            </w:r>
          </w:p>
        </w:tc>
        <w:tc>
          <w:tcPr>
            <w:tcW w:w="1134" w:type="dxa"/>
            <w:shd w:val="clear" w:color="auto" w:fill="C4EFCE"/>
            <w:noWrap/>
            <w:vAlign w:val="center"/>
          </w:tcPr>
          <w:p w14:paraId="6AC25D7A" w14:textId="40D4B45C" w:rsidR="00E040FD" w:rsidRDefault="00740D64">
            <w:pPr>
              <w:pStyle w:val="P68B1DB1-Normal8"/>
              <w:spacing w:after="0" w:line="240" w:lineRule="auto"/>
              <w:jc w:val="center"/>
              <w:rPr>
                <w:rFonts w:eastAsia="Times New Roman" w:cs="Calibri"/>
                <w:noProof/>
              </w:rPr>
            </w:pPr>
            <w:r>
              <w:rPr>
                <w:noProof/>
              </w:rPr>
              <w:t>M</w:t>
            </w:r>
          </w:p>
        </w:tc>
        <w:tc>
          <w:tcPr>
            <w:tcW w:w="1984" w:type="dxa"/>
            <w:shd w:val="clear" w:color="auto" w:fill="C4EFCE"/>
            <w:noWrap/>
            <w:vAlign w:val="center"/>
          </w:tcPr>
          <w:p w14:paraId="3D88FC2B" w14:textId="5245F9E7" w:rsidR="00E040FD" w:rsidRDefault="00740D64">
            <w:pPr>
              <w:pStyle w:val="P68B1DB1-Normal8"/>
              <w:spacing w:after="0" w:line="240" w:lineRule="auto"/>
              <w:jc w:val="center"/>
              <w:rPr>
                <w:rFonts w:eastAsia="Times New Roman" w:cs="Calibri"/>
                <w:noProof/>
              </w:rPr>
            </w:pPr>
            <w:r>
              <w:rPr>
                <w:noProof/>
              </w:rPr>
              <w:t>Införande av dubbelkontroller för dubbelfinansiering</w:t>
            </w:r>
          </w:p>
        </w:tc>
        <w:tc>
          <w:tcPr>
            <w:tcW w:w="1134" w:type="dxa"/>
            <w:shd w:val="clear" w:color="auto" w:fill="C4EFCE"/>
            <w:noWrap/>
            <w:vAlign w:val="center"/>
          </w:tcPr>
          <w:p w14:paraId="4B3ED836" w14:textId="6F92F713" w:rsidR="00E040FD" w:rsidRDefault="00740D64">
            <w:pPr>
              <w:pStyle w:val="P68B1DB1-Normal8"/>
              <w:spacing w:after="0" w:line="240" w:lineRule="auto"/>
              <w:jc w:val="center"/>
              <w:rPr>
                <w:rFonts w:eastAsia="Times New Roman" w:cs="Calibri"/>
                <w:noProof/>
              </w:rPr>
            </w:pPr>
            <w:r>
              <w:rPr>
                <w:noProof/>
              </w:rPr>
              <w:t xml:space="preserve">Genomförande av lämpliga förfaranden </w:t>
            </w:r>
          </w:p>
        </w:tc>
        <w:tc>
          <w:tcPr>
            <w:tcW w:w="851" w:type="dxa"/>
            <w:shd w:val="clear" w:color="auto" w:fill="C4EFCE"/>
            <w:noWrap/>
            <w:vAlign w:val="center"/>
          </w:tcPr>
          <w:p w14:paraId="44F95A3F" w14:textId="77777777" w:rsidR="00E040FD" w:rsidRDefault="00E040FD">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2D07F96E" w14:textId="77777777" w:rsidR="00E040FD" w:rsidRDefault="00E040FD">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25F8C2EF" w14:textId="77777777" w:rsidR="00E040FD" w:rsidRDefault="00E040FD">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535B19B9" w14:textId="6AAFBEC9" w:rsidR="00E040FD" w:rsidRDefault="00740D64">
            <w:pPr>
              <w:pStyle w:val="P68B1DB1-Normal8"/>
              <w:spacing w:after="0" w:line="240" w:lineRule="auto"/>
              <w:jc w:val="center"/>
              <w:rPr>
                <w:rFonts w:eastAsia="Times New Roman" w:cs="Calibri"/>
                <w:noProof/>
              </w:rPr>
            </w:pPr>
            <w:r>
              <w:rPr>
                <w:noProof/>
              </w:rPr>
              <w:t>KVARTAL 3</w:t>
            </w:r>
          </w:p>
        </w:tc>
        <w:tc>
          <w:tcPr>
            <w:tcW w:w="708" w:type="dxa"/>
            <w:shd w:val="clear" w:color="auto" w:fill="C4EFCE"/>
            <w:noWrap/>
            <w:vAlign w:val="center"/>
          </w:tcPr>
          <w:p w14:paraId="68F6B24F" w14:textId="4C019A52" w:rsidR="00E040FD" w:rsidRDefault="00740D64">
            <w:pPr>
              <w:pStyle w:val="P68B1DB1-Normal8"/>
              <w:spacing w:after="0" w:line="240" w:lineRule="auto"/>
              <w:jc w:val="center"/>
              <w:rPr>
                <w:rFonts w:eastAsia="Times New Roman" w:cs="Calibri"/>
                <w:noProof/>
              </w:rPr>
            </w:pPr>
            <w:r>
              <w:rPr>
                <w:noProof/>
              </w:rPr>
              <w:t>2023</w:t>
            </w:r>
          </w:p>
        </w:tc>
        <w:tc>
          <w:tcPr>
            <w:tcW w:w="4395" w:type="dxa"/>
            <w:shd w:val="clear" w:color="auto" w:fill="C4EFCE"/>
          </w:tcPr>
          <w:p w14:paraId="02C4B5ED" w14:textId="533404F6" w:rsidR="00E040FD" w:rsidRDefault="00740D64">
            <w:pPr>
              <w:pStyle w:val="P68B1DB1-Normal8"/>
              <w:spacing w:after="0" w:line="240" w:lineRule="auto"/>
              <w:jc w:val="both"/>
              <w:rPr>
                <w:rFonts w:eastAsia="Times New Roman" w:cs="Calibri"/>
                <w:noProof/>
              </w:rPr>
            </w:pPr>
            <w:r>
              <w:rPr>
                <w:noProof/>
              </w:rPr>
              <w:t>De portugisiska myndigheterna ska förbättra och genomföra lämpliga förfaranden för att minska eller minska risken för dubbelfinansiering genom att införa effektiva systematiska dubbelkontroller av ansökningar om potentiell finansiering inom faciliteten för återhämtning och resiliens och mellan faciliteten för återhämtning och resiliens och andra unionsprogram, i enlighet med principen om sund ekonomisk förvaltning.</w:t>
            </w:r>
          </w:p>
        </w:tc>
      </w:tr>
    </w:tbl>
    <w:p w14:paraId="43BA5E3A" w14:textId="40FA9800" w:rsidR="00E040FD" w:rsidRDefault="00E040FD">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E040FD" w:rsidSect="00587917">
          <w:headerReference w:type="even" r:id="rId386"/>
          <w:headerReference w:type="default" r:id="rId387"/>
          <w:footerReference w:type="even" r:id="rId388"/>
          <w:footerReference w:type="default" r:id="rId389"/>
          <w:headerReference w:type="first" r:id="rId390"/>
          <w:footerReference w:type="first" r:id="rId391"/>
          <w:pgSz w:w="16838" w:h="11906" w:orient="landscape"/>
          <w:pgMar w:top="1134" w:right="1134" w:bottom="1134" w:left="1134" w:header="567" w:footer="567" w:gutter="0"/>
          <w:cols w:space="708"/>
          <w:docGrid w:linePitch="360"/>
        </w:sectPr>
      </w:pPr>
    </w:p>
    <w:p w14:paraId="38339004" w14:textId="15E78D3A" w:rsidR="00E040FD" w:rsidRDefault="00740D64">
      <w:pPr>
        <w:pStyle w:val="P68B1DB1-Normal3"/>
        <w:keepNext/>
        <w:spacing w:before="40" w:after="0" w:line="259" w:lineRule="auto"/>
        <w:ind w:left="130" w:firstLine="720"/>
        <w:jc w:val="both"/>
        <w:outlineLvl w:val="1"/>
        <w:rPr>
          <w:rFonts w:eastAsiaTheme="majorEastAsia" w:cs="Times New Roman"/>
          <w:noProof/>
        </w:rPr>
      </w:pPr>
      <w:r>
        <w:rPr>
          <w:noProof/>
        </w:rPr>
        <w:t>2. Beräknad total kostnad för återhämtnings- och resiliensplanen</w:t>
      </w:r>
    </w:p>
    <w:p w14:paraId="7A12B998" w14:textId="77777777" w:rsidR="00E040FD" w:rsidRDefault="00E040FD">
      <w:pPr>
        <w:jc w:val="both"/>
        <w:rPr>
          <w:rFonts w:ascii="Times New Roman" w:eastAsia="Calibri" w:hAnsi="Times New Roman" w:cs="Times New Roman"/>
          <w:noProof/>
          <w:sz w:val="24"/>
        </w:rPr>
      </w:pPr>
    </w:p>
    <w:p w14:paraId="2D28C8C3" w14:textId="5C177C46" w:rsidR="00E040FD" w:rsidRDefault="00740D64">
      <w:pPr>
        <w:pStyle w:val="P68B1DB1-Normal4"/>
        <w:spacing w:before="40" w:after="0" w:line="259" w:lineRule="auto"/>
        <w:jc w:val="both"/>
        <w:rPr>
          <w:rFonts w:eastAsia="Calibri" w:cs="Times New Roman"/>
          <w:noProof/>
        </w:rPr>
      </w:pPr>
      <w:r>
        <w:rPr>
          <w:noProof/>
        </w:rPr>
        <w:t>De beräknade totala kostnaderna för Portugals återhämtnings- och resiliensplan är 22 215 870 313 EUR.</w:t>
      </w:r>
    </w:p>
    <w:p w14:paraId="10AABC7B" w14:textId="5DB77EB7" w:rsidR="00E040FD" w:rsidRDefault="00740D64">
      <w:pPr>
        <w:pStyle w:val="P68B1DB1-Normal4"/>
        <w:spacing w:before="40" w:after="0" w:line="259" w:lineRule="auto"/>
        <w:jc w:val="both"/>
        <w:rPr>
          <w:rFonts w:eastAsia="Calibri" w:cs="Times New Roman"/>
          <w:noProof/>
        </w:rPr>
      </w:pPr>
      <w:r>
        <w:rPr>
          <w:noProof/>
        </w:rPr>
        <w:t>De beräknade totala kostnaderna för REPowerEU-kapitlet är 855 400 000 EUR. De uppskattade totala kostnaderna för de åtgärder som avses i artikel 21c.3 a i förordning (EU) 2023/435 är 0 EUR, medan kostnaderna för de andra åtgärderna i REPowerEU-kapitlet är 855 400 000 EUR.</w:t>
      </w:r>
    </w:p>
    <w:p w14:paraId="1303DF5E" w14:textId="77777777" w:rsidR="00E040FD" w:rsidRDefault="00E040FD">
      <w:pPr>
        <w:keepNext/>
        <w:spacing w:before="40" w:after="0" w:line="259" w:lineRule="auto"/>
        <w:jc w:val="both"/>
        <w:outlineLvl w:val="1"/>
        <w:rPr>
          <w:noProof/>
        </w:rPr>
      </w:pPr>
    </w:p>
    <w:p w14:paraId="515F6B1D" w14:textId="2D642D65" w:rsidR="00E040FD" w:rsidRDefault="00740D64">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r>
        <w:rPr>
          <w:noProof/>
        </w:rPr>
        <w:br w:type="page"/>
      </w:r>
      <w:r>
        <w:rPr>
          <w:rFonts w:ascii="Times New Roman" w:hAnsi="Times New Roman"/>
          <w:b/>
          <w:smallCaps/>
          <w:noProof/>
          <w:sz w:val="24"/>
        </w:rPr>
        <w:t xml:space="preserve">AVSNITT 2: EKONOMISKT STÖD </w:t>
      </w:r>
    </w:p>
    <w:p w14:paraId="549D205C" w14:textId="77777777" w:rsidR="00E040FD" w:rsidRDefault="00740D64">
      <w:pPr>
        <w:pStyle w:val="P68B1DB1-Normal3"/>
        <w:keepNext/>
        <w:numPr>
          <w:ilvl w:val="1"/>
          <w:numId w:val="46"/>
        </w:numPr>
        <w:spacing w:before="40" w:after="0" w:line="259" w:lineRule="auto"/>
        <w:jc w:val="both"/>
        <w:outlineLvl w:val="1"/>
        <w:rPr>
          <w:rFonts w:eastAsiaTheme="majorEastAsia" w:cs="Times New Roman"/>
          <w:noProof/>
        </w:rPr>
      </w:pPr>
      <w:r>
        <w:rPr>
          <w:noProof/>
        </w:rPr>
        <w:t xml:space="preserve">Ekonomiska bidrag </w:t>
      </w:r>
    </w:p>
    <w:p w14:paraId="2AEF47AF"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p w14:paraId="389DCB62" w14:textId="77777777" w:rsidR="00E040FD" w:rsidRDefault="00740D64">
      <w:pPr>
        <w:pStyle w:val="P68B1DB1-Normal4"/>
        <w:keepNext/>
        <w:spacing w:before="40" w:after="160" w:line="259" w:lineRule="auto"/>
        <w:contextualSpacing/>
        <w:jc w:val="both"/>
        <w:rPr>
          <w:rFonts w:eastAsiaTheme="minorEastAsia" w:cs="Times New Roman"/>
          <w:noProof/>
        </w:rPr>
      </w:pPr>
      <w:r>
        <w:rPr>
          <w:noProof/>
        </w:rPr>
        <w:t>De delbetalningar som avses i artikel 2.2 ska organiseras på följande sätt:</w:t>
      </w:r>
    </w:p>
    <w:p w14:paraId="18903B08"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p w14:paraId="70355FDF"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 Begäran om första utbetalning (icke återbetalningspliktigt stöd): </w:t>
      </w:r>
    </w:p>
    <w:p w14:paraId="4AABD02B"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45"/>
        <w:gridCol w:w="1514"/>
        <w:gridCol w:w="4987"/>
      </w:tblGrid>
      <w:tr w:rsidR="00E040FD" w14:paraId="46EFA30C" w14:textId="77777777">
        <w:trPr>
          <w:trHeight w:val="509"/>
          <w:tblHeader/>
        </w:trPr>
        <w:tc>
          <w:tcPr>
            <w:tcW w:w="1200" w:type="dxa"/>
            <w:vMerge w:val="restart"/>
            <w:shd w:val="clear" w:color="auto" w:fill="BDD7EE"/>
            <w:vAlign w:val="center"/>
            <w:hideMark/>
          </w:tcPr>
          <w:p w14:paraId="3C5DD9AA"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vMerge w:val="restart"/>
            <w:shd w:val="clear" w:color="auto" w:fill="BDD7EE"/>
            <w:vAlign w:val="center"/>
            <w:hideMark/>
          </w:tcPr>
          <w:p w14:paraId="777412A4"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vMerge w:val="restart"/>
            <w:shd w:val="clear" w:color="auto" w:fill="BDD7EE"/>
            <w:vAlign w:val="center"/>
            <w:hideMark/>
          </w:tcPr>
          <w:p w14:paraId="3AFC0D26"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vMerge w:val="restart"/>
            <w:shd w:val="clear" w:color="auto" w:fill="BDD7EE"/>
            <w:vAlign w:val="center"/>
            <w:hideMark/>
          </w:tcPr>
          <w:p w14:paraId="7291301C"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29D8F5D2" w14:textId="77777777">
        <w:trPr>
          <w:trHeight w:val="509"/>
          <w:tblHeader/>
        </w:trPr>
        <w:tc>
          <w:tcPr>
            <w:tcW w:w="1200" w:type="dxa"/>
            <w:vMerge/>
            <w:vAlign w:val="center"/>
            <w:hideMark/>
          </w:tcPr>
          <w:p w14:paraId="724EED61" w14:textId="77777777" w:rsidR="00E040FD" w:rsidRDefault="00E040FD">
            <w:pPr>
              <w:spacing w:after="0" w:line="240" w:lineRule="auto"/>
              <w:rPr>
                <w:rFonts w:ascii="Times New Roman" w:eastAsia="Times New Roman" w:hAnsi="Times New Roman" w:cs="Times New Roman"/>
                <w:noProof/>
                <w:sz w:val="20"/>
              </w:rPr>
            </w:pPr>
          </w:p>
        </w:tc>
        <w:tc>
          <w:tcPr>
            <w:tcW w:w="1760" w:type="dxa"/>
            <w:vMerge/>
            <w:vAlign w:val="center"/>
            <w:hideMark/>
          </w:tcPr>
          <w:p w14:paraId="58F5A343" w14:textId="77777777" w:rsidR="00E040FD" w:rsidRDefault="00E040FD">
            <w:pPr>
              <w:spacing w:after="0" w:line="240" w:lineRule="auto"/>
              <w:rPr>
                <w:rFonts w:ascii="Times New Roman" w:eastAsia="Times New Roman" w:hAnsi="Times New Roman" w:cs="Times New Roman"/>
                <w:noProof/>
                <w:sz w:val="20"/>
              </w:rPr>
            </w:pPr>
          </w:p>
        </w:tc>
        <w:tc>
          <w:tcPr>
            <w:tcW w:w="1520" w:type="dxa"/>
            <w:vMerge/>
            <w:vAlign w:val="center"/>
            <w:hideMark/>
          </w:tcPr>
          <w:p w14:paraId="62853973" w14:textId="77777777" w:rsidR="00E040FD" w:rsidRDefault="00E040FD">
            <w:pPr>
              <w:spacing w:after="0" w:line="240" w:lineRule="auto"/>
              <w:rPr>
                <w:rFonts w:ascii="Times New Roman" w:eastAsia="Times New Roman" w:hAnsi="Times New Roman" w:cs="Times New Roman"/>
                <w:noProof/>
                <w:sz w:val="20"/>
              </w:rPr>
            </w:pPr>
          </w:p>
        </w:tc>
        <w:tc>
          <w:tcPr>
            <w:tcW w:w="5060" w:type="dxa"/>
            <w:vMerge/>
            <w:vAlign w:val="center"/>
            <w:hideMark/>
          </w:tcPr>
          <w:p w14:paraId="2BF9D123" w14:textId="77777777" w:rsidR="00E040FD" w:rsidRDefault="00E040FD">
            <w:pPr>
              <w:spacing w:after="0" w:line="240" w:lineRule="auto"/>
              <w:rPr>
                <w:rFonts w:ascii="Times New Roman" w:eastAsia="Times New Roman" w:hAnsi="Times New Roman" w:cs="Times New Roman"/>
                <w:noProof/>
                <w:sz w:val="20"/>
              </w:rPr>
            </w:pPr>
          </w:p>
        </w:tc>
      </w:tr>
      <w:tr w:rsidR="00E040FD" w14:paraId="6BFB7F1C" w14:textId="77777777">
        <w:trPr>
          <w:trHeight w:val="440"/>
        </w:trPr>
        <w:tc>
          <w:tcPr>
            <w:tcW w:w="1200" w:type="dxa"/>
            <w:shd w:val="clear" w:color="auto" w:fill="C4EFCE"/>
            <w:vAlign w:val="center"/>
            <w:hideMark/>
          </w:tcPr>
          <w:p w14:paraId="035B456C" w14:textId="77777777" w:rsidR="00E040FD" w:rsidRDefault="00740D64">
            <w:pPr>
              <w:pStyle w:val="P68B1DB1-Normal23"/>
              <w:spacing w:after="0"/>
              <w:jc w:val="center"/>
              <w:rPr>
                <w:noProof/>
              </w:rPr>
            </w:pPr>
            <w:r>
              <w:rPr>
                <w:noProof/>
              </w:rPr>
              <w:t>1.29</w:t>
            </w:r>
          </w:p>
        </w:tc>
        <w:tc>
          <w:tcPr>
            <w:tcW w:w="1760" w:type="dxa"/>
            <w:shd w:val="clear" w:color="auto" w:fill="C4EFCE"/>
            <w:vAlign w:val="center"/>
            <w:hideMark/>
          </w:tcPr>
          <w:p w14:paraId="5F82E253" w14:textId="77777777" w:rsidR="00E040FD" w:rsidRDefault="00740D64">
            <w:pPr>
              <w:pStyle w:val="P68B1DB1-Normal23"/>
              <w:spacing w:after="0"/>
              <w:jc w:val="center"/>
              <w:rPr>
                <w:noProof/>
              </w:rPr>
            </w:pPr>
            <w:r>
              <w:rPr>
                <w:noProof/>
              </w:rPr>
              <w:t xml:space="preserve">RE-C01-i05-RAM </w:t>
            </w:r>
          </w:p>
        </w:tc>
        <w:tc>
          <w:tcPr>
            <w:tcW w:w="1520" w:type="dxa"/>
            <w:shd w:val="clear" w:color="auto" w:fill="C4EFCE"/>
            <w:vAlign w:val="center"/>
            <w:hideMark/>
          </w:tcPr>
          <w:p w14:paraId="3B317CCB"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748D4E23" w14:textId="77777777" w:rsidR="00E040FD" w:rsidRDefault="00740D64">
            <w:pPr>
              <w:pStyle w:val="P68B1DB1-Normal23"/>
              <w:spacing w:after="0"/>
              <w:jc w:val="both"/>
              <w:rPr>
                <w:rFonts w:eastAsia="Calibri" w:cs="Calibri"/>
                <w:noProof/>
              </w:rPr>
            </w:pPr>
            <w:r>
              <w:rPr>
                <w:noProof/>
              </w:rPr>
              <w:t>Införande av klassificeringssystemet, den funktionella profilen och systemet för remittering av användare för Madeiras regionala modell för integrerade kontinuerliga vårdtjänster</w:t>
            </w:r>
          </w:p>
        </w:tc>
      </w:tr>
      <w:tr w:rsidR="00E040FD" w14:paraId="3069A8FF" w14:textId="77777777">
        <w:trPr>
          <w:trHeight w:val="440"/>
        </w:trPr>
        <w:tc>
          <w:tcPr>
            <w:tcW w:w="1200" w:type="dxa"/>
            <w:shd w:val="clear" w:color="auto" w:fill="C4EFCE"/>
            <w:vAlign w:val="center"/>
            <w:hideMark/>
          </w:tcPr>
          <w:p w14:paraId="2A4852AE" w14:textId="77777777" w:rsidR="00E040FD" w:rsidRDefault="00740D64">
            <w:pPr>
              <w:pStyle w:val="P68B1DB1-Normal23"/>
              <w:spacing w:after="0"/>
              <w:jc w:val="center"/>
              <w:rPr>
                <w:noProof/>
              </w:rPr>
            </w:pPr>
            <w:r>
              <w:rPr>
                <w:noProof/>
              </w:rPr>
              <w:t>1.4</w:t>
            </w:r>
          </w:p>
        </w:tc>
        <w:tc>
          <w:tcPr>
            <w:tcW w:w="1760" w:type="dxa"/>
            <w:shd w:val="clear" w:color="auto" w:fill="C4EFCE"/>
            <w:vAlign w:val="center"/>
            <w:hideMark/>
          </w:tcPr>
          <w:p w14:paraId="33989A47" w14:textId="77777777" w:rsidR="00E040FD" w:rsidRDefault="00740D64">
            <w:pPr>
              <w:pStyle w:val="P68B1DB1-Normal23"/>
              <w:spacing w:after="0"/>
              <w:jc w:val="center"/>
              <w:rPr>
                <w:noProof/>
              </w:rPr>
            </w:pPr>
            <w:r>
              <w:rPr>
                <w:noProof/>
              </w:rPr>
              <w:t xml:space="preserve">RE-C01-r02 </w:t>
            </w:r>
          </w:p>
        </w:tc>
        <w:tc>
          <w:tcPr>
            <w:tcW w:w="1520" w:type="dxa"/>
            <w:shd w:val="clear" w:color="auto" w:fill="C4EFCE"/>
            <w:vAlign w:val="center"/>
            <w:hideMark/>
          </w:tcPr>
          <w:p w14:paraId="0063710F"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01F50912" w14:textId="77777777" w:rsidR="00E040FD" w:rsidRDefault="00740D64">
            <w:pPr>
              <w:pStyle w:val="P68B1DB1-Normal23"/>
              <w:spacing w:after="0"/>
              <w:jc w:val="both"/>
              <w:rPr>
                <w:rFonts w:eastAsia="Calibri" w:cs="Calibri"/>
                <w:noProof/>
              </w:rPr>
            </w:pPr>
            <w:r>
              <w:rPr>
                <w:noProof/>
              </w:rPr>
              <w:t>Ikraftträdande av det nya lagdekretet om psykisk hälsa, i vilket principerna för organisationen av psykiatrisk vård fastställs</w:t>
            </w:r>
          </w:p>
        </w:tc>
      </w:tr>
      <w:tr w:rsidR="00E040FD" w14:paraId="2344BBFE" w14:textId="77777777">
        <w:trPr>
          <w:trHeight w:val="440"/>
        </w:trPr>
        <w:tc>
          <w:tcPr>
            <w:tcW w:w="1200" w:type="dxa"/>
            <w:shd w:val="clear" w:color="auto" w:fill="C4EFCE"/>
            <w:vAlign w:val="center"/>
            <w:hideMark/>
          </w:tcPr>
          <w:p w14:paraId="6084FBFD" w14:textId="77777777" w:rsidR="00E040FD" w:rsidRDefault="00740D64">
            <w:pPr>
              <w:pStyle w:val="P68B1DB1-Normal23"/>
              <w:spacing w:after="0"/>
              <w:jc w:val="center"/>
              <w:rPr>
                <w:noProof/>
              </w:rPr>
            </w:pPr>
            <w:r>
              <w:rPr>
                <w:noProof/>
              </w:rPr>
              <w:t>2.13</w:t>
            </w:r>
          </w:p>
        </w:tc>
        <w:tc>
          <w:tcPr>
            <w:tcW w:w="1760" w:type="dxa"/>
            <w:shd w:val="clear" w:color="auto" w:fill="C4EFCE"/>
            <w:vAlign w:val="center"/>
            <w:hideMark/>
          </w:tcPr>
          <w:p w14:paraId="68C41028" w14:textId="77777777" w:rsidR="00E040FD" w:rsidRDefault="00740D64">
            <w:pPr>
              <w:pStyle w:val="P68B1DB1-Normal23"/>
              <w:spacing w:after="0"/>
              <w:jc w:val="center"/>
              <w:rPr>
                <w:noProof/>
              </w:rPr>
            </w:pPr>
            <w:r>
              <w:rPr>
                <w:noProof/>
              </w:rPr>
              <w:t xml:space="preserve">RE-C02-i04-RAA </w:t>
            </w:r>
          </w:p>
        </w:tc>
        <w:tc>
          <w:tcPr>
            <w:tcW w:w="1520" w:type="dxa"/>
            <w:shd w:val="clear" w:color="auto" w:fill="C4EFCE"/>
            <w:vAlign w:val="center"/>
            <w:hideMark/>
          </w:tcPr>
          <w:p w14:paraId="44ACBEA0" w14:textId="77777777" w:rsidR="00E040FD" w:rsidRDefault="00740D64">
            <w:pPr>
              <w:pStyle w:val="P68B1DB1-Normal23"/>
              <w:spacing w:after="0"/>
              <w:jc w:val="center"/>
              <w:rPr>
                <w:noProof/>
              </w:rPr>
            </w:pPr>
            <w:r>
              <w:rPr>
                <w:noProof/>
              </w:rPr>
              <w:t>T</w:t>
            </w:r>
          </w:p>
        </w:tc>
        <w:tc>
          <w:tcPr>
            <w:tcW w:w="5060" w:type="dxa"/>
            <w:shd w:val="clear" w:color="auto" w:fill="C4EFCE"/>
            <w:vAlign w:val="center"/>
            <w:hideMark/>
          </w:tcPr>
          <w:p w14:paraId="3219CFC6" w14:textId="77777777" w:rsidR="00E040FD" w:rsidRDefault="00740D64">
            <w:pPr>
              <w:pStyle w:val="P68B1DB1-Normal23"/>
              <w:spacing w:after="0"/>
              <w:jc w:val="both"/>
              <w:rPr>
                <w:rFonts w:eastAsia="Calibri" w:cs="Calibri"/>
                <w:noProof/>
              </w:rPr>
            </w:pPr>
            <w:r>
              <w:rPr>
                <w:noProof/>
              </w:rPr>
              <w:t>Interventioner i det offentliga bostadsbeståndet i den autonoma regionen Azorerna</w:t>
            </w:r>
          </w:p>
        </w:tc>
      </w:tr>
      <w:tr w:rsidR="00E040FD" w14:paraId="3FC1CC3B" w14:textId="77777777">
        <w:trPr>
          <w:trHeight w:val="440"/>
        </w:trPr>
        <w:tc>
          <w:tcPr>
            <w:tcW w:w="1200" w:type="dxa"/>
            <w:shd w:val="clear" w:color="auto" w:fill="C4EFCE"/>
            <w:vAlign w:val="center"/>
            <w:hideMark/>
          </w:tcPr>
          <w:p w14:paraId="1EECC9AE" w14:textId="77777777" w:rsidR="00E040FD" w:rsidRDefault="00740D64">
            <w:pPr>
              <w:pStyle w:val="P68B1DB1-Normal23"/>
              <w:spacing w:after="0"/>
              <w:jc w:val="center"/>
              <w:rPr>
                <w:noProof/>
              </w:rPr>
            </w:pPr>
            <w:r>
              <w:rPr>
                <w:noProof/>
              </w:rPr>
              <w:t>2.14</w:t>
            </w:r>
          </w:p>
        </w:tc>
        <w:tc>
          <w:tcPr>
            <w:tcW w:w="1760" w:type="dxa"/>
            <w:shd w:val="clear" w:color="auto" w:fill="C4EFCE"/>
            <w:vAlign w:val="center"/>
            <w:hideMark/>
          </w:tcPr>
          <w:p w14:paraId="7D01D9D8" w14:textId="77777777" w:rsidR="00E040FD" w:rsidRDefault="00740D64">
            <w:pPr>
              <w:pStyle w:val="P68B1DB1-Normal23"/>
              <w:spacing w:after="0"/>
              <w:jc w:val="center"/>
              <w:rPr>
                <w:noProof/>
              </w:rPr>
            </w:pPr>
            <w:r>
              <w:rPr>
                <w:noProof/>
              </w:rPr>
              <w:t xml:space="preserve">RE-C02-i04-RAA </w:t>
            </w:r>
          </w:p>
        </w:tc>
        <w:tc>
          <w:tcPr>
            <w:tcW w:w="1520" w:type="dxa"/>
            <w:shd w:val="clear" w:color="auto" w:fill="C4EFCE"/>
            <w:vAlign w:val="center"/>
            <w:hideMark/>
          </w:tcPr>
          <w:p w14:paraId="4B0F382B" w14:textId="77777777" w:rsidR="00E040FD" w:rsidRDefault="00740D64">
            <w:pPr>
              <w:pStyle w:val="P68B1DB1-Normal23"/>
              <w:spacing w:after="0"/>
              <w:jc w:val="center"/>
              <w:rPr>
                <w:noProof/>
              </w:rPr>
            </w:pPr>
            <w:r>
              <w:rPr>
                <w:noProof/>
              </w:rPr>
              <w:t>T</w:t>
            </w:r>
          </w:p>
        </w:tc>
        <w:tc>
          <w:tcPr>
            <w:tcW w:w="5060" w:type="dxa"/>
            <w:shd w:val="clear" w:color="auto" w:fill="C4EFCE"/>
            <w:vAlign w:val="center"/>
            <w:hideMark/>
          </w:tcPr>
          <w:p w14:paraId="21EA9779" w14:textId="77777777" w:rsidR="00E040FD" w:rsidRDefault="00740D64">
            <w:pPr>
              <w:pStyle w:val="P68B1DB1-Normal23"/>
              <w:spacing w:after="0"/>
              <w:jc w:val="both"/>
              <w:rPr>
                <w:rFonts w:eastAsia="Calibri" w:cs="Calibri"/>
                <w:noProof/>
              </w:rPr>
            </w:pPr>
            <w:r>
              <w:rPr>
                <w:noProof/>
              </w:rPr>
              <w:t>Insatser i det offentliga bostadsbeståndet i den autonoma regionen Azorerna – renovering</w:t>
            </w:r>
          </w:p>
        </w:tc>
      </w:tr>
      <w:tr w:rsidR="00E040FD" w14:paraId="27E2DD10" w14:textId="77777777">
        <w:trPr>
          <w:trHeight w:val="440"/>
        </w:trPr>
        <w:tc>
          <w:tcPr>
            <w:tcW w:w="1200" w:type="dxa"/>
            <w:shd w:val="clear" w:color="auto" w:fill="C4EFCE"/>
            <w:vAlign w:val="center"/>
            <w:hideMark/>
          </w:tcPr>
          <w:p w14:paraId="08C4D405" w14:textId="77777777" w:rsidR="00E040FD" w:rsidRDefault="00740D64">
            <w:pPr>
              <w:pStyle w:val="P68B1DB1-Normal23"/>
              <w:spacing w:after="0"/>
              <w:jc w:val="center"/>
              <w:rPr>
                <w:noProof/>
              </w:rPr>
            </w:pPr>
            <w:r>
              <w:rPr>
                <w:noProof/>
              </w:rPr>
              <w:t>2.19</w:t>
            </w:r>
          </w:p>
        </w:tc>
        <w:tc>
          <w:tcPr>
            <w:tcW w:w="1760" w:type="dxa"/>
            <w:shd w:val="clear" w:color="auto" w:fill="C4EFCE"/>
            <w:vAlign w:val="center"/>
            <w:hideMark/>
          </w:tcPr>
          <w:p w14:paraId="02067C77" w14:textId="77777777" w:rsidR="00E040FD" w:rsidRDefault="00740D64">
            <w:pPr>
              <w:pStyle w:val="P68B1DB1-Normal23"/>
              <w:spacing w:after="0"/>
              <w:jc w:val="center"/>
              <w:rPr>
                <w:noProof/>
              </w:rPr>
            </w:pPr>
            <w:r>
              <w:rPr>
                <w:noProof/>
              </w:rPr>
              <w:t xml:space="preserve">RE-C02-r04 </w:t>
            </w:r>
          </w:p>
        </w:tc>
        <w:tc>
          <w:tcPr>
            <w:tcW w:w="1520" w:type="dxa"/>
            <w:shd w:val="clear" w:color="auto" w:fill="C4EFCE"/>
            <w:vAlign w:val="center"/>
            <w:hideMark/>
          </w:tcPr>
          <w:p w14:paraId="4DE1A0FE"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63EA2037" w14:textId="77777777" w:rsidR="00E040FD" w:rsidRDefault="00740D64">
            <w:pPr>
              <w:pStyle w:val="P68B1DB1-Normal23"/>
              <w:spacing w:after="0"/>
              <w:jc w:val="both"/>
              <w:rPr>
                <w:rFonts w:eastAsia="Calibri" w:cs="Calibri"/>
                <w:noProof/>
              </w:rPr>
            </w:pPr>
            <w:r>
              <w:rPr>
                <w:noProof/>
              </w:rPr>
              <w:t>Ikraftträdande av lagdekretet om godkännande av den rättsliga ramen för den nationella brådskande och tillfälliga bostadsplanen</w:t>
            </w:r>
          </w:p>
        </w:tc>
      </w:tr>
      <w:tr w:rsidR="00E040FD" w14:paraId="1A823EEC" w14:textId="77777777">
        <w:trPr>
          <w:trHeight w:val="440"/>
        </w:trPr>
        <w:tc>
          <w:tcPr>
            <w:tcW w:w="1200" w:type="dxa"/>
            <w:shd w:val="clear" w:color="auto" w:fill="C4EFCE"/>
            <w:vAlign w:val="center"/>
            <w:hideMark/>
          </w:tcPr>
          <w:p w14:paraId="454764B0" w14:textId="77777777" w:rsidR="00E040FD" w:rsidRDefault="00740D64">
            <w:pPr>
              <w:pStyle w:val="P68B1DB1-Normal23"/>
              <w:spacing w:after="0"/>
              <w:jc w:val="center"/>
              <w:rPr>
                <w:noProof/>
              </w:rPr>
            </w:pPr>
            <w:r>
              <w:rPr>
                <w:noProof/>
              </w:rPr>
              <w:t>3.17</w:t>
            </w:r>
          </w:p>
        </w:tc>
        <w:tc>
          <w:tcPr>
            <w:tcW w:w="1760" w:type="dxa"/>
            <w:shd w:val="clear" w:color="auto" w:fill="C4EFCE"/>
            <w:vAlign w:val="center"/>
            <w:hideMark/>
          </w:tcPr>
          <w:p w14:paraId="5EEE7E6A" w14:textId="77777777" w:rsidR="00E040FD" w:rsidRDefault="00740D64">
            <w:pPr>
              <w:pStyle w:val="P68B1DB1-Normal23"/>
              <w:spacing w:after="0"/>
              <w:jc w:val="center"/>
              <w:rPr>
                <w:noProof/>
              </w:rPr>
            </w:pPr>
            <w:r>
              <w:rPr>
                <w:noProof/>
              </w:rPr>
              <w:t xml:space="preserve">RE-C03-i05 </w:t>
            </w:r>
          </w:p>
        </w:tc>
        <w:tc>
          <w:tcPr>
            <w:tcW w:w="1520" w:type="dxa"/>
            <w:shd w:val="clear" w:color="auto" w:fill="C4EFCE"/>
            <w:vAlign w:val="center"/>
            <w:hideMark/>
          </w:tcPr>
          <w:p w14:paraId="7E749779"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59E3FD88" w14:textId="77777777" w:rsidR="00E040FD" w:rsidRDefault="00740D64">
            <w:pPr>
              <w:pStyle w:val="P68B1DB1-Normal23"/>
              <w:spacing w:after="0"/>
              <w:jc w:val="both"/>
              <w:rPr>
                <w:rFonts w:eastAsia="Calibri" w:cs="Calibri"/>
                <w:noProof/>
              </w:rPr>
            </w:pPr>
            <w:r>
              <w:rPr>
                <w:noProof/>
              </w:rPr>
              <w:t>Offentliggörande av anbudet ”Uppbyggnad av digital infrastruktur för tillgänglighet 360°”</w:t>
            </w:r>
          </w:p>
        </w:tc>
      </w:tr>
      <w:tr w:rsidR="00E040FD" w14:paraId="4A7CD219" w14:textId="77777777">
        <w:trPr>
          <w:trHeight w:val="440"/>
        </w:trPr>
        <w:tc>
          <w:tcPr>
            <w:tcW w:w="1200" w:type="dxa"/>
            <w:shd w:val="clear" w:color="auto" w:fill="C4EFCE"/>
            <w:vAlign w:val="center"/>
            <w:hideMark/>
          </w:tcPr>
          <w:p w14:paraId="11B4A886" w14:textId="77777777" w:rsidR="00E040FD" w:rsidRDefault="00740D64">
            <w:pPr>
              <w:pStyle w:val="P68B1DB1-Normal23"/>
              <w:spacing w:after="0"/>
              <w:jc w:val="center"/>
              <w:rPr>
                <w:noProof/>
              </w:rPr>
            </w:pPr>
            <w:r>
              <w:rPr>
                <w:noProof/>
              </w:rPr>
              <w:t>3.20</w:t>
            </w:r>
          </w:p>
        </w:tc>
        <w:tc>
          <w:tcPr>
            <w:tcW w:w="1760" w:type="dxa"/>
            <w:shd w:val="clear" w:color="auto" w:fill="C4EFCE"/>
            <w:vAlign w:val="center"/>
            <w:hideMark/>
          </w:tcPr>
          <w:p w14:paraId="5AB1C66A" w14:textId="77777777" w:rsidR="00E040FD" w:rsidRDefault="00740D64">
            <w:pPr>
              <w:pStyle w:val="P68B1DB1-Normal23"/>
              <w:spacing w:after="0"/>
              <w:jc w:val="center"/>
              <w:rPr>
                <w:noProof/>
              </w:rPr>
            </w:pPr>
            <w:r>
              <w:rPr>
                <w:noProof/>
              </w:rPr>
              <w:t xml:space="preserve">RE-C03-r08 </w:t>
            </w:r>
          </w:p>
        </w:tc>
        <w:tc>
          <w:tcPr>
            <w:tcW w:w="1520" w:type="dxa"/>
            <w:shd w:val="clear" w:color="auto" w:fill="C4EFCE"/>
            <w:vAlign w:val="center"/>
            <w:hideMark/>
          </w:tcPr>
          <w:p w14:paraId="7115B103"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6834BE7E" w14:textId="77777777" w:rsidR="00E040FD" w:rsidRDefault="00740D64">
            <w:pPr>
              <w:pStyle w:val="P68B1DB1-Normal23"/>
              <w:spacing w:after="0"/>
              <w:jc w:val="both"/>
              <w:rPr>
                <w:rFonts w:eastAsia="Calibri" w:cs="Calibri"/>
                <w:noProof/>
              </w:rPr>
            </w:pPr>
            <w:r>
              <w:rPr>
                <w:noProof/>
              </w:rPr>
              <w:t>Antagande av den nationella strategin för bekämpning av fattigdom</w:t>
            </w:r>
          </w:p>
        </w:tc>
      </w:tr>
      <w:tr w:rsidR="00E040FD" w14:paraId="1EA1FEC6" w14:textId="77777777">
        <w:trPr>
          <w:trHeight w:val="440"/>
        </w:trPr>
        <w:tc>
          <w:tcPr>
            <w:tcW w:w="1200" w:type="dxa"/>
            <w:shd w:val="clear" w:color="auto" w:fill="C4EFCE"/>
            <w:vAlign w:val="center"/>
            <w:hideMark/>
          </w:tcPr>
          <w:p w14:paraId="3194D942" w14:textId="77777777" w:rsidR="00E040FD" w:rsidRDefault="00740D64">
            <w:pPr>
              <w:pStyle w:val="P68B1DB1-Normal23"/>
              <w:spacing w:after="0"/>
              <w:jc w:val="center"/>
              <w:rPr>
                <w:noProof/>
              </w:rPr>
            </w:pPr>
            <w:r>
              <w:rPr>
                <w:noProof/>
              </w:rPr>
              <w:t>3.21</w:t>
            </w:r>
          </w:p>
        </w:tc>
        <w:tc>
          <w:tcPr>
            <w:tcW w:w="1760" w:type="dxa"/>
            <w:shd w:val="clear" w:color="auto" w:fill="C4EFCE"/>
            <w:vAlign w:val="center"/>
            <w:hideMark/>
          </w:tcPr>
          <w:p w14:paraId="365F7A17" w14:textId="77777777" w:rsidR="00E040FD" w:rsidRDefault="00740D64">
            <w:pPr>
              <w:pStyle w:val="P68B1DB1-Normal23"/>
              <w:spacing w:after="0"/>
              <w:jc w:val="center"/>
              <w:rPr>
                <w:noProof/>
              </w:rPr>
            </w:pPr>
            <w:r>
              <w:rPr>
                <w:noProof/>
              </w:rPr>
              <w:t xml:space="preserve">RE-C03-r06 </w:t>
            </w:r>
          </w:p>
        </w:tc>
        <w:tc>
          <w:tcPr>
            <w:tcW w:w="1520" w:type="dxa"/>
            <w:shd w:val="clear" w:color="auto" w:fill="C4EFCE"/>
            <w:vAlign w:val="center"/>
            <w:hideMark/>
          </w:tcPr>
          <w:p w14:paraId="07DB9847"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0E6DA00E" w14:textId="77777777" w:rsidR="00E040FD" w:rsidRDefault="00740D64">
            <w:pPr>
              <w:pStyle w:val="P68B1DB1-Normal23"/>
              <w:spacing w:after="0"/>
              <w:jc w:val="both"/>
              <w:rPr>
                <w:rFonts w:eastAsia="Calibri" w:cs="Calibri"/>
                <w:noProof/>
              </w:rPr>
            </w:pPr>
            <w:r>
              <w:rPr>
                <w:noProof/>
              </w:rPr>
              <w:t>Antagande av den nationella strategin för inkludering av personer med funktionsnedsättning 2021–2025</w:t>
            </w:r>
          </w:p>
        </w:tc>
      </w:tr>
      <w:tr w:rsidR="00E040FD" w14:paraId="35F21874" w14:textId="77777777">
        <w:trPr>
          <w:trHeight w:val="440"/>
        </w:trPr>
        <w:tc>
          <w:tcPr>
            <w:tcW w:w="1200" w:type="dxa"/>
            <w:shd w:val="clear" w:color="auto" w:fill="C4EFCE"/>
            <w:vAlign w:val="center"/>
            <w:hideMark/>
          </w:tcPr>
          <w:p w14:paraId="47B7A28F" w14:textId="77777777" w:rsidR="00E040FD" w:rsidRDefault="00740D64">
            <w:pPr>
              <w:pStyle w:val="P68B1DB1-Normal23"/>
              <w:spacing w:after="0"/>
              <w:jc w:val="center"/>
              <w:rPr>
                <w:noProof/>
              </w:rPr>
            </w:pPr>
            <w:r>
              <w:rPr>
                <w:noProof/>
              </w:rPr>
              <w:t>3.22</w:t>
            </w:r>
          </w:p>
        </w:tc>
        <w:tc>
          <w:tcPr>
            <w:tcW w:w="1760" w:type="dxa"/>
            <w:shd w:val="clear" w:color="auto" w:fill="C4EFCE"/>
            <w:vAlign w:val="center"/>
            <w:hideMark/>
          </w:tcPr>
          <w:p w14:paraId="6AE41D5D" w14:textId="77777777" w:rsidR="00E040FD" w:rsidRDefault="00740D64">
            <w:pPr>
              <w:pStyle w:val="P68B1DB1-Normal23"/>
              <w:spacing w:after="0"/>
              <w:jc w:val="center"/>
              <w:rPr>
                <w:noProof/>
              </w:rPr>
            </w:pPr>
            <w:r>
              <w:rPr>
                <w:noProof/>
              </w:rPr>
              <w:t xml:space="preserve">RE-C03-r05 </w:t>
            </w:r>
          </w:p>
        </w:tc>
        <w:tc>
          <w:tcPr>
            <w:tcW w:w="1520" w:type="dxa"/>
            <w:shd w:val="clear" w:color="auto" w:fill="C4EFCE"/>
            <w:vAlign w:val="center"/>
            <w:hideMark/>
          </w:tcPr>
          <w:p w14:paraId="4C477BAF"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6D60CF00" w14:textId="77777777" w:rsidR="00E040FD" w:rsidRDefault="00740D64">
            <w:pPr>
              <w:pStyle w:val="P68B1DB1-Normal23"/>
              <w:spacing w:after="0"/>
              <w:jc w:val="both"/>
              <w:rPr>
                <w:rFonts w:eastAsia="Calibri" w:cs="Calibri"/>
                <w:noProof/>
              </w:rPr>
            </w:pPr>
            <w:r>
              <w:rPr>
                <w:noProof/>
              </w:rPr>
              <w:t>Ikraftträdande av det förenklade installationssystemet för social utrustning</w:t>
            </w:r>
          </w:p>
        </w:tc>
      </w:tr>
      <w:tr w:rsidR="00E040FD" w14:paraId="4430CD28" w14:textId="77777777">
        <w:trPr>
          <w:trHeight w:val="440"/>
        </w:trPr>
        <w:tc>
          <w:tcPr>
            <w:tcW w:w="1200" w:type="dxa"/>
            <w:shd w:val="clear" w:color="auto" w:fill="C4EFCE"/>
            <w:vAlign w:val="center"/>
            <w:hideMark/>
          </w:tcPr>
          <w:p w14:paraId="23A0F1E2" w14:textId="77777777" w:rsidR="00E040FD" w:rsidRDefault="00740D64">
            <w:pPr>
              <w:pStyle w:val="P68B1DB1-Normal23"/>
              <w:spacing w:after="0"/>
              <w:jc w:val="center"/>
              <w:rPr>
                <w:noProof/>
              </w:rPr>
            </w:pPr>
            <w:r>
              <w:rPr>
                <w:noProof/>
              </w:rPr>
              <w:t>3.23</w:t>
            </w:r>
          </w:p>
        </w:tc>
        <w:tc>
          <w:tcPr>
            <w:tcW w:w="1760" w:type="dxa"/>
            <w:shd w:val="clear" w:color="auto" w:fill="C4EFCE"/>
            <w:vAlign w:val="center"/>
            <w:hideMark/>
          </w:tcPr>
          <w:p w14:paraId="706C3979" w14:textId="77777777" w:rsidR="00E040FD" w:rsidRDefault="00740D64">
            <w:pPr>
              <w:pStyle w:val="P68B1DB1-Normal23"/>
              <w:spacing w:after="0"/>
              <w:jc w:val="center"/>
              <w:rPr>
                <w:noProof/>
              </w:rPr>
            </w:pPr>
            <w:r>
              <w:rPr>
                <w:noProof/>
              </w:rPr>
              <w:t xml:space="preserve">RE-C03-r07 </w:t>
            </w:r>
          </w:p>
        </w:tc>
        <w:tc>
          <w:tcPr>
            <w:tcW w:w="1520" w:type="dxa"/>
            <w:shd w:val="clear" w:color="auto" w:fill="C4EFCE"/>
            <w:vAlign w:val="center"/>
            <w:hideMark/>
          </w:tcPr>
          <w:p w14:paraId="02E5D703"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467651E6" w14:textId="77777777" w:rsidR="00E040FD" w:rsidRDefault="00740D64">
            <w:pPr>
              <w:pStyle w:val="P68B1DB1-Normal23"/>
              <w:spacing w:after="0"/>
              <w:jc w:val="both"/>
              <w:rPr>
                <w:rFonts w:eastAsia="Calibri" w:cs="Calibri"/>
                <w:noProof/>
              </w:rPr>
            </w:pPr>
            <w:r>
              <w:rPr>
                <w:noProof/>
              </w:rPr>
              <w:t>Godkännande av handlingsplaner för missgynnade samhällen i storstadsområdena Lissabon och Porto</w:t>
            </w:r>
          </w:p>
        </w:tc>
      </w:tr>
      <w:tr w:rsidR="00E040FD" w14:paraId="0188275D" w14:textId="77777777">
        <w:trPr>
          <w:trHeight w:val="440"/>
        </w:trPr>
        <w:tc>
          <w:tcPr>
            <w:tcW w:w="1200" w:type="dxa"/>
            <w:shd w:val="clear" w:color="auto" w:fill="C4EFCE"/>
            <w:vAlign w:val="center"/>
            <w:hideMark/>
          </w:tcPr>
          <w:p w14:paraId="1F3B57E4" w14:textId="77777777" w:rsidR="00E040FD" w:rsidRDefault="00740D64">
            <w:pPr>
              <w:pStyle w:val="P68B1DB1-Normal23"/>
              <w:spacing w:after="0"/>
              <w:jc w:val="center"/>
              <w:rPr>
                <w:noProof/>
              </w:rPr>
            </w:pPr>
            <w:r>
              <w:rPr>
                <w:noProof/>
              </w:rPr>
              <w:t>5.1</w:t>
            </w:r>
          </w:p>
        </w:tc>
        <w:tc>
          <w:tcPr>
            <w:tcW w:w="1760" w:type="dxa"/>
            <w:shd w:val="clear" w:color="auto" w:fill="C4EFCE"/>
            <w:vAlign w:val="center"/>
            <w:hideMark/>
          </w:tcPr>
          <w:p w14:paraId="42A78FEF" w14:textId="77777777" w:rsidR="00E040FD" w:rsidRDefault="00740D64">
            <w:pPr>
              <w:pStyle w:val="P68B1DB1-Normal23"/>
              <w:spacing w:after="0"/>
              <w:jc w:val="center"/>
              <w:rPr>
                <w:noProof/>
              </w:rPr>
            </w:pPr>
            <w:r>
              <w:rPr>
                <w:noProof/>
              </w:rPr>
              <w:t xml:space="preserve">RE-C05-r09 </w:t>
            </w:r>
          </w:p>
        </w:tc>
        <w:tc>
          <w:tcPr>
            <w:tcW w:w="1520" w:type="dxa"/>
            <w:shd w:val="clear" w:color="auto" w:fill="C4EFCE"/>
            <w:vAlign w:val="center"/>
            <w:hideMark/>
          </w:tcPr>
          <w:p w14:paraId="31498FF4"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6E244C18" w14:textId="77777777" w:rsidR="00E040FD" w:rsidRDefault="00740D64">
            <w:pPr>
              <w:pStyle w:val="P68B1DB1-Normal23"/>
              <w:spacing w:after="0"/>
              <w:jc w:val="both"/>
              <w:rPr>
                <w:rFonts w:eastAsia="Calibri" w:cs="Calibri"/>
                <w:noProof/>
              </w:rPr>
            </w:pPr>
            <w:r>
              <w:rPr>
                <w:noProof/>
              </w:rPr>
              <w:t>Uppdatering av riktlinjerna för strategin för teknisk innovation och företagsinnovation för Portugal 2030</w:t>
            </w:r>
          </w:p>
        </w:tc>
      </w:tr>
      <w:tr w:rsidR="00E040FD" w14:paraId="78C3ED81" w14:textId="77777777">
        <w:trPr>
          <w:trHeight w:val="440"/>
        </w:trPr>
        <w:tc>
          <w:tcPr>
            <w:tcW w:w="1200" w:type="dxa"/>
            <w:shd w:val="clear" w:color="auto" w:fill="C4EFCE"/>
            <w:vAlign w:val="center"/>
            <w:hideMark/>
          </w:tcPr>
          <w:p w14:paraId="5F5ACAF6" w14:textId="77777777" w:rsidR="00E040FD" w:rsidRDefault="00740D64">
            <w:pPr>
              <w:pStyle w:val="P68B1DB1-Normal23"/>
              <w:spacing w:after="0"/>
              <w:jc w:val="center"/>
              <w:rPr>
                <w:noProof/>
              </w:rPr>
            </w:pPr>
            <w:r>
              <w:rPr>
                <w:noProof/>
              </w:rPr>
              <w:t>5.11</w:t>
            </w:r>
          </w:p>
        </w:tc>
        <w:tc>
          <w:tcPr>
            <w:tcW w:w="1760" w:type="dxa"/>
            <w:shd w:val="clear" w:color="auto" w:fill="C4EFCE"/>
            <w:vAlign w:val="center"/>
            <w:hideMark/>
          </w:tcPr>
          <w:p w14:paraId="392937B4" w14:textId="77777777" w:rsidR="00E040FD" w:rsidRDefault="00740D64">
            <w:pPr>
              <w:pStyle w:val="P68B1DB1-Normal23"/>
              <w:spacing w:after="0"/>
              <w:jc w:val="center"/>
              <w:rPr>
                <w:noProof/>
              </w:rPr>
            </w:pPr>
            <w:r>
              <w:rPr>
                <w:noProof/>
              </w:rPr>
              <w:t xml:space="preserve">RE-C05-i03 </w:t>
            </w:r>
          </w:p>
        </w:tc>
        <w:tc>
          <w:tcPr>
            <w:tcW w:w="1520" w:type="dxa"/>
            <w:shd w:val="clear" w:color="auto" w:fill="C4EFCE"/>
            <w:vAlign w:val="center"/>
            <w:hideMark/>
          </w:tcPr>
          <w:p w14:paraId="7D4ACEC0"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39EA9E33" w14:textId="77777777" w:rsidR="00E040FD" w:rsidRDefault="00740D64">
            <w:pPr>
              <w:pStyle w:val="P68B1DB1-Normal23"/>
              <w:spacing w:after="0"/>
              <w:jc w:val="both"/>
              <w:rPr>
                <w:rFonts w:eastAsia="Calibri" w:cs="Calibri"/>
                <w:noProof/>
              </w:rPr>
            </w:pPr>
            <w:r>
              <w:rPr>
                <w:noProof/>
              </w:rPr>
              <w:t>Anbudsförfarande för forsknings- och innovationsprojekt</w:t>
            </w:r>
          </w:p>
        </w:tc>
      </w:tr>
      <w:tr w:rsidR="00E040FD" w14:paraId="1D0B4AB1" w14:textId="77777777">
        <w:trPr>
          <w:trHeight w:val="440"/>
        </w:trPr>
        <w:tc>
          <w:tcPr>
            <w:tcW w:w="1200" w:type="dxa"/>
            <w:shd w:val="clear" w:color="auto" w:fill="C4EFCE"/>
            <w:vAlign w:val="center"/>
            <w:hideMark/>
          </w:tcPr>
          <w:p w14:paraId="0F7B6C0C" w14:textId="77777777" w:rsidR="00E040FD" w:rsidRDefault="00740D64">
            <w:pPr>
              <w:pStyle w:val="P68B1DB1-Normal23"/>
              <w:spacing w:after="0"/>
              <w:jc w:val="center"/>
              <w:rPr>
                <w:noProof/>
              </w:rPr>
            </w:pPr>
            <w:r>
              <w:rPr>
                <w:noProof/>
              </w:rPr>
              <w:t>5.15</w:t>
            </w:r>
          </w:p>
        </w:tc>
        <w:tc>
          <w:tcPr>
            <w:tcW w:w="1760" w:type="dxa"/>
            <w:shd w:val="clear" w:color="auto" w:fill="C4EFCE"/>
            <w:vAlign w:val="center"/>
            <w:hideMark/>
          </w:tcPr>
          <w:p w14:paraId="0CECB758" w14:textId="77777777" w:rsidR="00E040FD" w:rsidRDefault="00740D64">
            <w:pPr>
              <w:pStyle w:val="P68B1DB1-Normal23"/>
              <w:spacing w:after="0"/>
              <w:jc w:val="center"/>
              <w:rPr>
                <w:noProof/>
              </w:rPr>
            </w:pPr>
            <w:r>
              <w:rPr>
                <w:noProof/>
              </w:rPr>
              <w:t xml:space="preserve">RE-C05-i04-RAA </w:t>
            </w:r>
          </w:p>
        </w:tc>
        <w:tc>
          <w:tcPr>
            <w:tcW w:w="1520" w:type="dxa"/>
            <w:shd w:val="clear" w:color="auto" w:fill="C4EFCE"/>
            <w:vAlign w:val="center"/>
            <w:hideMark/>
          </w:tcPr>
          <w:p w14:paraId="70425A2C"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3C8A3475" w14:textId="77777777" w:rsidR="00E040FD" w:rsidRDefault="00740D64">
            <w:pPr>
              <w:pStyle w:val="P68B1DB1-Normal23"/>
              <w:spacing w:after="0"/>
              <w:jc w:val="both"/>
              <w:rPr>
                <w:rFonts w:eastAsia="Calibri" w:cs="Calibri"/>
                <w:noProof/>
              </w:rPr>
            </w:pPr>
            <w:r>
              <w:rPr>
                <w:noProof/>
              </w:rPr>
              <w:t>Antagande av en förordning om rekapitaliseringsinstrumentet för företag på Azorerna</w:t>
            </w:r>
          </w:p>
        </w:tc>
      </w:tr>
      <w:tr w:rsidR="00E040FD" w14:paraId="176FDD0D" w14:textId="77777777">
        <w:trPr>
          <w:trHeight w:val="440"/>
        </w:trPr>
        <w:tc>
          <w:tcPr>
            <w:tcW w:w="1200" w:type="dxa"/>
            <w:shd w:val="clear" w:color="auto" w:fill="C4EFCE"/>
            <w:vAlign w:val="center"/>
            <w:hideMark/>
          </w:tcPr>
          <w:p w14:paraId="553D2824" w14:textId="77777777" w:rsidR="00E040FD" w:rsidRDefault="00740D64">
            <w:pPr>
              <w:pStyle w:val="P68B1DB1-Normal23"/>
              <w:spacing w:after="0"/>
              <w:jc w:val="center"/>
              <w:rPr>
                <w:noProof/>
              </w:rPr>
            </w:pPr>
            <w:r>
              <w:rPr>
                <w:noProof/>
              </w:rPr>
              <w:t>5.16</w:t>
            </w:r>
          </w:p>
        </w:tc>
        <w:tc>
          <w:tcPr>
            <w:tcW w:w="1760" w:type="dxa"/>
            <w:shd w:val="clear" w:color="auto" w:fill="C4EFCE"/>
            <w:vAlign w:val="center"/>
            <w:hideMark/>
          </w:tcPr>
          <w:p w14:paraId="2639BDA1" w14:textId="77777777" w:rsidR="00E040FD" w:rsidRDefault="00740D64">
            <w:pPr>
              <w:pStyle w:val="P68B1DB1-Normal23"/>
              <w:spacing w:after="0"/>
              <w:jc w:val="center"/>
              <w:rPr>
                <w:noProof/>
              </w:rPr>
            </w:pPr>
            <w:r>
              <w:rPr>
                <w:noProof/>
              </w:rPr>
              <w:t xml:space="preserve">RE-C05-i04-RAA </w:t>
            </w:r>
          </w:p>
        </w:tc>
        <w:tc>
          <w:tcPr>
            <w:tcW w:w="1520" w:type="dxa"/>
            <w:shd w:val="clear" w:color="auto" w:fill="C4EFCE"/>
            <w:vAlign w:val="center"/>
            <w:hideMark/>
          </w:tcPr>
          <w:p w14:paraId="102C8715"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1746EFF2" w14:textId="77777777" w:rsidR="00E040FD" w:rsidRDefault="00740D64">
            <w:pPr>
              <w:pStyle w:val="P68B1DB1-Normal23"/>
              <w:spacing w:after="0"/>
              <w:jc w:val="both"/>
              <w:rPr>
                <w:rFonts w:eastAsia="Calibri" w:cs="Calibri"/>
                <w:noProof/>
              </w:rPr>
            </w:pPr>
            <w:r>
              <w:rPr>
                <w:noProof/>
              </w:rPr>
              <w:t>Antagande av investeringspolicyn för rekapitaliseringsinstrumentet för företag på Azorerna</w:t>
            </w:r>
          </w:p>
        </w:tc>
      </w:tr>
      <w:tr w:rsidR="00E040FD" w14:paraId="07EDB729" w14:textId="77777777">
        <w:trPr>
          <w:trHeight w:val="440"/>
        </w:trPr>
        <w:tc>
          <w:tcPr>
            <w:tcW w:w="1200" w:type="dxa"/>
            <w:shd w:val="clear" w:color="auto" w:fill="C4EFCE"/>
            <w:vAlign w:val="center"/>
            <w:hideMark/>
          </w:tcPr>
          <w:p w14:paraId="397FEFCC" w14:textId="77777777" w:rsidR="00E040FD" w:rsidRDefault="00740D64">
            <w:pPr>
              <w:pStyle w:val="P68B1DB1-Normal23"/>
              <w:spacing w:after="0"/>
              <w:jc w:val="center"/>
              <w:rPr>
                <w:noProof/>
              </w:rPr>
            </w:pPr>
            <w:r>
              <w:rPr>
                <w:noProof/>
              </w:rPr>
              <w:t>5.2</w:t>
            </w:r>
          </w:p>
        </w:tc>
        <w:tc>
          <w:tcPr>
            <w:tcW w:w="1760" w:type="dxa"/>
            <w:shd w:val="clear" w:color="auto" w:fill="C4EFCE"/>
            <w:vAlign w:val="center"/>
            <w:hideMark/>
          </w:tcPr>
          <w:p w14:paraId="7C1F4829" w14:textId="77777777" w:rsidR="00E040FD" w:rsidRDefault="00740D64">
            <w:pPr>
              <w:pStyle w:val="P68B1DB1-Normal23"/>
              <w:spacing w:after="0"/>
              <w:jc w:val="center"/>
              <w:rPr>
                <w:noProof/>
              </w:rPr>
            </w:pPr>
            <w:r>
              <w:rPr>
                <w:noProof/>
              </w:rPr>
              <w:t xml:space="preserve">RE-C05-r11 </w:t>
            </w:r>
          </w:p>
        </w:tc>
        <w:tc>
          <w:tcPr>
            <w:tcW w:w="1520" w:type="dxa"/>
            <w:shd w:val="clear" w:color="auto" w:fill="C4EFCE"/>
            <w:vAlign w:val="center"/>
            <w:hideMark/>
          </w:tcPr>
          <w:p w14:paraId="5720520B" w14:textId="77777777" w:rsidR="00E040FD" w:rsidRDefault="00740D64">
            <w:pPr>
              <w:pStyle w:val="P68B1DB1-Normal23"/>
              <w:spacing w:after="0"/>
              <w:jc w:val="center"/>
              <w:rPr>
                <w:noProof/>
              </w:rPr>
            </w:pPr>
            <w:r>
              <w:rPr>
                <w:noProof/>
              </w:rPr>
              <w:t>T</w:t>
            </w:r>
          </w:p>
        </w:tc>
        <w:tc>
          <w:tcPr>
            <w:tcW w:w="5060" w:type="dxa"/>
            <w:shd w:val="clear" w:color="auto" w:fill="C4EFCE"/>
            <w:vAlign w:val="center"/>
            <w:hideMark/>
          </w:tcPr>
          <w:p w14:paraId="0DF8414C" w14:textId="77777777" w:rsidR="00E040FD" w:rsidRDefault="00740D64">
            <w:pPr>
              <w:pStyle w:val="P68B1DB1-Normal23"/>
              <w:spacing w:after="0"/>
              <w:jc w:val="both"/>
              <w:rPr>
                <w:rFonts w:eastAsia="Calibri" w:cs="Calibri"/>
                <w:noProof/>
              </w:rPr>
            </w:pPr>
            <w:r>
              <w:rPr>
                <w:noProof/>
              </w:rPr>
              <w:t>Utvidgning av nätverket av erkända samarbetslaboratorier</w:t>
            </w:r>
          </w:p>
        </w:tc>
      </w:tr>
      <w:tr w:rsidR="00E040FD" w14:paraId="5A009809" w14:textId="77777777">
        <w:trPr>
          <w:trHeight w:val="440"/>
        </w:trPr>
        <w:tc>
          <w:tcPr>
            <w:tcW w:w="1200" w:type="dxa"/>
            <w:shd w:val="clear" w:color="auto" w:fill="C4EFCE"/>
            <w:vAlign w:val="center"/>
            <w:hideMark/>
          </w:tcPr>
          <w:p w14:paraId="45985C5D" w14:textId="77777777" w:rsidR="00E040FD" w:rsidRDefault="00740D64">
            <w:pPr>
              <w:pStyle w:val="P68B1DB1-Normal23"/>
              <w:spacing w:after="0"/>
              <w:jc w:val="center"/>
              <w:rPr>
                <w:noProof/>
              </w:rPr>
            </w:pPr>
            <w:r>
              <w:rPr>
                <w:noProof/>
              </w:rPr>
              <w:t>5.3</w:t>
            </w:r>
          </w:p>
        </w:tc>
        <w:tc>
          <w:tcPr>
            <w:tcW w:w="1760" w:type="dxa"/>
            <w:shd w:val="clear" w:color="auto" w:fill="C4EFCE"/>
            <w:vAlign w:val="center"/>
            <w:hideMark/>
          </w:tcPr>
          <w:p w14:paraId="011C25AB" w14:textId="77777777" w:rsidR="00E040FD" w:rsidRDefault="00740D64">
            <w:pPr>
              <w:pStyle w:val="P68B1DB1-Normal23"/>
              <w:spacing w:after="0"/>
              <w:jc w:val="center"/>
              <w:rPr>
                <w:noProof/>
              </w:rPr>
            </w:pPr>
            <w:r>
              <w:rPr>
                <w:noProof/>
              </w:rPr>
              <w:t xml:space="preserve">RE-C05-r11 </w:t>
            </w:r>
          </w:p>
        </w:tc>
        <w:tc>
          <w:tcPr>
            <w:tcW w:w="1520" w:type="dxa"/>
            <w:shd w:val="clear" w:color="auto" w:fill="C4EFCE"/>
            <w:vAlign w:val="center"/>
            <w:hideMark/>
          </w:tcPr>
          <w:p w14:paraId="2FDDC858"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6A5BACC9" w14:textId="77777777" w:rsidR="00E040FD" w:rsidRDefault="00740D64">
            <w:pPr>
              <w:pStyle w:val="P68B1DB1-Normal23"/>
              <w:spacing w:after="0"/>
              <w:jc w:val="both"/>
              <w:rPr>
                <w:rFonts w:eastAsia="Calibri" w:cs="Calibri"/>
                <w:noProof/>
              </w:rPr>
            </w:pPr>
            <w:r>
              <w:rPr>
                <w:noProof/>
              </w:rPr>
              <w:t>Ikraftträdande av den nya rättsliga ordningen för teknik- och innovationscentrum</w:t>
            </w:r>
          </w:p>
        </w:tc>
      </w:tr>
      <w:tr w:rsidR="00E040FD" w14:paraId="19FDD4F0" w14:textId="77777777">
        <w:trPr>
          <w:trHeight w:val="440"/>
        </w:trPr>
        <w:tc>
          <w:tcPr>
            <w:tcW w:w="1200" w:type="dxa"/>
            <w:shd w:val="clear" w:color="auto" w:fill="C4EFCE"/>
            <w:vAlign w:val="center"/>
            <w:hideMark/>
          </w:tcPr>
          <w:p w14:paraId="63D580E9" w14:textId="77777777" w:rsidR="00E040FD" w:rsidRDefault="00740D64">
            <w:pPr>
              <w:pStyle w:val="P68B1DB1-Normal23"/>
              <w:spacing w:after="0"/>
              <w:jc w:val="center"/>
              <w:rPr>
                <w:noProof/>
              </w:rPr>
            </w:pPr>
            <w:r>
              <w:rPr>
                <w:noProof/>
              </w:rPr>
              <w:t>5.4</w:t>
            </w:r>
          </w:p>
        </w:tc>
        <w:tc>
          <w:tcPr>
            <w:tcW w:w="1760" w:type="dxa"/>
            <w:shd w:val="clear" w:color="auto" w:fill="C4EFCE"/>
            <w:vAlign w:val="center"/>
            <w:hideMark/>
          </w:tcPr>
          <w:p w14:paraId="10BF5D37" w14:textId="77777777" w:rsidR="00E040FD" w:rsidRDefault="00740D64">
            <w:pPr>
              <w:pStyle w:val="P68B1DB1-Normal23"/>
              <w:spacing w:after="0"/>
              <w:jc w:val="center"/>
              <w:rPr>
                <w:noProof/>
              </w:rPr>
            </w:pPr>
            <w:r>
              <w:rPr>
                <w:noProof/>
              </w:rPr>
              <w:t xml:space="preserve">RE-C05-r12 </w:t>
            </w:r>
          </w:p>
        </w:tc>
        <w:tc>
          <w:tcPr>
            <w:tcW w:w="1520" w:type="dxa"/>
            <w:shd w:val="clear" w:color="auto" w:fill="C4EFCE"/>
            <w:vAlign w:val="center"/>
            <w:hideMark/>
          </w:tcPr>
          <w:p w14:paraId="1867B00B"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5CD95E27" w14:textId="77777777" w:rsidR="00E040FD" w:rsidRDefault="00740D64">
            <w:pPr>
              <w:pStyle w:val="P68B1DB1-Normal23"/>
              <w:spacing w:after="0"/>
              <w:jc w:val="both"/>
              <w:rPr>
                <w:rFonts w:eastAsia="Calibri" w:cs="Calibri"/>
                <w:noProof/>
              </w:rPr>
            </w:pPr>
            <w:r>
              <w:rPr>
                <w:noProof/>
              </w:rPr>
              <w:t>Godkännande av innovationsagendan för jordbruket</w:t>
            </w:r>
          </w:p>
        </w:tc>
      </w:tr>
      <w:tr w:rsidR="00E040FD" w14:paraId="12F9AFB2" w14:textId="77777777">
        <w:trPr>
          <w:trHeight w:val="440"/>
        </w:trPr>
        <w:tc>
          <w:tcPr>
            <w:tcW w:w="1200" w:type="dxa"/>
            <w:shd w:val="clear" w:color="auto" w:fill="C4EFCE"/>
            <w:vAlign w:val="center"/>
            <w:hideMark/>
          </w:tcPr>
          <w:p w14:paraId="39DEBBB4" w14:textId="77777777" w:rsidR="00E040FD" w:rsidRDefault="00740D64">
            <w:pPr>
              <w:pStyle w:val="P68B1DB1-Normal23"/>
              <w:spacing w:after="0"/>
              <w:jc w:val="center"/>
              <w:rPr>
                <w:noProof/>
              </w:rPr>
            </w:pPr>
            <w:r>
              <w:rPr>
                <w:noProof/>
              </w:rPr>
              <w:t>6.13</w:t>
            </w:r>
          </w:p>
        </w:tc>
        <w:tc>
          <w:tcPr>
            <w:tcW w:w="1760" w:type="dxa"/>
            <w:shd w:val="clear" w:color="auto" w:fill="C4EFCE"/>
            <w:vAlign w:val="center"/>
            <w:hideMark/>
          </w:tcPr>
          <w:p w14:paraId="30D3AAEE" w14:textId="77777777" w:rsidR="00E040FD" w:rsidRDefault="00740D64">
            <w:pPr>
              <w:pStyle w:val="P68B1DB1-Normal23"/>
              <w:spacing w:after="0"/>
              <w:jc w:val="center"/>
              <w:rPr>
                <w:noProof/>
              </w:rPr>
            </w:pPr>
            <w:r>
              <w:rPr>
                <w:noProof/>
              </w:rPr>
              <w:t xml:space="preserve">RE-C06-r15 </w:t>
            </w:r>
          </w:p>
        </w:tc>
        <w:tc>
          <w:tcPr>
            <w:tcW w:w="1520" w:type="dxa"/>
            <w:shd w:val="clear" w:color="auto" w:fill="C4EFCE"/>
            <w:vAlign w:val="center"/>
            <w:hideMark/>
          </w:tcPr>
          <w:p w14:paraId="43512B53"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1BF7F834" w14:textId="77777777" w:rsidR="00E040FD" w:rsidRDefault="00740D64">
            <w:pPr>
              <w:pStyle w:val="P68B1DB1-Normal23"/>
              <w:spacing w:after="0"/>
              <w:jc w:val="both"/>
              <w:rPr>
                <w:rFonts w:eastAsia="Calibri" w:cs="Calibri"/>
                <w:noProof/>
              </w:rPr>
            </w:pPr>
            <w:r>
              <w:rPr>
                <w:noProof/>
              </w:rPr>
              <w:t>Lagen om särskilda uttagningsprov för tillträde till högre utbildning träder i kraft</w:t>
            </w:r>
          </w:p>
        </w:tc>
      </w:tr>
      <w:tr w:rsidR="00E040FD" w14:paraId="61C18867" w14:textId="77777777">
        <w:trPr>
          <w:trHeight w:val="440"/>
        </w:trPr>
        <w:tc>
          <w:tcPr>
            <w:tcW w:w="1200" w:type="dxa"/>
            <w:shd w:val="clear" w:color="auto" w:fill="C4EFCE"/>
            <w:vAlign w:val="center"/>
            <w:hideMark/>
          </w:tcPr>
          <w:p w14:paraId="0FD5FA1D" w14:textId="77777777" w:rsidR="00E040FD" w:rsidRDefault="00740D64">
            <w:pPr>
              <w:pStyle w:val="P68B1DB1-Normal23"/>
              <w:spacing w:after="0"/>
              <w:jc w:val="center"/>
              <w:rPr>
                <w:noProof/>
              </w:rPr>
            </w:pPr>
            <w:r>
              <w:rPr>
                <w:noProof/>
              </w:rPr>
              <w:t>6.14</w:t>
            </w:r>
          </w:p>
        </w:tc>
        <w:tc>
          <w:tcPr>
            <w:tcW w:w="1760" w:type="dxa"/>
            <w:shd w:val="clear" w:color="auto" w:fill="C4EFCE"/>
            <w:vAlign w:val="center"/>
            <w:hideMark/>
          </w:tcPr>
          <w:p w14:paraId="1EE8D1BA" w14:textId="77777777" w:rsidR="00E040FD" w:rsidRDefault="00740D64">
            <w:pPr>
              <w:pStyle w:val="P68B1DB1-Normal23"/>
              <w:spacing w:after="0"/>
              <w:jc w:val="center"/>
              <w:rPr>
                <w:noProof/>
              </w:rPr>
            </w:pPr>
            <w:r>
              <w:rPr>
                <w:noProof/>
              </w:rPr>
              <w:t xml:space="preserve">RE-C06-r15 </w:t>
            </w:r>
          </w:p>
        </w:tc>
        <w:tc>
          <w:tcPr>
            <w:tcW w:w="1520" w:type="dxa"/>
            <w:shd w:val="clear" w:color="auto" w:fill="C4EFCE"/>
            <w:vAlign w:val="center"/>
            <w:hideMark/>
          </w:tcPr>
          <w:p w14:paraId="64C27FF8"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14B43E2A" w14:textId="77777777" w:rsidR="00E040FD" w:rsidRDefault="00740D64">
            <w:pPr>
              <w:pStyle w:val="P68B1DB1-Normal23"/>
              <w:spacing w:after="0"/>
              <w:jc w:val="both"/>
              <w:rPr>
                <w:rFonts w:eastAsia="Calibri" w:cs="Calibri"/>
                <w:noProof/>
              </w:rPr>
            </w:pPr>
            <w:r>
              <w:rPr>
                <w:noProof/>
              </w:rPr>
              <w:t>Ikraftträdande av den nya rättsliga ramen för högre utbildningsanstalters samarbete med offentlig förvaltning och företag</w:t>
            </w:r>
          </w:p>
        </w:tc>
      </w:tr>
      <w:tr w:rsidR="00E040FD" w14:paraId="4A58B578" w14:textId="77777777">
        <w:trPr>
          <w:trHeight w:val="440"/>
        </w:trPr>
        <w:tc>
          <w:tcPr>
            <w:tcW w:w="1200" w:type="dxa"/>
            <w:shd w:val="clear" w:color="auto" w:fill="C4EFCE"/>
            <w:vAlign w:val="center"/>
            <w:hideMark/>
          </w:tcPr>
          <w:p w14:paraId="589ACBA1" w14:textId="77777777" w:rsidR="00E040FD" w:rsidRDefault="00740D64">
            <w:pPr>
              <w:pStyle w:val="P68B1DB1-Normal23"/>
              <w:spacing w:after="0"/>
              <w:jc w:val="center"/>
              <w:rPr>
                <w:noProof/>
              </w:rPr>
            </w:pPr>
            <w:r>
              <w:rPr>
                <w:noProof/>
              </w:rPr>
              <w:t>7.13</w:t>
            </w:r>
          </w:p>
        </w:tc>
        <w:tc>
          <w:tcPr>
            <w:tcW w:w="1760" w:type="dxa"/>
            <w:shd w:val="clear" w:color="auto" w:fill="C4EFCE"/>
            <w:vAlign w:val="center"/>
            <w:hideMark/>
          </w:tcPr>
          <w:p w14:paraId="4582D520" w14:textId="77777777" w:rsidR="00E040FD" w:rsidRDefault="00740D64">
            <w:pPr>
              <w:pStyle w:val="P68B1DB1-Normal23"/>
              <w:spacing w:after="0"/>
              <w:jc w:val="center"/>
              <w:rPr>
                <w:noProof/>
              </w:rPr>
            </w:pPr>
            <w:r>
              <w:rPr>
                <w:noProof/>
              </w:rPr>
              <w:t xml:space="preserve">RE-C07-i05-RAA </w:t>
            </w:r>
          </w:p>
        </w:tc>
        <w:tc>
          <w:tcPr>
            <w:tcW w:w="1520" w:type="dxa"/>
            <w:shd w:val="clear" w:color="auto" w:fill="C4EFCE"/>
            <w:vAlign w:val="center"/>
            <w:hideMark/>
          </w:tcPr>
          <w:p w14:paraId="47370D35"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26028944" w14:textId="77777777" w:rsidR="00E040FD" w:rsidRDefault="00740D64">
            <w:pPr>
              <w:pStyle w:val="P68B1DB1-Normal23"/>
              <w:spacing w:after="0"/>
              <w:jc w:val="both"/>
              <w:rPr>
                <w:rFonts w:eastAsia="Calibri" w:cs="Calibri"/>
                <w:noProof/>
              </w:rPr>
            </w:pPr>
            <w:r>
              <w:rPr>
                <w:noProof/>
              </w:rPr>
              <w:t>Kontrakt undertecknat för 2 vägprojekt</w:t>
            </w:r>
          </w:p>
        </w:tc>
      </w:tr>
      <w:tr w:rsidR="00E040FD" w14:paraId="5A75393F" w14:textId="77777777">
        <w:trPr>
          <w:trHeight w:val="440"/>
        </w:trPr>
        <w:tc>
          <w:tcPr>
            <w:tcW w:w="1200" w:type="dxa"/>
            <w:shd w:val="clear" w:color="auto" w:fill="C4EFCE"/>
            <w:vAlign w:val="center"/>
            <w:hideMark/>
          </w:tcPr>
          <w:p w14:paraId="4836862C" w14:textId="77777777" w:rsidR="00E040FD" w:rsidRDefault="00740D64">
            <w:pPr>
              <w:pStyle w:val="P68B1DB1-Normal23"/>
              <w:spacing w:after="0"/>
              <w:jc w:val="center"/>
              <w:rPr>
                <w:noProof/>
              </w:rPr>
            </w:pPr>
            <w:r>
              <w:rPr>
                <w:noProof/>
              </w:rPr>
              <w:t>7.4</w:t>
            </w:r>
          </w:p>
        </w:tc>
        <w:tc>
          <w:tcPr>
            <w:tcW w:w="1760" w:type="dxa"/>
            <w:shd w:val="clear" w:color="auto" w:fill="C4EFCE"/>
            <w:vAlign w:val="center"/>
            <w:hideMark/>
          </w:tcPr>
          <w:p w14:paraId="6EC62E0F" w14:textId="77777777" w:rsidR="00E040FD" w:rsidRDefault="00740D64">
            <w:pPr>
              <w:pStyle w:val="P68B1DB1-Normal23"/>
              <w:spacing w:after="0"/>
              <w:jc w:val="center"/>
              <w:rPr>
                <w:noProof/>
              </w:rPr>
            </w:pPr>
            <w:r>
              <w:rPr>
                <w:noProof/>
              </w:rPr>
              <w:t xml:space="preserve">RE-C07-i01 </w:t>
            </w:r>
          </w:p>
        </w:tc>
        <w:tc>
          <w:tcPr>
            <w:tcW w:w="1520" w:type="dxa"/>
            <w:shd w:val="clear" w:color="auto" w:fill="C4EFCE"/>
            <w:vAlign w:val="center"/>
            <w:hideMark/>
          </w:tcPr>
          <w:p w14:paraId="43E1DAC1"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4A91E7C4" w14:textId="77777777" w:rsidR="00E040FD" w:rsidRDefault="00740D64">
            <w:pPr>
              <w:pStyle w:val="P68B1DB1-Normal23"/>
              <w:spacing w:after="0"/>
              <w:jc w:val="both"/>
              <w:rPr>
                <w:rFonts w:eastAsia="Calibri" w:cs="Calibri"/>
                <w:noProof/>
              </w:rPr>
            </w:pPr>
            <w:r>
              <w:rPr>
                <w:noProof/>
              </w:rPr>
              <w:t>Urval av mottagandeområden för insatser för att förbättra den miljömässiga hållbarheten och digitaliseringen</w:t>
            </w:r>
          </w:p>
        </w:tc>
      </w:tr>
      <w:tr w:rsidR="00E040FD" w14:paraId="75CC5DDC" w14:textId="77777777">
        <w:trPr>
          <w:trHeight w:val="440"/>
        </w:trPr>
        <w:tc>
          <w:tcPr>
            <w:tcW w:w="1200" w:type="dxa"/>
            <w:shd w:val="clear" w:color="auto" w:fill="C4EFCE"/>
            <w:vAlign w:val="center"/>
            <w:hideMark/>
          </w:tcPr>
          <w:p w14:paraId="5E220711" w14:textId="77777777" w:rsidR="00E040FD" w:rsidRDefault="00740D64">
            <w:pPr>
              <w:pStyle w:val="P68B1DB1-Normal23"/>
              <w:spacing w:after="0"/>
              <w:jc w:val="center"/>
              <w:rPr>
                <w:noProof/>
              </w:rPr>
            </w:pPr>
            <w:r>
              <w:rPr>
                <w:noProof/>
              </w:rPr>
              <w:t>7.6</w:t>
            </w:r>
          </w:p>
        </w:tc>
        <w:tc>
          <w:tcPr>
            <w:tcW w:w="1760" w:type="dxa"/>
            <w:shd w:val="clear" w:color="auto" w:fill="C4EFCE"/>
            <w:vAlign w:val="center"/>
            <w:hideMark/>
          </w:tcPr>
          <w:p w14:paraId="5A760791" w14:textId="77777777" w:rsidR="00E040FD" w:rsidRDefault="00740D64">
            <w:pPr>
              <w:pStyle w:val="P68B1DB1-Normal23"/>
              <w:spacing w:after="0"/>
              <w:jc w:val="center"/>
              <w:rPr>
                <w:noProof/>
              </w:rPr>
            </w:pPr>
            <w:r>
              <w:rPr>
                <w:noProof/>
              </w:rPr>
              <w:t xml:space="preserve">RE-C07-i02 </w:t>
            </w:r>
          </w:p>
        </w:tc>
        <w:tc>
          <w:tcPr>
            <w:tcW w:w="1520" w:type="dxa"/>
            <w:shd w:val="clear" w:color="auto" w:fill="C4EFCE"/>
            <w:vAlign w:val="center"/>
            <w:hideMark/>
          </w:tcPr>
          <w:p w14:paraId="7D0D3132"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7E253E1A" w14:textId="77777777" w:rsidR="00E040FD" w:rsidRDefault="00740D64">
            <w:pPr>
              <w:pStyle w:val="P68B1DB1-Normal23"/>
              <w:spacing w:after="0"/>
              <w:jc w:val="both"/>
              <w:rPr>
                <w:rFonts w:eastAsia="Calibri" w:cs="Calibri"/>
                <w:noProof/>
              </w:rPr>
            </w:pPr>
            <w:r>
              <w:rPr>
                <w:noProof/>
              </w:rPr>
              <w:t>Avtal undertecknat för 1 års vägprojekt</w:t>
            </w:r>
          </w:p>
        </w:tc>
      </w:tr>
      <w:tr w:rsidR="00E040FD" w14:paraId="5BEA9678" w14:textId="77777777">
        <w:trPr>
          <w:trHeight w:val="440"/>
        </w:trPr>
        <w:tc>
          <w:tcPr>
            <w:tcW w:w="1200" w:type="dxa"/>
            <w:shd w:val="clear" w:color="auto" w:fill="C4EFCE"/>
            <w:vAlign w:val="center"/>
            <w:hideMark/>
          </w:tcPr>
          <w:p w14:paraId="3C39A8D9" w14:textId="77777777" w:rsidR="00E040FD" w:rsidRDefault="00740D64">
            <w:pPr>
              <w:pStyle w:val="P68B1DB1-Normal23"/>
              <w:spacing w:after="0"/>
              <w:jc w:val="center"/>
              <w:rPr>
                <w:noProof/>
              </w:rPr>
            </w:pPr>
            <w:r>
              <w:rPr>
                <w:noProof/>
              </w:rPr>
              <w:t>8.17</w:t>
            </w:r>
          </w:p>
        </w:tc>
        <w:tc>
          <w:tcPr>
            <w:tcW w:w="1760" w:type="dxa"/>
            <w:shd w:val="clear" w:color="auto" w:fill="C4EFCE"/>
            <w:vAlign w:val="center"/>
            <w:hideMark/>
          </w:tcPr>
          <w:p w14:paraId="0B0F6447" w14:textId="77777777" w:rsidR="00E040FD" w:rsidRDefault="00740D64">
            <w:pPr>
              <w:pStyle w:val="P68B1DB1-Normal23"/>
              <w:spacing w:after="0"/>
              <w:jc w:val="center"/>
              <w:rPr>
                <w:noProof/>
              </w:rPr>
            </w:pPr>
            <w:r>
              <w:rPr>
                <w:noProof/>
              </w:rPr>
              <w:t xml:space="preserve">RE-C08-r19 </w:t>
            </w:r>
          </w:p>
        </w:tc>
        <w:tc>
          <w:tcPr>
            <w:tcW w:w="1520" w:type="dxa"/>
            <w:shd w:val="clear" w:color="auto" w:fill="C4EFCE"/>
            <w:vAlign w:val="center"/>
            <w:hideMark/>
          </w:tcPr>
          <w:p w14:paraId="6886AA4B"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113FE96C" w14:textId="77777777" w:rsidR="00E040FD" w:rsidRDefault="00740D64">
            <w:pPr>
              <w:pStyle w:val="P68B1DB1-Normal23"/>
              <w:spacing w:after="0"/>
              <w:jc w:val="both"/>
              <w:rPr>
                <w:rFonts w:eastAsia="Calibri" w:cs="Calibri"/>
                <w:noProof/>
              </w:rPr>
            </w:pPr>
            <w:r>
              <w:rPr>
                <w:noProof/>
              </w:rPr>
              <w:t>Rättslig ram för obligatorisk besittningsrätt för jordbruksmark i skogsområden</w:t>
            </w:r>
          </w:p>
        </w:tc>
      </w:tr>
      <w:tr w:rsidR="00E040FD" w14:paraId="5B8ABD10" w14:textId="77777777">
        <w:trPr>
          <w:trHeight w:val="440"/>
        </w:trPr>
        <w:tc>
          <w:tcPr>
            <w:tcW w:w="1200" w:type="dxa"/>
            <w:shd w:val="clear" w:color="auto" w:fill="C4EFCE"/>
            <w:vAlign w:val="center"/>
            <w:hideMark/>
          </w:tcPr>
          <w:p w14:paraId="519B6950" w14:textId="77777777" w:rsidR="00E040FD" w:rsidRDefault="00740D64">
            <w:pPr>
              <w:pStyle w:val="P68B1DB1-Normal23"/>
              <w:spacing w:after="0"/>
              <w:jc w:val="center"/>
              <w:rPr>
                <w:noProof/>
              </w:rPr>
            </w:pPr>
            <w:r>
              <w:rPr>
                <w:noProof/>
              </w:rPr>
              <w:t>8.19</w:t>
            </w:r>
          </w:p>
        </w:tc>
        <w:tc>
          <w:tcPr>
            <w:tcW w:w="1760" w:type="dxa"/>
            <w:shd w:val="clear" w:color="auto" w:fill="C4EFCE"/>
            <w:vAlign w:val="center"/>
            <w:hideMark/>
          </w:tcPr>
          <w:p w14:paraId="5223F53B" w14:textId="77777777" w:rsidR="00E040FD" w:rsidRDefault="00740D64">
            <w:pPr>
              <w:pStyle w:val="P68B1DB1-Normal23"/>
              <w:spacing w:after="0"/>
              <w:jc w:val="center"/>
              <w:rPr>
                <w:noProof/>
              </w:rPr>
            </w:pPr>
            <w:r>
              <w:rPr>
                <w:noProof/>
              </w:rPr>
              <w:t xml:space="preserve">RE-C08-r21 </w:t>
            </w:r>
          </w:p>
        </w:tc>
        <w:tc>
          <w:tcPr>
            <w:tcW w:w="1520" w:type="dxa"/>
            <w:shd w:val="clear" w:color="auto" w:fill="C4EFCE"/>
            <w:vAlign w:val="center"/>
            <w:hideMark/>
          </w:tcPr>
          <w:p w14:paraId="4883CA1A"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02ED0FFB" w14:textId="77777777" w:rsidR="00E040FD" w:rsidRDefault="00740D64">
            <w:pPr>
              <w:pStyle w:val="P68B1DB1-Normal23"/>
              <w:spacing w:after="0"/>
              <w:jc w:val="both"/>
              <w:rPr>
                <w:rFonts w:eastAsia="Calibri" w:cs="Calibri"/>
                <w:noProof/>
              </w:rPr>
            </w:pPr>
            <w:r>
              <w:rPr>
                <w:noProof/>
              </w:rPr>
              <w:t>Lagen om inrättande av det integrerade förvaltningssystemet för bränder på landsbygden (SGIFR)</w:t>
            </w:r>
          </w:p>
        </w:tc>
      </w:tr>
      <w:tr w:rsidR="00E040FD" w14:paraId="7BBE62F1" w14:textId="77777777">
        <w:trPr>
          <w:trHeight w:val="440"/>
        </w:trPr>
        <w:tc>
          <w:tcPr>
            <w:tcW w:w="1200" w:type="dxa"/>
            <w:shd w:val="clear" w:color="auto" w:fill="C4EFCE"/>
            <w:vAlign w:val="center"/>
            <w:hideMark/>
          </w:tcPr>
          <w:p w14:paraId="74840772" w14:textId="77777777" w:rsidR="00E040FD" w:rsidRDefault="00740D64">
            <w:pPr>
              <w:pStyle w:val="P68B1DB1-Normal23"/>
              <w:spacing w:after="0"/>
              <w:jc w:val="center"/>
              <w:rPr>
                <w:noProof/>
              </w:rPr>
            </w:pPr>
            <w:r>
              <w:rPr>
                <w:noProof/>
              </w:rPr>
              <w:t>10.1</w:t>
            </w:r>
          </w:p>
        </w:tc>
        <w:tc>
          <w:tcPr>
            <w:tcW w:w="1760" w:type="dxa"/>
            <w:shd w:val="clear" w:color="auto" w:fill="C4EFCE"/>
            <w:vAlign w:val="center"/>
            <w:hideMark/>
          </w:tcPr>
          <w:p w14:paraId="081EA232" w14:textId="77777777" w:rsidR="00E040FD" w:rsidRDefault="00740D64">
            <w:pPr>
              <w:pStyle w:val="P68B1DB1-Normal23"/>
              <w:spacing w:after="0"/>
              <w:jc w:val="center"/>
              <w:rPr>
                <w:noProof/>
              </w:rPr>
            </w:pPr>
            <w:r>
              <w:rPr>
                <w:noProof/>
              </w:rPr>
              <w:t xml:space="preserve">TC-C10-r23 </w:t>
            </w:r>
          </w:p>
        </w:tc>
        <w:tc>
          <w:tcPr>
            <w:tcW w:w="1520" w:type="dxa"/>
            <w:shd w:val="clear" w:color="auto" w:fill="C4EFCE"/>
            <w:vAlign w:val="center"/>
            <w:hideMark/>
          </w:tcPr>
          <w:p w14:paraId="1A40FC5B"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4A1DFEA2" w14:textId="77777777" w:rsidR="00E040FD" w:rsidRDefault="00740D64">
            <w:pPr>
              <w:pStyle w:val="P68B1DB1-Normal23"/>
              <w:spacing w:after="0"/>
              <w:jc w:val="both"/>
              <w:rPr>
                <w:rFonts w:eastAsia="Calibri" w:cs="Calibri"/>
                <w:noProof/>
              </w:rPr>
            </w:pPr>
            <w:r>
              <w:rPr>
                <w:noProof/>
              </w:rPr>
              <w:t>Ikraftträdande av översynen av havsministeriets akter om förstärkning av finansieringskapaciteten för havsekonomin och innovation genom den blå fonden</w:t>
            </w:r>
          </w:p>
        </w:tc>
      </w:tr>
      <w:tr w:rsidR="00E040FD" w14:paraId="595FF18B" w14:textId="77777777">
        <w:trPr>
          <w:trHeight w:val="440"/>
        </w:trPr>
        <w:tc>
          <w:tcPr>
            <w:tcW w:w="1200" w:type="dxa"/>
            <w:shd w:val="clear" w:color="auto" w:fill="C4EFCE"/>
            <w:vAlign w:val="center"/>
            <w:hideMark/>
          </w:tcPr>
          <w:p w14:paraId="51E6AC70" w14:textId="77777777" w:rsidR="00E040FD" w:rsidRDefault="00740D64">
            <w:pPr>
              <w:pStyle w:val="P68B1DB1-Normal23"/>
              <w:spacing w:after="0"/>
              <w:jc w:val="center"/>
              <w:rPr>
                <w:noProof/>
              </w:rPr>
            </w:pPr>
            <w:r>
              <w:rPr>
                <w:noProof/>
              </w:rPr>
              <w:t>11.1</w:t>
            </w:r>
          </w:p>
        </w:tc>
        <w:tc>
          <w:tcPr>
            <w:tcW w:w="1760" w:type="dxa"/>
            <w:shd w:val="clear" w:color="auto" w:fill="C4EFCE"/>
            <w:vAlign w:val="center"/>
            <w:hideMark/>
          </w:tcPr>
          <w:p w14:paraId="19722C51" w14:textId="77777777" w:rsidR="00E040FD" w:rsidRDefault="00740D64">
            <w:pPr>
              <w:pStyle w:val="P68B1DB1-Normal23"/>
              <w:spacing w:after="0"/>
              <w:jc w:val="center"/>
              <w:rPr>
                <w:noProof/>
              </w:rPr>
            </w:pPr>
            <w:r>
              <w:rPr>
                <w:noProof/>
              </w:rPr>
              <w:t xml:space="preserve">TC-C11-I01 </w:t>
            </w:r>
          </w:p>
        </w:tc>
        <w:tc>
          <w:tcPr>
            <w:tcW w:w="1520" w:type="dxa"/>
            <w:shd w:val="clear" w:color="auto" w:fill="C4EFCE"/>
            <w:vAlign w:val="center"/>
            <w:hideMark/>
          </w:tcPr>
          <w:p w14:paraId="4C1ADAEB"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3D4D4BC1" w14:textId="77777777" w:rsidR="00E040FD" w:rsidRDefault="00740D64">
            <w:pPr>
              <w:pStyle w:val="P68B1DB1-Normal23"/>
              <w:spacing w:after="0"/>
              <w:jc w:val="both"/>
              <w:rPr>
                <w:rFonts w:eastAsia="Calibri" w:cs="Calibri"/>
                <w:noProof/>
              </w:rPr>
            </w:pPr>
            <w:r>
              <w:rPr>
                <w:noProof/>
              </w:rPr>
              <w:t>Första anbudsinfordran för industriella projekt för utfasning av fossila bränslen</w:t>
            </w:r>
          </w:p>
        </w:tc>
      </w:tr>
      <w:tr w:rsidR="00E040FD" w14:paraId="31460A21" w14:textId="77777777">
        <w:trPr>
          <w:trHeight w:val="440"/>
        </w:trPr>
        <w:tc>
          <w:tcPr>
            <w:tcW w:w="1200" w:type="dxa"/>
            <w:shd w:val="clear" w:color="auto" w:fill="C4EFCE"/>
            <w:vAlign w:val="center"/>
            <w:hideMark/>
          </w:tcPr>
          <w:p w14:paraId="50C257CF" w14:textId="77777777" w:rsidR="00E040FD" w:rsidRDefault="00740D64">
            <w:pPr>
              <w:pStyle w:val="P68B1DB1-Normal23"/>
              <w:spacing w:after="0"/>
              <w:jc w:val="center"/>
              <w:rPr>
                <w:noProof/>
              </w:rPr>
            </w:pPr>
            <w:r>
              <w:rPr>
                <w:noProof/>
              </w:rPr>
              <w:t>12.1</w:t>
            </w:r>
          </w:p>
        </w:tc>
        <w:tc>
          <w:tcPr>
            <w:tcW w:w="1760" w:type="dxa"/>
            <w:shd w:val="clear" w:color="auto" w:fill="C4EFCE"/>
            <w:vAlign w:val="center"/>
            <w:hideMark/>
          </w:tcPr>
          <w:p w14:paraId="4AAF72C5" w14:textId="77777777" w:rsidR="00E040FD" w:rsidRDefault="00740D64">
            <w:pPr>
              <w:pStyle w:val="P68B1DB1-Normal23"/>
              <w:spacing w:after="0"/>
              <w:jc w:val="center"/>
              <w:rPr>
                <w:noProof/>
              </w:rPr>
            </w:pPr>
            <w:r>
              <w:rPr>
                <w:noProof/>
              </w:rPr>
              <w:t xml:space="preserve">TC-C12-I01 </w:t>
            </w:r>
          </w:p>
        </w:tc>
        <w:tc>
          <w:tcPr>
            <w:tcW w:w="1520" w:type="dxa"/>
            <w:shd w:val="clear" w:color="auto" w:fill="C4EFCE"/>
            <w:vAlign w:val="center"/>
            <w:hideMark/>
          </w:tcPr>
          <w:p w14:paraId="47D2CFD9"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7D7CA154" w14:textId="77777777" w:rsidR="00E040FD" w:rsidRDefault="00740D64">
            <w:pPr>
              <w:pStyle w:val="P68B1DB1-Normal23"/>
              <w:spacing w:after="0"/>
              <w:jc w:val="both"/>
              <w:rPr>
                <w:rFonts w:eastAsia="Calibri" w:cs="Calibri"/>
                <w:noProof/>
              </w:rPr>
            </w:pPr>
            <w:r>
              <w:rPr>
                <w:noProof/>
              </w:rPr>
              <w:t>Undertecknande av 2021 års protokoll till programmet Resineiros Vigilantes</w:t>
            </w:r>
          </w:p>
        </w:tc>
      </w:tr>
      <w:tr w:rsidR="00E040FD" w14:paraId="64499990" w14:textId="77777777">
        <w:trPr>
          <w:trHeight w:val="440"/>
        </w:trPr>
        <w:tc>
          <w:tcPr>
            <w:tcW w:w="1200" w:type="dxa"/>
            <w:shd w:val="clear" w:color="auto" w:fill="C4EFCE"/>
            <w:vAlign w:val="center"/>
            <w:hideMark/>
          </w:tcPr>
          <w:p w14:paraId="66FF5C24" w14:textId="77777777" w:rsidR="00E040FD" w:rsidRDefault="00740D64">
            <w:pPr>
              <w:pStyle w:val="P68B1DB1-Normal23"/>
              <w:spacing w:after="0"/>
              <w:jc w:val="center"/>
              <w:rPr>
                <w:noProof/>
              </w:rPr>
            </w:pPr>
            <w:r>
              <w:rPr>
                <w:noProof/>
              </w:rPr>
              <w:t>12.5</w:t>
            </w:r>
          </w:p>
        </w:tc>
        <w:tc>
          <w:tcPr>
            <w:tcW w:w="1760" w:type="dxa"/>
            <w:shd w:val="clear" w:color="auto" w:fill="C4EFCE"/>
            <w:vAlign w:val="center"/>
            <w:hideMark/>
          </w:tcPr>
          <w:p w14:paraId="6D7ECE35" w14:textId="77777777" w:rsidR="00E040FD" w:rsidRDefault="00740D64">
            <w:pPr>
              <w:pStyle w:val="P68B1DB1-Normal23"/>
              <w:spacing w:after="0"/>
              <w:jc w:val="center"/>
              <w:rPr>
                <w:noProof/>
              </w:rPr>
            </w:pPr>
            <w:r>
              <w:rPr>
                <w:noProof/>
              </w:rPr>
              <w:t xml:space="preserve">TC-C12-r25 </w:t>
            </w:r>
          </w:p>
        </w:tc>
        <w:tc>
          <w:tcPr>
            <w:tcW w:w="1520" w:type="dxa"/>
            <w:shd w:val="clear" w:color="auto" w:fill="C4EFCE"/>
            <w:vAlign w:val="center"/>
            <w:hideMark/>
          </w:tcPr>
          <w:p w14:paraId="34B9AE22"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525A10F6" w14:textId="77777777" w:rsidR="00E040FD" w:rsidRDefault="00740D64">
            <w:pPr>
              <w:pStyle w:val="P68B1DB1-Normal23"/>
              <w:spacing w:after="0"/>
              <w:jc w:val="both"/>
              <w:rPr>
                <w:rFonts w:eastAsia="Calibri" w:cs="Calibri"/>
                <w:noProof/>
              </w:rPr>
            </w:pPr>
            <w:r>
              <w:rPr>
                <w:noProof/>
              </w:rPr>
              <w:t>Ikraftträdande av den nya allmänna ordningen för avfallshantering</w:t>
            </w:r>
          </w:p>
        </w:tc>
      </w:tr>
      <w:tr w:rsidR="00E040FD" w14:paraId="3629E8EE" w14:textId="77777777">
        <w:trPr>
          <w:trHeight w:val="440"/>
        </w:trPr>
        <w:tc>
          <w:tcPr>
            <w:tcW w:w="1200" w:type="dxa"/>
            <w:shd w:val="clear" w:color="auto" w:fill="C4EFCE"/>
            <w:vAlign w:val="center"/>
            <w:hideMark/>
          </w:tcPr>
          <w:p w14:paraId="76950E3D" w14:textId="77777777" w:rsidR="00E040FD" w:rsidRDefault="00740D64">
            <w:pPr>
              <w:pStyle w:val="P68B1DB1-Normal23"/>
              <w:spacing w:after="0"/>
              <w:jc w:val="center"/>
              <w:rPr>
                <w:noProof/>
              </w:rPr>
            </w:pPr>
            <w:r>
              <w:rPr>
                <w:noProof/>
              </w:rPr>
              <w:t>14.1</w:t>
            </w:r>
          </w:p>
        </w:tc>
        <w:tc>
          <w:tcPr>
            <w:tcW w:w="1760" w:type="dxa"/>
            <w:shd w:val="clear" w:color="auto" w:fill="C4EFCE"/>
            <w:vAlign w:val="center"/>
            <w:hideMark/>
          </w:tcPr>
          <w:p w14:paraId="4F502DB3" w14:textId="77777777" w:rsidR="00E040FD" w:rsidRDefault="00740D64">
            <w:pPr>
              <w:pStyle w:val="P68B1DB1-Normal23"/>
              <w:spacing w:after="0"/>
              <w:jc w:val="center"/>
              <w:rPr>
                <w:noProof/>
              </w:rPr>
            </w:pPr>
            <w:r>
              <w:rPr>
                <w:noProof/>
              </w:rPr>
              <w:t xml:space="preserve">TC-C14-r29 </w:t>
            </w:r>
          </w:p>
        </w:tc>
        <w:tc>
          <w:tcPr>
            <w:tcW w:w="1520" w:type="dxa"/>
            <w:shd w:val="clear" w:color="auto" w:fill="C4EFCE"/>
            <w:vAlign w:val="center"/>
            <w:hideMark/>
          </w:tcPr>
          <w:p w14:paraId="51F60976"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66D5E11C" w14:textId="77777777" w:rsidR="00E040FD" w:rsidRDefault="00740D64">
            <w:pPr>
              <w:pStyle w:val="P68B1DB1-Normal23"/>
              <w:spacing w:after="0"/>
              <w:jc w:val="both"/>
              <w:rPr>
                <w:rFonts w:eastAsia="Calibri" w:cs="Calibri"/>
                <w:noProof/>
              </w:rPr>
            </w:pPr>
            <w:r>
              <w:rPr>
                <w:noProof/>
              </w:rPr>
              <w:t>Ikraftträdande av förordningen om det nationella gasöverföringsnätet och förordningen om det nationella gasdistributionsnätet</w:t>
            </w:r>
          </w:p>
        </w:tc>
      </w:tr>
      <w:tr w:rsidR="00E040FD" w14:paraId="10966324" w14:textId="77777777">
        <w:trPr>
          <w:trHeight w:val="440"/>
        </w:trPr>
        <w:tc>
          <w:tcPr>
            <w:tcW w:w="1200" w:type="dxa"/>
            <w:shd w:val="clear" w:color="auto" w:fill="C4EFCE"/>
            <w:vAlign w:val="center"/>
            <w:hideMark/>
          </w:tcPr>
          <w:p w14:paraId="00D9D2AC" w14:textId="77777777" w:rsidR="00E040FD" w:rsidRDefault="00740D64">
            <w:pPr>
              <w:pStyle w:val="P68B1DB1-Normal23"/>
              <w:spacing w:after="0"/>
              <w:jc w:val="center"/>
              <w:rPr>
                <w:noProof/>
              </w:rPr>
            </w:pPr>
            <w:r>
              <w:rPr>
                <w:noProof/>
              </w:rPr>
              <w:t>14.2</w:t>
            </w:r>
          </w:p>
        </w:tc>
        <w:tc>
          <w:tcPr>
            <w:tcW w:w="1760" w:type="dxa"/>
            <w:shd w:val="clear" w:color="auto" w:fill="C4EFCE"/>
            <w:vAlign w:val="center"/>
            <w:hideMark/>
          </w:tcPr>
          <w:p w14:paraId="3F73CCA7" w14:textId="77777777" w:rsidR="00E040FD" w:rsidRDefault="00740D64">
            <w:pPr>
              <w:pStyle w:val="P68B1DB1-Normal23"/>
              <w:spacing w:after="0"/>
              <w:jc w:val="center"/>
              <w:rPr>
                <w:noProof/>
              </w:rPr>
            </w:pPr>
            <w:r>
              <w:rPr>
                <w:noProof/>
              </w:rPr>
              <w:t xml:space="preserve">TC-C14-I01 </w:t>
            </w:r>
          </w:p>
        </w:tc>
        <w:tc>
          <w:tcPr>
            <w:tcW w:w="1520" w:type="dxa"/>
            <w:shd w:val="clear" w:color="auto" w:fill="C4EFCE"/>
            <w:vAlign w:val="center"/>
            <w:hideMark/>
          </w:tcPr>
          <w:p w14:paraId="587EF70A"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19D80DCE" w14:textId="77777777" w:rsidR="00E040FD" w:rsidRDefault="00740D64">
            <w:pPr>
              <w:pStyle w:val="P68B1DB1-Normal23"/>
              <w:spacing w:after="0"/>
              <w:jc w:val="both"/>
              <w:rPr>
                <w:rFonts w:eastAsia="Calibri" w:cs="Calibri"/>
                <w:noProof/>
              </w:rPr>
            </w:pPr>
            <w:r>
              <w:rPr>
                <w:noProof/>
              </w:rPr>
              <w:t>Första anbudsinfordran för projekt för produktion av förnybar gas</w:t>
            </w:r>
          </w:p>
        </w:tc>
      </w:tr>
      <w:tr w:rsidR="00E040FD" w14:paraId="757BF45A" w14:textId="77777777">
        <w:trPr>
          <w:trHeight w:val="440"/>
        </w:trPr>
        <w:tc>
          <w:tcPr>
            <w:tcW w:w="1200" w:type="dxa"/>
            <w:shd w:val="clear" w:color="auto" w:fill="C4EFCE"/>
            <w:vAlign w:val="center"/>
            <w:hideMark/>
          </w:tcPr>
          <w:p w14:paraId="7466249B" w14:textId="77777777" w:rsidR="00E040FD" w:rsidRDefault="00740D64">
            <w:pPr>
              <w:pStyle w:val="P68B1DB1-Normal23"/>
              <w:spacing w:after="0"/>
              <w:jc w:val="center"/>
              <w:rPr>
                <w:noProof/>
              </w:rPr>
            </w:pPr>
            <w:r>
              <w:rPr>
                <w:noProof/>
              </w:rPr>
              <w:t>16.13</w:t>
            </w:r>
          </w:p>
        </w:tc>
        <w:tc>
          <w:tcPr>
            <w:tcW w:w="1760" w:type="dxa"/>
            <w:shd w:val="clear" w:color="auto" w:fill="C4EFCE"/>
            <w:vAlign w:val="center"/>
            <w:hideMark/>
          </w:tcPr>
          <w:p w14:paraId="0D9747EC" w14:textId="77777777" w:rsidR="00E040FD" w:rsidRDefault="00740D64">
            <w:pPr>
              <w:pStyle w:val="P68B1DB1-Normal23"/>
              <w:spacing w:after="0"/>
              <w:jc w:val="center"/>
              <w:rPr>
                <w:noProof/>
              </w:rPr>
            </w:pPr>
            <w:r>
              <w:rPr>
                <w:noProof/>
              </w:rPr>
              <w:t xml:space="preserve">TD-C16-i03 </w:t>
            </w:r>
          </w:p>
        </w:tc>
        <w:tc>
          <w:tcPr>
            <w:tcW w:w="1520" w:type="dxa"/>
            <w:shd w:val="clear" w:color="auto" w:fill="C4EFCE"/>
            <w:vAlign w:val="center"/>
            <w:hideMark/>
          </w:tcPr>
          <w:p w14:paraId="7FAED4B7" w14:textId="77777777" w:rsidR="00E040FD" w:rsidRDefault="00740D64">
            <w:pPr>
              <w:pStyle w:val="P68B1DB1-Normal23"/>
              <w:spacing w:after="0"/>
              <w:jc w:val="center"/>
              <w:rPr>
                <w:noProof/>
              </w:rPr>
            </w:pPr>
            <w:r>
              <w:rPr>
                <w:noProof/>
              </w:rPr>
              <w:t>T</w:t>
            </w:r>
          </w:p>
        </w:tc>
        <w:tc>
          <w:tcPr>
            <w:tcW w:w="5060" w:type="dxa"/>
            <w:shd w:val="clear" w:color="auto" w:fill="C4EFCE"/>
            <w:vAlign w:val="center"/>
            <w:hideMark/>
          </w:tcPr>
          <w:p w14:paraId="71236238" w14:textId="77777777" w:rsidR="00E040FD" w:rsidRDefault="00740D64">
            <w:pPr>
              <w:pStyle w:val="P68B1DB1-Normal23"/>
              <w:spacing w:after="0"/>
              <w:jc w:val="both"/>
              <w:rPr>
                <w:rFonts w:eastAsia="Calibri" w:cs="Calibri"/>
                <w:noProof/>
              </w:rPr>
            </w:pPr>
            <w:r>
              <w:rPr>
                <w:noProof/>
              </w:rPr>
              <w:t>Digitala innovationsknutpunkter</w:t>
            </w:r>
          </w:p>
        </w:tc>
      </w:tr>
      <w:tr w:rsidR="00E040FD" w14:paraId="52D708E9" w14:textId="77777777">
        <w:trPr>
          <w:trHeight w:val="440"/>
        </w:trPr>
        <w:tc>
          <w:tcPr>
            <w:tcW w:w="1200" w:type="dxa"/>
            <w:shd w:val="clear" w:color="auto" w:fill="C4EFCE"/>
            <w:vAlign w:val="center"/>
            <w:hideMark/>
          </w:tcPr>
          <w:p w14:paraId="2F5A2432" w14:textId="77777777" w:rsidR="00E040FD" w:rsidRDefault="00740D64">
            <w:pPr>
              <w:pStyle w:val="P68B1DB1-Normal23"/>
              <w:spacing w:after="0"/>
              <w:jc w:val="center"/>
              <w:rPr>
                <w:noProof/>
              </w:rPr>
            </w:pPr>
            <w:r>
              <w:rPr>
                <w:noProof/>
              </w:rPr>
              <w:t>17.6</w:t>
            </w:r>
          </w:p>
        </w:tc>
        <w:tc>
          <w:tcPr>
            <w:tcW w:w="1760" w:type="dxa"/>
            <w:shd w:val="clear" w:color="auto" w:fill="C4EFCE"/>
            <w:vAlign w:val="center"/>
            <w:hideMark/>
          </w:tcPr>
          <w:p w14:paraId="302B639D" w14:textId="77777777" w:rsidR="00E040FD" w:rsidRDefault="00740D64">
            <w:pPr>
              <w:pStyle w:val="P68B1DB1-Normal23"/>
              <w:spacing w:after="0"/>
              <w:jc w:val="center"/>
              <w:rPr>
                <w:noProof/>
              </w:rPr>
            </w:pPr>
            <w:r>
              <w:rPr>
                <w:noProof/>
              </w:rPr>
              <w:t xml:space="preserve">TD-C17-r32 </w:t>
            </w:r>
          </w:p>
        </w:tc>
        <w:tc>
          <w:tcPr>
            <w:tcW w:w="1520" w:type="dxa"/>
            <w:shd w:val="clear" w:color="auto" w:fill="C4EFCE"/>
            <w:vAlign w:val="center"/>
            <w:hideMark/>
          </w:tcPr>
          <w:p w14:paraId="0B994286"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1199C2E8" w14:textId="77777777" w:rsidR="00E040FD" w:rsidRDefault="00740D64">
            <w:pPr>
              <w:pStyle w:val="P68B1DB1-Normal23"/>
              <w:spacing w:after="0"/>
              <w:jc w:val="both"/>
              <w:rPr>
                <w:rFonts w:eastAsia="Calibri" w:cs="Calibri"/>
                <w:noProof/>
              </w:rPr>
            </w:pPr>
            <w:r>
              <w:rPr>
                <w:noProof/>
              </w:rPr>
              <w:t>Ikraftträdande av den nya mallen för förvaltningskontrakt inom ramen för det nya systemet med incitament/sanktioner för ledningen av statsägda företag</w:t>
            </w:r>
          </w:p>
        </w:tc>
      </w:tr>
      <w:tr w:rsidR="00E040FD" w14:paraId="5F2EFFB2" w14:textId="77777777">
        <w:trPr>
          <w:trHeight w:val="440"/>
        </w:trPr>
        <w:tc>
          <w:tcPr>
            <w:tcW w:w="1200" w:type="dxa"/>
            <w:shd w:val="clear" w:color="auto" w:fill="C4EFCE"/>
            <w:vAlign w:val="center"/>
            <w:hideMark/>
          </w:tcPr>
          <w:p w14:paraId="1E7DA930" w14:textId="77777777" w:rsidR="00E040FD" w:rsidRDefault="00740D64">
            <w:pPr>
              <w:pStyle w:val="P68B1DB1-Normal23"/>
              <w:spacing w:after="0"/>
              <w:jc w:val="center"/>
              <w:rPr>
                <w:noProof/>
              </w:rPr>
            </w:pPr>
            <w:r>
              <w:rPr>
                <w:noProof/>
              </w:rPr>
              <w:t>19.22</w:t>
            </w:r>
          </w:p>
        </w:tc>
        <w:tc>
          <w:tcPr>
            <w:tcW w:w="1760" w:type="dxa"/>
            <w:shd w:val="clear" w:color="auto" w:fill="C4EFCE"/>
            <w:vAlign w:val="center"/>
            <w:hideMark/>
          </w:tcPr>
          <w:p w14:paraId="55D06868" w14:textId="77777777" w:rsidR="00E040FD" w:rsidRDefault="00740D64">
            <w:pPr>
              <w:pStyle w:val="P68B1DB1-Normal23"/>
              <w:spacing w:after="0"/>
              <w:jc w:val="center"/>
              <w:rPr>
                <w:noProof/>
              </w:rPr>
            </w:pPr>
            <w:r>
              <w:rPr>
                <w:noProof/>
              </w:rPr>
              <w:t xml:space="preserve">TD-C19-r34 </w:t>
            </w:r>
          </w:p>
        </w:tc>
        <w:tc>
          <w:tcPr>
            <w:tcW w:w="1520" w:type="dxa"/>
            <w:shd w:val="clear" w:color="auto" w:fill="C4EFCE"/>
            <w:vAlign w:val="center"/>
            <w:hideMark/>
          </w:tcPr>
          <w:p w14:paraId="3742530B"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0678B11B" w14:textId="77777777" w:rsidR="00E040FD" w:rsidRDefault="00740D64">
            <w:pPr>
              <w:pStyle w:val="P68B1DB1-Normal23"/>
              <w:spacing w:after="0"/>
              <w:jc w:val="both"/>
              <w:rPr>
                <w:rFonts w:eastAsia="Calibri" w:cs="Calibri"/>
                <w:noProof/>
              </w:rPr>
            </w:pPr>
            <w:r>
              <w:rPr>
                <w:noProof/>
              </w:rPr>
              <w:t>Ikraftträdande av den rättsliga ramen för den digitala omvandlingen av den offentliga förvaltningen</w:t>
            </w:r>
          </w:p>
        </w:tc>
      </w:tr>
      <w:tr w:rsidR="00E040FD" w14:paraId="6872084D" w14:textId="77777777">
        <w:trPr>
          <w:trHeight w:val="440"/>
        </w:trPr>
        <w:tc>
          <w:tcPr>
            <w:tcW w:w="1200" w:type="dxa"/>
            <w:shd w:val="clear" w:color="auto" w:fill="C4EFCE"/>
            <w:vAlign w:val="center"/>
            <w:hideMark/>
          </w:tcPr>
          <w:p w14:paraId="291433EB" w14:textId="77777777" w:rsidR="00E040FD" w:rsidRDefault="00740D64">
            <w:pPr>
              <w:pStyle w:val="P68B1DB1-Normal23"/>
              <w:spacing w:after="0"/>
              <w:jc w:val="center"/>
              <w:rPr>
                <w:noProof/>
              </w:rPr>
            </w:pPr>
            <w:r>
              <w:rPr>
                <w:noProof/>
              </w:rPr>
              <w:t>19.24</w:t>
            </w:r>
          </w:p>
        </w:tc>
        <w:tc>
          <w:tcPr>
            <w:tcW w:w="1760" w:type="dxa"/>
            <w:shd w:val="clear" w:color="auto" w:fill="C4EFCE"/>
            <w:vAlign w:val="center"/>
            <w:hideMark/>
          </w:tcPr>
          <w:p w14:paraId="07189990" w14:textId="77777777" w:rsidR="00E040FD" w:rsidRDefault="00740D64">
            <w:pPr>
              <w:pStyle w:val="P68B1DB1-Normal23"/>
              <w:spacing w:after="0"/>
              <w:jc w:val="center"/>
              <w:rPr>
                <w:noProof/>
              </w:rPr>
            </w:pPr>
            <w:r>
              <w:rPr>
                <w:noProof/>
              </w:rPr>
              <w:t xml:space="preserve">TD-C19-r36 </w:t>
            </w:r>
          </w:p>
        </w:tc>
        <w:tc>
          <w:tcPr>
            <w:tcW w:w="1520" w:type="dxa"/>
            <w:shd w:val="clear" w:color="auto" w:fill="C4EFCE"/>
            <w:vAlign w:val="center"/>
            <w:hideMark/>
          </w:tcPr>
          <w:p w14:paraId="55C7DEF6"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6FC15F4D" w14:textId="77777777" w:rsidR="00E040FD" w:rsidRDefault="00740D64">
            <w:pPr>
              <w:pStyle w:val="P68B1DB1-Normal23"/>
              <w:spacing w:after="0"/>
              <w:jc w:val="both"/>
              <w:rPr>
                <w:rFonts w:eastAsia="Calibri" w:cs="Calibri"/>
                <w:noProof/>
              </w:rPr>
            </w:pPr>
            <w:r>
              <w:rPr>
                <w:noProof/>
              </w:rPr>
              <w:t>Inrättande av det nationella förvaltningsinstitutet, I.P.</w:t>
            </w:r>
          </w:p>
        </w:tc>
      </w:tr>
      <w:tr w:rsidR="00E040FD" w14:paraId="3A0CB96A" w14:textId="77777777">
        <w:trPr>
          <w:trHeight w:val="440"/>
        </w:trPr>
        <w:tc>
          <w:tcPr>
            <w:tcW w:w="1200" w:type="dxa"/>
            <w:shd w:val="clear" w:color="auto" w:fill="C4EFCE"/>
            <w:vAlign w:val="center"/>
            <w:hideMark/>
          </w:tcPr>
          <w:p w14:paraId="79B57193" w14:textId="77777777" w:rsidR="00E040FD" w:rsidRDefault="00740D64">
            <w:pPr>
              <w:pStyle w:val="P68B1DB1-Normal23"/>
              <w:spacing w:after="0"/>
              <w:jc w:val="center"/>
              <w:rPr>
                <w:noProof/>
              </w:rPr>
            </w:pPr>
            <w:r>
              <w:rPr>
                <w:noProof/>
              </w:rPr>
              <w:t>20.2</w:t>
            </w:r>
          </w:p>
        </w:tc>
        <w:tc>
          <w:tcPr>
            <w:tcW w:w="1760" w:type="dxa"/>
            <w:shd w:val="clear" w:color="auto" w:fill="C4EFCE"/>
            <w:vAlign w:val="center"/>
            <w:hideMark/>
          </w:tcPr>
          <w:p w14:paraId="40D2FB0E" w14:textId="77777777" w:rsidR="00E040FD" w:rsidRDefault="00740D64">
            <w:pPr>
              <w:pStyle w:val="P68B1DB1-Normal23"/>
              <w:spacing w:after="0"/>
              <w:jc w:val="center"/>
              <w:rPr>
                <w:noProof/>
              </w:rPr>
            </w:pPr>
            <w:r>
              <w:rPr>
                <w:noProof/>
              </w:rPr>
              <w:t xml:space="preserve">TD-C20-i01 </w:t>
            </w:r>
          </w:p>
        </w:tc>
        <w:tc>
          <w:tcPr>
            <w:tcW w:w="1520" w:type="dxa"/>
            <w:shd w:val="clear" w:color="auto" w:fill="C4EFCE"/>
            <w:vAlign w:val="center"/>
            <w:hideMark/>
          </w:tcPr>
          <w:p w14:paraId="78F61C3A"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14A5DC9A" w14:textId="77777777" w:rsidR="00E040FD" w:rsidRDefault="00740D64">
            <w:pPr>
              <w:pStyle w:val="P68B1DB1-Normal23"/>
              <w:spacing w:after="0"/>
              <w:jc w:val="both"/>
              <w:rPr>
                <w:rFonts w:eastAsia="Calibri" w:cs="Calibri"/>
                <w:noProof/>
              </w:rPr>
            </w:pPr>
            <w:r>
              <w:rPr>
                <w:noProof/>
              </w:rPr>
              <w:t>Undertecknande av kontrakt för inköp av enskilda datorer för elever och lärare</w:t>
            </w:r>
          </w:p>
        </w:tc>
      </w:tr>
      <w:tr w:rsidR="00E040FD" w14:paraId="6E3E4880" w14:textId="77777777">
        <w:trPr>
          <w:trHeight w:val="440"/>
        </w:trPr>
        <w:tc>
          <w:tcPr>
            <w:tcW w:w="1200" w:type="dxa"/>
            <w:shd w:val="clear" w:color="auto" w:fill="C4EFCE"/>
            <w:vAlign w:val="center"/>
            <w:hideMark/>
          </w:tcPr>
          <w:p w14:paraId="1531FD90" w14:textId="77777777" w:rsidR="00E040FD" w:rsidRDefault="00740D6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39D93FED" w14:textId="77777777" w:rsidR="00E040FD" w:rsidRDefault="00740D6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E762CEE"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shd w:val="clear" w:color="auto" w:fill="C4EFCE"/>
            <w:vAlign w:val="center"/>
            <w:hideMark/>
          </w:tcPr>
          <w:p w14:paraId="76A68B63" w14:textId="6ADCE395" w:rsidR="00E040FD" w:rsidRDefault="00740D64">
            <w:pPr>
              <w:pStyle w:val="P68B1DB1-Normal25"/>
              <w:spacing w:after="0" w:line="240" w:lineRule="auto"/>
              <w:jc w:val="center"/>
              <w:rPr>
                <w:rFonts w:cs="Calibri"/>
                <w:noProof/>
              </w:rPr>
            </w:pPr>
            <w:r>
              <w:rPr>
                <w:noProof/>
              </w:rPr>
              <w:t xml:space="preserve">636 139 080 EUR </w:t>
            </w:r>
          </w:p>
        </w:tc>
      </w:tr>
    </w:tbl>
    <w:p w14:paraId="66705A4C" w14:textId="77777777" w:rsidR="00E040FD" w:rsidRDefault="00E040FD">
      <w:pPr>
        <w:keepNext/>
        <w:spacing w:after="160" w:line="259" w:lineRule="auto"/>
        <w:ind w:left="1571" w:hanging="360"/>
        <w:contextualSpacing/>
        <w:jc w:val="both"/>
        <w:rPr>
          <w:rFonts w:ascii="Times New Roman" w:eastAsiaTheme="minorEastAsia" w:hAnsi="Times New Roman" w:cs="Times New Roman"/>
          <w:noProof/>
          <w:sz w:val="24"/>
        </w:rPr>
      </w:pPr>
    </w:p>
    <w:p w14:paraId="7F4502ED"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 Andra betalningsansökan (icke återbetalningspliktigt stöd): </w:t>
      </w:r>
    </w:p>
    <w:p w14:paraId="158E3ED4"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45"/>
        <w:gridCol w:w="1514"/>
        <w:gridCol w:w="4987"/>
      </w:tblGrid>
      <w:tr w:rsidR="00E040FD" w14:paraId="352FB160" w14:textId="77777777">
        <w:trPr>
          <w:trHeight w:val="509"/>
          <w:tblHeader/>
        </w:trPr>
        <w:tc>
          <w:tcPr>
            <w:tcW w:w="1200" w:type="dxa"/>
            <w:vMerge w:val="restart"/>
            <w:shd w:val="clear" w:color="auto" w:fill="BDD7EE"/>
            <w:vAlign w:val="center"/>
            <w:hideMark/>
          </w:tcPr>
          <w:p w14:paraId="0D0D00E4"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vMerge w:val="restart"/>
            <w:shd w:val="clear" w:color="auto" w:fill="BDD7EE"/>
            <w:vAlign w:val="center"/>
            <w:hideMark/>
          </w:tcPr>
          <w:p w14:paraId="46E7F54F"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vMerge w:val="restart"/>
            <w:shd w:val="clear" w:color="auto" w:fill="BDD7EE"/>
            <w:vAlign w:val="center"/>
            <w:hideMark/>
          </w:tcPr>
          <w:p w14:paraId="4BBAA04E"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vMerge w:val="restart"/>
            <w:shd w:val="clear" w:color="auto" w:fill="BDD7EE"/>
            <w:vAlign w:val="center"/>
            <w:hideMark/>
          </w:tcPr>
          <w:p w14:paraId="51A4AA8D"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1F6741B5" w14:textId="77777777">
        <w:trPr>
          <w:trHeight w:val="509"/>
          <w:tblHeader/>
        </w:trPr>
        <w:tc>
          <w:tcPr>
            <w:tcW w:w="1200" w:type="dxa"/>
            <w:vMerge/>
            <w:vAlign w:val="center"/>
            <w:hideMark/>
          </w:tcPr>
          <w:p w14:paraId="01B474AA" w14:textId="77777777" w:rsidR="00E040FD" w:rsidRDefault="00E040FD">
            <w:pPr>
              <w:spacing w:after="0" w:line="240" w:lineRule="auto"/>
              <w:rPr>
                <w:rFonts w:ascii="Times New Roman" w:eastAsia="Times New Roman" w:hAnsi="Times New Roman" w:cs="Times New Roman"/>
                <w:noProof/>
                <w:sz w:val="20"/>
              </w:rPr>
            </w:pPr>
          </w:p>
        </w:tc>
        <w:tc>
          <w:tcPr>
            <w:tcW w:w="1760" w:type="dxa"/>
            <w:vMerge/>
            <w:vAlign w:val="center"/>
            <w:hideMark/>
          </w:tcPr>
          <w:p w14:paraId="02EC477F" w14:textId="77777777" w:rsidR="00E040FD" w:rsidRDefault="00E040FD">
            <w:pPr>
              <w:spacing w:after="0" w:line="240" w:lineRule="auto"/>
              <w:rPr>
                <w:rFonts w:ascii="Times New Roman" w:eastAsia="Times New Roman" w:hAnsi="Times New Roman" w:cs="Times New Roman"/>
                <w:noProof/>
                <w:sz w:val="20"/>
              </w:rPr>
            </w:pPr>
          </w:p>
        </w:tc>
        <w:tc>
          <w:tcPr>
            <w:tcW w:w="1520" w:type="dxa"/>
            <w:vMerge/>
            <w:vAlign w:val="center"/>
            <w:hideMark/>
          </w:tcPr>
          <w:p w14:paraId="3D7F8D49" w14:textId="77777777" w:rsidR="00E040FD" w:rsidRDefault="00E040FD">
            <w:pPr>
              <w:spacing w:after="0" w:line="240" w:lineRule="auto"/>
              <w:rPr>
                <w:rFonts w:ascii="Times New Roman" w:eastAsia="Times New Roman" w:hAnsi="Times New Roman" w:cs="Times New Roman"/>
                <w:noProof/>
                <w:sz w:val="20"/>
              </w:rPr>
            </w:pPr>
          </w:p>
        </w:tc>
        <w:tc>
          <w:tcPr>
            <w:tcW w:w="5060" w:type="dxa"/>
            <w:vMerge/>
            <w:vAlign w:val="center"/>
            <w:hideMark/>
          </w:tcPr>
          <w:p w14:paraId="615BF232" w14:textId="77777777" w:rsidR="00E040FD" w:rsidRDefault="00E040FD">
            <w:pPr>
              <w:spacing w:after="0" w:line="240" w:lineRule="auto"/>
              <w:rPr>
                <w:rFonts w:ascii="Times New Roman" w:eastAsia="Times New Roman" w:hAnsi="Times New Roman" w:cs="Times New Roman"/>
                <w:noProof/>
                <w:sz w:val="20"/>
              </w:rPr>
            </w:pPr>
          </w:p>
        </w:tc>
      </w:tr>
      <w:tr w:rsidR="00E040FD" w14:paraId="4081C04E" w14:textId="77777777">
        <w:trPr>
          <w:trHeight w:val="440"/>
        </w:trPr>
        <w:tc>
          <w:tcPr>
            <w:tcW w:w="1200" w:type="dxa"/>
            <w:shd w:val="clear" w:color="auto" w:fill="C4EFCE"/>
            <w:vAlign w:val="center"/>
            <w:hideMark/>
          </w:tcPr>
          <w:p w14:paraId="5750728D" w14:textId="77777777" w:rsidR="00E040FD" w:rsidRDefault="00740D64">
            <w:pPr>
              <w:pStyle w:val="P68B1DB1-Normal23"/>
              <w:spacing w:after="0"/>
              <w:jc w:val="center"/>
              <w:rPr>
                <w:rFonts w:eastAsia="Calibri" w:cs="Calibri"/>
                <w:noProof/>
              </w:rPr>
            </w:pPr>
            <w:r>
              <w:rPr>
                <w:noProof/>
              </w:rPr>
              <w:t>1.13</w:t>
            </w:r>
          </w:p>
        </w:tc>
        <w:tc>
          <w:tcPr>
            <w:tcW w:w="1760" w:type="dxa"/>
            <w:shd w:val="clear" w:color="auto" w:fill="C4EFCE"/>
            <w:vAlign w:val="center"/>
            <w:hideMark/>
          </w:tcPr>
          <w:p w14:paraId="44477519" w14:textId="77777777" w:rsidR="00E040FD" w:rsidRDefault="00740D64">
            <w:pPr>
              <w:pStyle w:val="P68B1DB1-Normal23"/>
              <w:spacing w:after="0"/>
              <w:jc w:val="center"/>
              <w:rPr>
                <w:rFonts w:eastAsia="Calibri" w:cs="Calibri"/>
                <w:noProof/>
              </w:rPr>
            </w:pPr>
            <w:r>
              <w:rPr>
                <w:noProof/>
              </w:rPr>
              <w:t xml:space="preserve">RE-C01-i02 </w:t>
            </w:r>
          </w:p>
        </w:tc>
        <w:tc>
          <w:tcPr>
            <w:tcW w:w="1520" w:type="dxa"/>
            <w:shd w:val="clear" w:color="auto" w:fill="C4EFCE"/>
            <w:vAlign w:val="center"/>
            <w:hideMark/>
          </w:tcPr>
          <w:p w14:paraId="04640CD0"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D4C3B0B" w14:textId="77777777" w:rsidR="00E040FD" w:rsidRDefault="00740D64">
            <w:pPr>
              <w:pStyle w:val="P68B1DB1-Normal23"/>
              <w:spacing w:after="0"/>
              <w:jc w:val="both"/>
              <w:rPr>
                <w:rFonts w:eastAsia="Calibri" w:cs="Calibri"/>
                <w:noProof/>
              </w:rPr>
            </w:pPr>
            <w:r>
              <w:rPr>
                <w:noProof/>
              </w:rPr>
              <w:t>Ikraftträdande av villkoren för hänvisning till akutepisoder som avskärmas i vitt, blått eller grönt i akutvård på sjukhus för andra typer av hälso- och sjukvårdstjänster, inbegripet primärvård</w:t>
            </w:r>
          </w:p>
        </w:tc>
      </w:tr>
      <w:tr w:rsidR="00E040FD" w14:paraId="0C6EEC60" w14:textId="77777777">
        <w:trPr>
          <w:trHeight w:val="440"/>
        </w:trPr>
        <w:tc>
          <w:tcPr>
            <w:tcW w:w="1200" w:type="dxa"/>
            <w:shd w:val="clear" w:color="auto" w:fill="C4EFCE"/>
            <w:vAlign w:val="center"/>
            <w:hideMark/>
          </w:tcPr>
          <w:p w14:paraId="4CBB49BA" w14:textId="77777777" w:rsidR="00E040FD" w:rsidRDefault="00740D64">
            <w:pPr>
              <w:pStyle w:val="P68B1DB1-Normal23"/>
              <w:spacing w:after="0"/>
              <w:jc w:val="center"/>
              <w:rPr>
                <w:rFonts w:eastAsia="Calibri" w:cs="Calibri"/>
                <w:noProof/>
              </w:rPr>
            </w:pPr>
            <w:r>
              <w:rPr>
                <w:noProof/>
              </w:rPr>
              <w:t>1.20</w:t>
            </w:r>
          </w:p>
        </w:tc>
        <w:tc>
          <w:tcPr>
            <w:tcW w:w="1760" w:type="dxa"/>
            <w:shd w:val="clear" w:color="auto" w:fill="C4EFCE"/>
            <w:vAlign w:val="center"/>
            <w:hideMark/>
          </w:tcPr>
          <w:p w14:paraId="480832CC" w14:textId="77777777" w:rsidR="00E040FD" w:rsidRDefault="00740D64">
            <w:pPr>
              <w:pStyle w:val="P68B1DB1-Normal23"/>
              <w:spacing w:after="0"/>
              <w:jc w:val="center"/>
              <w:rPr>
                <w:rFonts w:eastAsia="Calibri" w:cs="Calibri"/>
                <w:noProof/>
              </w:rPr>
            </w:pPr>
            <w:r>
              <w:rPr>
                <w:noProof/>
              </w:rPr>
              <w:t xml:space="preserve">RE-C01-r03 </w:t>
            </w:r>
          </w:p>
        </w:tc>
        <w:tc>
          <w:tcPr>
            <w:tcW w:w="1520" w:type="dxa"/>
            <w:shd w:val="clear" w:color="auto" w:fill="C4EFCE"/>
            <w:vAlign w:val="center"/>
            <w:hideMark/>
          </w:tcPr>
          <w:p w14:paraId="7D9187DC"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315F543" w14:textId="77777777" w:rsidR="00E040FD" w:rsidRDefault="00740D64">
            <w:pPr>
              <w:pStyle w:val="P68B1DB1-Normal23"/>
              <w:spacing w:after="0"/>
              <w:jc w:val="both"/>
              <w:rPr>
                <w:rFonts w:eastAsia="Calibri" w:cs="Calibri"/>
                <w:noProof/>
              </w:rPr>
            </w:pPr>
            <w:r>
              <w:rPr>
                <w:noProof/>
              </w:rPr>
              <w:t>Ikraftträdande av förordningen om tilldelning av ekonomiskt stöd från de regionala hälsomyndigheterna</w:t>
            </w:r>
          </w:p>
        </w:tc>
      </w:tr>
      <w:tr w:rsidR="00E040FD" w14:paraId="69F0FF9C" w14:textId="77777777">
        <w:trPr>
          <w:trHeight w:val="440"/>
        </w:trPr>
        <w:tc>
          <w:tcPr>
            <w:tcW w:w="1200" w:type="dxa"/>
            <w:shd w:val="clear" w:color="auto" w:fill="C4EFCE"/>
            <w:vAlign w:val="center"/>
            <w:hideMark/>
          </w:tcPr>
          <w:p w14:paraId="166EDAF8" w14:textId="31004DB1" w:rsidR="00E040FD" w:rsidRDefault="00740D64">
            <w:pPr>
              <w:pStyle w:val="P68B1DB1-Normal23"/>
              <w:spacing w:after="0"/>
              <w:jc w:val="center"/>
              <w:rPr>
                <w:rFonts w:eastAsia="Calibri" w:cs="Calibri"/>
                <w:noProof/>
              </w:rPr>
            </w:pPr>
            <w:r>
              <w:rPr>
                <w:noProof/>
              </w:rPr>
              <w:t>1.6</w:t>
            </w:r>
          </w:p>
        </w:tc>
        <w:tc>
          <w:tcPr>
            <w:tcW w:w="1760" w:type="dxa"/>
            <w:shd w:val="clear" w:color="auto" w:fill="C4EFCE"/>
            <w:vAlign w:val="center"/>
            <w:hideMark/>
          </w:tcPr>
          <w:p w14:paraId="35D3297F" w14:textId="77777777" w:rsidR="00E040FD" w:rsidRDefault="00740D64">
            <w:pPr>
              <w:pStyle w:val="P68B1DB1-Normal23"/>
              <w:spacing w:after="0"/>
              <w:jc w:val="center"/>
              <w:rPr>
                <w:rFonts w:eastAsia="Calibri" w:cs="Calibri"/>
                <w:noProof/>
              </w:rPr>
            </w:pPr>
            <w:r>
              <w:rPr>
                <w:noProof/>
              </w:rPr>
              <w:t xml:space="preserve">RE-C01-i01 </w:t>
            </w:r>
          </w:p>
        </w:tc>
        <w:tc>
          <w:tcPr>
            <w:tcW w:w="1520" w:type="dxa"/>
            <w:shd w:val="clear" w:color="auto" w:fill="C4EFCE"/>
            <w:vAlign w:val="center"/>
            <w:hideMark/>
          </w:tcPr>
          <w:p w14:paraId="00EBB8F8"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E23AEAC" w14:textId="77777777" w:rsidR="00E040FD" w:rsidRDefault="00740D64">
            <w:pPr>
              <w:pStyle w:val="P68B1DB1-Normal23"/>
              <w:spacing w:after="0"/>
              <w:jc w:val="both"/>
              <w:rPr>
                <w:rFonts w:eastAsia="Calibri" w:cs="Calibri"/>
                <w:noProof/>
              </w:rPr>
            </w:pPr>
            <w:r>
              <w:rPr>
                <w:noProof/>
              </w:rPr>
              <w:t>Ikraftträdande av den nya mallen för förvaltningskontrakt</w:t>
            </w:r>
          </w:p>
        </w:tc>
      </w:tr>
      <w:tr w:rsidR="00E040FD" w14:paraId="5EFCE41E" w14:textId="77777777">
        <w:trPr>
          <w:trHeight w:val="440"/>
        </w:trPr>
        <w:tc>
          <w:tcPr>
            <w:tcW w:w="1200" w:type="dxa"/>
            <w:shd w:val="clear" w:color="auto" w:fill="C4EFCE"/>
            <w:vAlign w:val="center"/>
            <w:hideMark/>
          </w:tcPr>
          <w:p w14:paraId="5D8AE41A" w14:textId="77777777" w:rsidR="00E040FD" w:rsidRDefault="00740D64">
            <w:pPr>
              <w:pStyle w:val="P68B1DB1-Normal23"/>
              <w:spacing w:after="0"/>
              <w:jc w:val="center"/>
              <w:rPr>
                <w:rFonts w:eastAsia="Calibri" w:cs="Calibri"/>
                <w:noProof/>
              </w:rPr>
            </w:pPr>
            <w:r>
              <w:rPr>
                <w:noProof/>
              </w:rPr>
              <w:t>3.24</w:t>
            </w:r>
          </w:p>
        </w:tc>
        <w:tc>
          <w:tcPr>
            <w:tcW w:w="1760" w:type="dxa"/>
            <w:shd w:val="clear" w:color="auto" w:fill="C4EFCE"/>
            <w:vAlign w:val="center"/>
            <w:hideMark/>
          </w:tcPr>
          <w:p w14:paraId="345DB0E2" w14:textId="77777777" w:rsidR="00E040FD" w:rsidRDefault="00740D64">
            <w:pPr>
              <w:pStyle w:val="P68B1DB1-Normal23"/>
              <w:spacing w:after="0"/>
              <w:jc w:val="center"/>
              <w:rPr>
                <w:rFonts w:eastAsia="Calibri" w:cs="Calibri"/>
                <w:noProof/>
              </w:rPr>
            </w:pPr>
            <w:r>
              <w:rPr>
                <w:noProof/>
              </w:rPr>
              <w:t xml:space="preserve">RE-C03-i01 </w:t>
            </w:r>
          </w:p>
        </w:tc>
        <w:tc>
          <w:tcPr>
            <w:tcW w:w="1520" w:type="dxa"/>
            <w:shd w:val="clear" w:color="auto" w:fill="C4EFCE"/>
            <w:vAlign w:val="center"/>
            <w:hideMark/>
          </w:tcPr>
          <w:p w14:paraId="0957961C"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0267902" w14:textId="77777777" w:rsidR="00E040FD" w:rsidRDefault="00740D64">
            <w:pPr>
              <w:pStyle w:val="P68B1DB1-Normal23"/>
              <w:spacing w:after="0"/>
              <w:jc w:val="both"/>
              <w:rPr>
                <w:rFonts w:eastAsia="Calibri" w:cs="Calibri"/>
                <w:noProof/>
              </w:rPr>
            </w:pPr>
            <w:r>
              <w:rPr>
                <w:noProof/>
              </w:rPr>
              <w:t>Undertecknande av avtal mellan kommunerna i Lissabon/Porto och de lokala tekniska enheterna om omfattningen av de åtgärder som ska stödjas.</w:t>
            </w:r>
          </w:p>
        </w:tc>
      </w:tr>
      <w:tr w:rsidR="00E040FD" w14:paraId="6D1DB67B" w14:textId="77777777">
        <w:trPr>
          <w:trHeight w:val="440"/>
        </w:trPr>
        <w:tc>
          <w:tcPr>
            <w:tcW w:w="1200" w:type="dxa"/>
            <w:shd w:val="clear" w:color="auto" w:fill="C4EFCE"/>
            <w:vAlign w:val="center"/>
            <w:hideMark/>
          </w:tcPr>
          <w:p w14:paraId="26C83B0D" w14:textId="77777777" w:rsidR="00E040FD" w:rsidRDefault="00740D64">
            <w:pPr>
              <w:pStyle w:val="P68B1DB1-Normal23"/>
              <w:spacing w:after="0"/>
              <w:jc w:val="center"/>
              <w:rPr>
                <w:rFonts w:eastAsia="Calibri" w:cs="Calibri"/>
                <w:noProof/>
              </w:rPr>
            </w:pPr>
            <w:r>
              <w:rPr>
                <w:noProof/>
              </w:rPr>
              <w:t>3.3</w:t>
            </w:r>
          </w:p>
        </w:tc>
        <w:tc>
          <w:tcPr>
            <w:tcW w:w="1760" w:type="dxa"/>
            <w:shd w:val="clear" w:color="auto" w:fill="C4EFCE"/>
            <w:vAlign w:val="center"/>
            <w:hideMark/>
          </w:tcPr>
          <w:p w14:paraId="6A8E3604" w14:textId="77777777" w:rsidR="00E040FD" w:rsidRDefault="00740D64">
            <w:pPr>
              <w:pStyle w:val="P68B1DB1-Normal23"/>
              <w:spacing w:after="0"/>
              <w:jc w:val="center"/>
              <w:rPr>
                <w:rFonts w:eastAsia="Calibri" w:cs="Calibri"/>
                <w:noProof/>
              </w:rPr>
            </w:pPr>
            <w:r>
              <w:rPr>
                <w:noProof/>
              </w:rPr>
              <w:t xml:space="preserve">RE-C03-i06 </w:t>
            </w:r>
          </w:p>
        </w:tc>
        <w:tc>
          <w:tcPr>
            <w:tcW w:w="1520" w:type="dxa"/>
            <w:shd w:val="clear" w:color="auto" w:fill="C4EFCE"/>
            <w:vAlign w:val="center"/>
            <w:hideMark/>
          </w:tcPr>
          <w:p w14:paraId="6CBB1E8D"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1900507" w14:textId="77777777" w:rsidR="00E040FD" w:rsidRDefault="00740D64">
            <w:pPr>
              <w:pStyle w:val="P68B1DB1-Normal23"/>
              <w:spacing w:after="0"/>
              <w:jc w:val="both"/>
              <w:rPr>
                <w:rFonts w:eastAsia="Calibri" w:cs="Calibri"/>
                <w:noProof/>
              </w:rPr>
            </w:pPr>
            <w:r>
              <w:rPr>
                <w:noProof/>
              </w:rPr>
              <w:t>Tilldelning av kontrakt för stöd till främjandeorgan för att skapa och utvidga nätverket av sociala inrättningar/sociala åtgärder.</w:t>
            </w:r>
          </w:p>
        </w:tc>
      </w:tr>
      <w:tr w:rsidR="00E040FD" w14:paraId="5CF43042" w14:textId="77777777">
        <w:trPr>
          <w:trHeight w:val="440"/>
        </w:trPr>
        <w:tc>
          <w:tcPr>
            <w:tcW w:w="1200" w:type="dxa"/>
            <w:shd w:val="clear" w:color="auto" w:fill="C4EFCE"/>
            <w:vAlign w:val="center"/>
            <w:hideMark/>
          </w:tcPr>
          <w:p w14:paraId="27EE7DD4" w14:textId="77777777" w:rsidR="00E040FD" w:rsidRDefault="00740D64">
            <w:pPr>
              <w:pStyle w:val="P68B1DB1-Normal23"/>
              <w:spacing w:after="0"/>
              <w:jc w:val="center"/>
              <w:rPr>
                <w:rFonts w:eastAsia="Calibri" w:cs="Calibri"/>
                <w:noProof/>
              </w:rPr>
            </w:pPr>
            <w:r>
              <w:rPr>
                <w:noProof/>
              </w:rPr>
              <w:t>4.1</w:t>
            </w:r>
          </w:p>
        </w:tc>
        <w:tc>
          <w:tcPr>
            <w:tcW w:w="1760" w:type="dxa"/>
            <w:shd w:val="clear" w:color="auto" w:fill="C4EFCE"/>
            <w:vAlign w:val="center"/>
            <w:hideMark/>
          </w:tcPr>
          <w:p w14:paraId="035DEC49" w14:textId="625BA17C" w:rsidR="00E040FD" w:rsidRDefault="00740D64">
            <w:pPr>
              <w:pStyle w:val="P68B1DB1-Normal23"/>
              <w:spacing w:after="0"/>
              <w:jc w:val="center"/>
              <w:rPr>
                <w:rFonts w:eastAsia="Calibri" w:cs="Calibri"/>
                <w:noProof/>
              </w:rPr>
            </w:pPr>
            <w:r>
              <w:rPr>
                <w:noProof/>
              </w:rPr>
              <w:t xml:space="preserve">RE-C04-i01 </w:t>
            </w:r>
          </w:p>
        </w:tc>
        <w:tc>
          <w:tcPr>
            <w:tcW w:w="1520" w:type="dxa"/>
            <w:shd w:val="clear" w:color="auto" w:fill="C4EFCE"/>
            <w:vAlign w:val="center"/>
            <w:hideMark/>
          </w:tcPr>
          <w:p w14:paraId="453E5DD3"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4A22F10" w14:textId="77777777" w:rsidR="00E040FD" w:rsidRDefault="00740D64">
            <w:pPr>
              <w:pStyle w:val="P68B1DB1-Normal23"/>
              <w:spacing w:after="0"/>
              <w:jc w:val="both"/>
              <w:rPr>
                <w:rFonts w:eastAsia="Calibri" w:cs="Calibri"/>
                <w:noProof/>
              </w:rPr>
            </w:pPr>
            <w:r>
              <w:rPr>
                <w:noProof/>
              </w:rPr>
              <w:t>Tekniska specifikationer för nätverket av kulturanläggningar</w:t>
            </w:r>
          </w:p>
        </w:tc>
      </w:tr>
      <w:tr w:rsidR="00E040FD" w14:paraId="1D67278E" w14:textId="77777777">
        <w:trPr>
          <w:trHeight w:val="440"/>
        </w:trPr>
        <w:tc>
          <w:tcPr>
            <w:tcW w:w="1200" w:type="dxa"/>
            <w:shd w:val="clear" w:color="auto" w:fill="C4EFCE"/>
            <w:vAlign w:val="center"/>
            <w:hideMark/>
          </w:tcPr>
          <w:p w14:paraId="1EEC3DB4" w14:textId="77777777" w:rsidR="00E040FD" w:rsidRDefault="00740D64">
            <w:pPr>
              <w:pStyle w:val="P68B1DB1-Normal23"/>
              <w:spacing w:after="0"/>
              <w:jc w:val="center"/>
              <w:rPr>
                <w:rFonts w:eastAsia="Calibri" w:cs="Calibri"/>
                <w:noProof/>
              </w:rPr>
            </w:pPr>
            <w:r>
              <w:rPr>
                <w:noProof/>
              </w:rPr>
              <w:t>5.18</w:t>
            </w:r>
          </w:p>
        </w:tc>
        <w:tc>
          <w:tcPr>
            <w:tcW w:w="1760" w:type="dxa"/>
            <w:shd w:val="clear" w:color="auto" w:fill="C4EFCE"/>
            <w:vAlign w:val="center"/>
            <w:hideMark/>
          </w:tcPr>
          <w:p w14:paraId="6807E12E" w14:textId="77777777" w:rsidR="00E040FD" w:rsidRDefault="00740D64">
            <w:pPr>
              <w:pStyle w:val="P68B1DB1-Normal23"/>
              <w:spacing w:after="0"/>
              <w:jc w:val="center"/>
              <w:rPr>
                <w:rFonts w:eastAsia="Calibri" w:cs="Calibri"/>
                <w:noProof/>
              </w:rPr>
            </w:pPr>
            <w:r>
              <w:rPr>
                <w:noProof/>
              </w:rPr>
              <w:t xml:space="preserve">RE-C05-i05-RAA </w:t>
            </w:r>
          </w:p>
        </w:tc>
        <w:tc>
          <w:tcPr>
            <w:tcW w:w="1520" w:type="dxa"/>
            <w:shd w:val="clear" w:color="auto" w:fill="C4EFCE"/>
            <w:vAlign w:val="center"/>
            <w:hideMark/>
          </w:tcPr>
          <w:p w14:paraId="115683CC"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F0AD3AB" w14:textId="77777777" w:rsidR="00E040FD" w:rsidRDefault="00740D64">
            <w:pPr>
              <w:pStyle w:val="P68B1DB1-Normal23"/>
              <w:spacing w:after="0"/>
              <w:jc w:val="both"/>
              <w:rPr>
                <w:rFonts w:eastAsia="Calibri" w:cs="Calibri"/>
                <w:noProof/>
              </w:rPr>
            </w:pPr>
            <w:r>
              <w:rPr>
                <w:noProof/>
              </w:rPr>
              <w:t>Offentliggörande av programmet för innovation och digitalisering av jordbruket i Azorerna</w:t>
            </w:r>
          </w:p>
        </w:tc>
      </w:tr>
      <w:tr w:rsidR="00E040FD" w14:paraId="12652084" w14:textId="77777777">
        <w:trPr>
          <w:trHeight w:val="440"/>
        </w:trPr>
        <w:tc>
          <w:tcPr>
            <w:tcW w:w="1200" w:type="dxa"/>
            <w:shd w:val="clear" w:color="auto" w:fill="C4EFCE"/>
            <w:vAlign w:val="center"/>
            <w:hideMark/>
          </w:tcPr>
          <w:p w14:paraId="196543A9" w14:textId="77777777" w:rsidR="00E040FD" w:rsidRDefault="00740D64">
            <w:pPr>
              <w:pStyle w:val="P68B1DB1-Normal23"/>
              <w:spacing w:after="0"/>
              <w:jc w:val="center"/>
              <w:rPr>
                <w:rFonts w:eastAsia="Calibri" w:cs="Calibri"/>
                <w:noProof/>
              </w:rPr>
            </w:pPr>
            <w:r>
              <w:rPr>
                <w:noProof/>
              </w:rPr>
              <w:t>8.14</w:t>
            </w:r>
          </w:p>
        </w:tc>
        <w:tc>
          <w:tcPr>
            <w:tcW w:w="1760" w:type="dxa"/>
            <w:shd w:val="clear" w:color="auto" w:fill="C4EFCE"/>
            <w:vAlign w:val="center"/>
            <w:hideMark/>
          </w:tcPr>
          <w:p w14:paraId="5CE17266" w14:textId="77777777" w:rsidR="00E040FD" w:rsidRDefault="00740D64">
            <w:pPr>
              <w:pStyle w:val="P68B1DB1-Normal23"/>
              <w:spacing w:after="0"/>
              <w:jc w:val="center"/>
              <w:rPr>
                <w:rFonts w:eastAsia="Calibri" w:cs="Calibri"/>
                <w:noProof/>
              </w:rPr>
            </w:pPr>
            <w:r>
              <w:rPr>
                <w:noProof/>
              </w:rPr>
              <w:t xml:space="preserve">RE-C08-i02 </w:t>
            </w:r>
          </w:p>
        </w:tc>
        <w:tc>
          <w:tcPr>
            <w:tcW w:w="1520" w:type="dxa"/>
            <w:shd w:val="clear" w:color="auto" w:fill="C4EFCE"/>
            <w:vAlign w:val="center"/>
            <w:hideMark/>
          </w:tcPr>
          <w:p w14:paraId="4FEEA23F" w14:textId="77777777" w:rsidR="00E040FD" w:rsidRDefault="00740D64">
            <w:pPr>
              <w:pStyle w:val="P68B1DB1-Normal23"/>
              <w:spacing w:after="0"/>
              <w:jc w:val="center"/>
              <w:rPr>
                <w:rFonts w:eastAsia="Calibri" w:cs="Calibri"/>
                <w:noProof/>
              </w:rPr>
            </w:pPr>
            <w:r>
              <w:rPr>
                <w:noProof/>
              </w:rPr>
              <w:t xml:space="preserve">T </w:t>
            </w:r>
          </w:p>
        </w:tc>
        <w:tc>
          <w:tcPr>
            <w:tcW w:w="5060" w:type="dxa"/>
            <w:shd w:val="clear" w:color="auto" w:fill="C4EFCE"/>
            <w:vAlign w:val="center"/>
            <w:hideMark/>
          </w:tcPr>
          <w:p w14:paraId="10D33A02" w14:textId="77777777" w:rsidR="00E040FD" w:rsidRDefault="00740D64">
            <w:pPr>
              <w:pStyle w:val="P68B1DB1-Normal23"/>
              <w:spacing w:after="0"/>
              <w:jc w:val="both"/>
              <w:rPr>
                <w:rFonts w:eastAsia="Calibri" w:cs="Calibri"/>
                <w:noProof/>
              </w:rPr>
            </w:pPr>
            <w:r>
              <w:rPr>
                <w:noProof/>
              </w:rPr>
              <w:t>Inrättande av regionala och subregionala strukturer för den nationella myndigheten för katastrof- och civilskydd (ANEPC)</w:t>
            </w:r>
          </w:p>
        </w:tc>
      </w:tr>
      <w:tr w:rsidR="00E040FD" w14:paraId="35EFEA47" w14:textId="77777777">
        <w:trPr>
          <w:trHeight w:val="440"/>
        </w:trPr>
        <w:tc>
          <w:tcPr>
            <w:tcW w:w="1200" w:type="dxa"/>
            <w:shd w:val="clear" w:color="auto" w:fill="C4EFCE"/>
            <w:vAlign w:val="center"/>
            <w:hideMark/>
          </w:tcPr>
          <w:p w14:paraId="4C9D2DDC" w14:textId="77777777" w:rsidR="00E040FD" w:rsidRDefault="00740D64">
            <w:pPr>
              <w:pStyle w:val="P68B1DB1-Normal23"/>
              <w:spacing w:after="0"/>
              <w:jc w:val="center"/>
              <w:rPr>
                <w:rFonts w:eastAsia="Calibri" w:cs="Calibri"/>
                <w:noProof/>
              </w:rPr>
            </w:pPr>
            <w:r>
              <w:rPr>
                <w:noProof/>
              </w:rPr>
              <w:t>8.15</w:t>
            </w:r>
          </w:p>
        </w:tc>
        <w:tc>
          <w:tcPr>
            <w:tcW w:w="1760" w:type="dxa"/>
            <w:shd w:val="clear" w:color="auto" w:fill="C4EFCE"/>
            <w:vAlign w:val="center"/>
            <w:hideMark/>
          </w:tcPr>
          <w:p w14:paraId="44F53CD2" w14:textId="77777777" w:rsidR="00E040FD" w:rsidRDefault="00740D64">
            <w:pPr>
              <w:pStyle w:val="P68B1DB1-Normal23"/>
              <w:spacing w:after="0"/>
              <w:jc w:val="center"/>
              <w:rPr>
                <w:rFonts w:eastAsia="Calibri" w:cs="Calibri"/>
                <w:noProof/>
              </w:rPr>
            </w:pPr>
            <w:r>
              <w:rPr>
                <w:noProof/>
              </w:rPr>
              <w:t xml:space="preserve">RE-C08-i03 </w:t>
            </w:r>
          </w:p>
        </w:tc>
        <w:tc>
          <w:tcPr>
            <w:tcW w:w="1520" w:type="dxa"/>
            <w:shd w:val="clear" w:color="auto" w:fill="C4EFCE"/>
            <w:vAlign w:val="center"/>
            <w:hideMark/>
          </w:tcPr>
          <w:p w14:paraId="0F2B0D59"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1ABC6A2" w14:textId="77777777" w:rsidR="00E040FD" w:rsidRDefault="00740D64">
            <w:pPr>
              <w:pStyle w:val="P68B1DB1-Normal23"/>
              <w:spacing w:after="0"/>
              <w:jc w:val="both"/>
              <w:rPr>
                <w:rFonts w:eastAsia="Calibri" w:cs="Calibri"/>
                <w:noProof/>
              </w:rPr>
            </w:pPr>
            <w:r>
              <w:rPr>
                <w:noProof/>
              </w:rPr>
              <w:t>Offentliggörande av den första rapporten från institutet för naturskydd och skogar, I.P</w:t>
            </w:r>
          </w:p>
        </w:tc>
      </w:tr>
      <w:tr w:rsidR="00E040FD" w14:paraId="07159476" w14:textId="77777777">
        <w:trPr>
          <w:trHeight w:val="440"/>
        </w:trPr>
        <w:tc>
          <w:tcPr>
            <w:tcW w:w="1200" w:type="dxa"/>
            <w:shd w:val="clear" w:color="auto" w:fill="C4EFCE"/>
            <w:vAlign w:val="center"/>
            <w:hideMark/>
          </w:tcPr>
          <w:p w14:paraId="4FFB6CD4" w14:textId="77777777" w:rsidR="00E040FD" w:rsidRDefault="00740D64">
            <w:pPr>
              <w:pStyle w:val="P68B1DB1-Normal23"/>
              <w:spacing w:after="0"/>
              <w:jc w:val="center"/>
              <w:rPr>
                <w:rFonts w:eastAsia="Calibri" w:cs="Calibri"/>
                <w:noProof/>
              </w:rPr>
            </w:pPr>
            <w:r>
              <w:rPr>
                <w:noProof/>
              </w:rPr>
              <w:t>8.4</w:t>
            </w:r>
          </w:p>
        </w:tc>
        <w:tc>
          <w:tcPr>
            <w:tcW w:w="1760" w:type="dxa"/>
            <w:shd w:val="clear" w:color="auto" w:fill="C4EFCE"/>
            <w:vAlign w:val="center"/>
            <w:hideMark/>
          </w:tcPr>
          <w:p w14:paraId="7B8AD2FC" w14:textId="77777777" w:rsidR="00E040FD" w:rsidRDefault="00740D64">
            <w:pPr>
              <w:pStyle w:val="P68B1DB1-Normal23"/>
              <w:spacing w:after="0"/>
              <w:jc w:val="center"/>
              <w:rPr>
                <w:rFonts w:eastAsia="Calibri" w:cs="Calibri"/>
                <w:noProof/>
              </w:rPr>
            </w:pPr>
            <w:r>
              <w:rPr>
                <w:noProof/>
              </w:rPr>
              <w:t xml:space="preserve">RE-C08-i05 </w:t>
            </w:r>
          </w:p>
        </w:tc>
        <w:tc>
          <w:tcPr>
            <w:tcW w:w="1520" w:type="dxa"/>
            <w:shd w:val="clear" w:color="auto" w:fill="C4EFCE"/>
            <w:vAlign w:val="center"/>
            <w:hideMark/>
          </w:tcPr>
          <w:p w14:paraId="17CD02D0"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2EF1A361" w14:textId="77777777" w:rsidR="00E040FD" w:rsidRDefault="00740D64">
            <w:pPr>
              <w:pStyle w:val="P68B1DB1-Normal23"/>
              <w:spacing w:after="0"/>
              <w:jc w:val="both"/>
              <w:rPr>
                <w:rFonts w:eastAsia="Calibri" w:cs="Calibri"/>
                <w:noProof/>
              </w:rPr>
            </w:pPr>
            <w:r>
              <w:rPr>
                <w:noProof/>
              </w:rPr>
              <w:t>På väg mot en BUPi 2.0-plattform</w:t>
            </w:r>
          </w:p>
        </w:tc>
      </w:tr>
      <w:tr w:rsidR="00E040FD" w14:paraId="6124AF89" w14:textId="77777777">
        <w:trPr>
          <w:trHeight w:val="440"/>
        </w:trPr>
        <w:tc>
          <w:tcPr>
            <w:tcW w:w="1200" w:type="dxa"/>
            <w:shd w:val="clear" w:color="auto" w:fill="C4EFCE"/>
            <w:vAlign w:val="center"/>
            <w:hideMark/>
          </w:tcPr>
          <w:p w14:paraId="61ED2CA3" w14:textId="77777777" w:rsidR="00E040FD" w:rsidRDefault="00740D64">
            <w:pPr>
              <w:pStyle w:val="P68B1DB1-Normal23"/>
              <w:spacing w:after="0"/>
              <w:jc w:val="center"/>
              <w:rPr>
                <w:rFonts w:eastAsia="Calibri" w:cs="Calibri"/>
                <w:noProof/>
              </w:rPr>
            </w:pPr>
            <w:r>
              <w:rPr>
                <w:noProof/>
              </w:rPr>
              <w:t>8.7</w:t>
            </w:r>
          </w:p>
        </w:tc>
        <w:tc>
          <w:tcPr>
            <w:tcW w:w="1760" w:type="dxa"/>
            <w:shd w:val="clear" w:color="auto" w:fill="C4EFCE"/>
            <w:vAlign w:val="center"/>
            <w:hideMark/>
          </w:tcPr>
          <w:p w14:paraId="62D644C7" w14:textId="77777777" w:rsidR="00E040FD" w:rsidRDefault="00740D64">
            <w:pPr>
              <w:pStyle w:val="P68B1DB1-Normal23"/>
              <w:spacing w:after="0"/>
              <w:jc w:val="center"/>
              <w:rPr>
                <w:rFonts w:eastAsia="Calibri" w:cs="Calibri"/>
                <w:noProof/>
              </w:rPr>
            </w:pPr>
            <w:r>
              <w:rPr>
                <w:noProof/>
              </w:rPr>
              <w:t xml:space="preserve">RE-C08-i05 </w:t>
            </w:r>
          </w:p>
        </w:tc>
        <w:tc>
          <w:tcPr>
            <w:tcW w:w="1520" w:type="dxa"/>
            <w:shd w:val="clear" w:color="auto" w:fill="C4EFCE"/>
            <w:vAlign w:val="center"/>
            <w:hideMark/>
          </w:tcPr>
          <w:p w14:paraId="51195EC8"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5560C5A" w14:textId="77777777" w:rsidR="00E040FD" w:rsidRDefault="00740D64">
            <w:pPr>
              <w:pStyle w:val="P68B1DB1-Normal23"/>
              <w:spacing w:after="0"/>
              <w:jc w:val="both"/>
              <w:rPr>
                <w:rFonts w:eastAsia="Calibri" w:cs="Calibri"/>
                <w:noProof/>
              </w:rPr>
            </w:pPr>
            <w:r>
              <w:rPr>
                <w:noProof/>
              </w:rPr>
              <w:t>Offentliggörande av avtalet om struktureringsnätverket för hantering av primärt bränsle (Primary Fuel Management Breaks Structuring Network, RPFGC)</w:t>
            </w:r>
          </w:p>
        </w:tc>
      </w:tr>
      <w:tr w:rsidR="00E040FD" w14:paraId="119565A8" w14:textId="77777777">
        <w:trPr>
          <w:trHeight w:val="440"/>
        </w:trPr>
        <w:tc>
          <w:tcPr>
            <w:tcW w:w="1200" w:type="dxa"/>
            <w:shd w:val="clear" w:color="auto" w:fill="C4EFCE"/>
            <w:vAlign w:val="center"/>
            <w:hideMark/>
          </w:tcPr>
          <w:p w14:paraId="576F089D" w14:textId="77777777" w:rsidR="00E040FD" w:rsidRDefault="00740D64">
            <w:pPr>
              <w:pStyle w:val="P68B1DB1-Normal23"/>
              <w:spacing w:after="0"/>
              <w:jc w:val="center"/>
              <w:rPr>
                <w:rFonts w:eastAsia="Calibri" w:cs="Calibri"/>
                <w:noProof/>
              </w:rPr>
            </w:pPr>
            <w:r>
              <w:rPr>
                <w:noProof/>
              </w:rPr>
              <w:t>9.9</w:t>
            </w:r>
          </w:p>
        </w:tc>
        <w:tc>
          <w:tcPr>
            <w:tcW w:w="1760" w:type="dxa"/>
            <w:shd w:val="clear" w:color="auto" w:fill="C4EFCE"/>
            <w:vAlign w:val="center"/>
            <w:hideMark/>
          </w:tcPr>
          <w:p w14:paraId="59AA53D0" w14:textId="77777777" w:rsidR="00E040FD" w:rsidRDefault="00740D64">
            <w:pPr>
              <w:pStyle w:val="P68B1DB1-Normal23"/>
              <w:spacing w:after="0"/>
              <w:jc w:val="center"/>
              <w:rPr>
                <w:rFonts w:eastAsia="Calibri" w:cs="Calibri"/>
                <w:noProof/>
              </w:rPr>
            </w:pPr>
            <w:r>
              <w:rPr>
                <w:noProof/>
              </w:rPr>
              <w:t xml:space="preserve">RE-C09-i02 </w:t>
            </w:r>
          </w:p>
        </w:tc>
        <w:tc>
          <w:tcPr>
            <w:tcW w:w="1520" w:type="dxa"/>
            <w:shd w:val="clear" w:color="auto" w:fill="C4EFCE"/>
            <w:vAlign w:val="center"/>
            <w:hideMark/>
          </w:tcPr>
          <w:p w14:paraId="765E382A"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179D88CA" w14:textId="77777777" w:rsidR="00E040FD" w:rsidRDefault="00740D64">
            <w:pPr>
              <w:pStyle w:val="P68B1DB1-Normal23"/>
              <w:spacing w:after="0"/>
              <w:jc w:val="both"/>
              <w:rPr>
                <w:rFonts w:eastAsia="Calibri" w:cs="Calibri"/>
                <w:noProof/>
              </w:rPr>
            </w:pPr>
            <w:r>
              <w:rPr>
                <w:noProof/>
              </w:rPr>
              <w:t>Offentliggörande av planeringsdokumentationen för åtgärden, med fullständiga uppgifter om alla resultat och villkor från miljökonsekvensbedömningen.</w:t>
            </w:r>
          </w:p>
        </w:tc>
      </w:tr>
      <w:tr w:rsidR="00E040FD" w14:paraId="22E0EAB1" w14:textId="77777777">
        <w:trPr>
          <w:trHeight w:val="440"/>
        </w:trPr>
        <w:tc>
          <w:tcPr>
            <w:tcW w:w="1200" w:type="dxa"/>
            <w:shd w:val="clear" w:color="auto" w:fill="C4EFCE"/>
            <w:vAlign w:val="center"/>
            <w:hideMark/>
          </w:tcPr>
          <w:p w14:paraId="2B69A152" w14:textId="77777777" w:rsidR="00E040FD" w:rsidRDefault="00740D64">
            <w:pPr>
              <w:pStyle w:val="P68B1DB1-Normal23"/>
              <w:spacing w:after="0"/>
              <w:jc w:val="center"/>
              <w:rPr>
                <w:rFonts w:eastAsia="Calibri" w:cs="Calibri"/>
                <w:noProof/>
              </w:rPr>
            </w:pPr>
            <w:r>
              <w:rPr>
                <w:noProof/>
              </w:rPr>
              <w:t>12.2</w:t>
            </w:r>
          </w:p>
        </w:tc>
        <w:tc>
          <w:tcPr>
            <w:tcW w:w="1760" w:type="dxa"/>
            <w:shd w:val="clear" w:color="auto" w:fill="C4EFCE"/>
            <w:vAlign w:val="center"/>
            <w:hideMark/>
          </w:tcPr>
          <w:p w14:paraId="0E5E7E9D" w14:textId="77777777" w:rsidR="00E040FD" w:rsidRDefault="00740D64">
            <w:pPr>
              <w:pStyle w:val="P68B1DB1-Normal23"/>
              <w:spacing w:after="0"/>
              <w:jc w:val="center"/>
              <w:rPr>
                <w:rFonts w:eastAsia="Calibri" w:cs="Calibri"/>
                <w:noProof/>
              </w:rPr>
            </w:pPr>
            <w:r>
              <w:rPr>
                <w:noProof/>
              </w:rPr>
              <w:t xml:space="preserve">TC-C12-I01 </w:t>
            </w:r>
          </w:p>
        </w:tc>
        <w:tc>
          <w:tcPr>
            <w:tcW w:w="1520" w:type="dxa"/>
            <w:shd w:val="clear" w:color="auto" w:fill="C4EFCE"/>
            <w:vAlign w:val="center"/>
            <w:hideMark/>
          </w:tcPr>
          <w:p w14:paraId="5A2C0CDF"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6F6BDEC" w14:textId="77777777" w:rsidR="00E040FD" w:rsidRDefault="00740D64">
            <w:pPr>
              <w:pStyle w:val="P68B1DB1-Normal23"/>
              <w:spacing w:after="0"/>
              <w:jc w:val="both"/>
              <w:rPr>
                <w:rFonts w:eastAsia="Calibri" w:cs="Calibri"/>
                <w:noProof/>
              </w:rPr>
            </w:pPr>
            <w:r>
              <w:rPr>
                <w:noProof/>
              </w:rPr>
              <w:t>Godkännande av de projekt som lagts fram av konsortierna för utveckling av nya bioekonomiska produkter, ny teknik och nya processer inom textil- och beklädnadssektorn, skodons- och naturhartssektorn</w:t>
            </w:r>
          </w:p>
        </w:tc>
      </w:tr>
      <w:tr w:rsidR="00E040FD" w14:paraId="714F199C" w14:textId="77777777">
        <w:trPr>
          <w:trHeight w:val="440"/>
        </w:trPr>
        <w:tc>
          <w:tcPr>
            <w:tcW w:w="1200" w:type="dxa"/>
            <w:shd w:val="clear" w:color="auto" w:fill="C4EFCE"/>
            <w:vAlign w:val="center"/>
            <w:hideMark/>
          </w:tcPr>
          <w:p w14:paraId="2998479E" w14:textId="77777777" w:rsidR="00E040FD" w:rsidRDefault="00740D64">
            <w:pPr>
              <w:pStyle w:val="P68B1DB1-Normal23"/>
              <w:spacing w:after="0"/>
              <w:jc w:val="center"/>
              <w:rPr>
                <w:rFonts w:eastAsia="Calibri" w:cs="Calibri"/>
                <w:noProof/>
              </w:rPr>
            </w:pPr>
            <w:r>
              <w:rPr>
                <w:noProof/>
              </w:rPr>
              <w:t>15.10</w:t>
            </w:r>
          </w:p>
        </w:tc>
        <w:tc>
          <w:tcPr>
            <w:tcW w:w="1760" w:type="dxa"/>
            <w:shd w:val="clear" w:color="auto" w:fill="C4EFCE"/>
            <w:vAlign w:val="center"/>
            <w:hideMark/>
          </w:tcPr>
          <w:p w14:paraId="52003E88" w14:textId="77777777" w:rsidR="00E040FD" w:rsidRDefault="00740D64">
            <w:pPr>
              <w:pStyle w:val="P68B1DB1-Normal23"/>
              <w:spacing w:after="0"/>
              <w:jc w:val="center"/>
              <w:rPr>
                <w:rFonts w:eastAsia="Calibri" w:cs="Calibri"/>
                <w:noProof/>
              </w:rPr>
            </w:pPr>
            <w:r>
              <w:rPr>
                <w:noProof/>
              </w:rPr>
              <w:t xml:space="preserve">TC-C15-I04 </w:t>
            </w:r>
          </w:p>
        </w:tc>
        <w:tc>
          <w:tcPr>
            <w:tcW w:w="1520" w:type="dxa"/>
            <w:shd w:val="clear" w:color="auto" w:fill="C4EFCE"/>
            <w:vAlign w:val="center"/>
            <w:hideMark/>
          </w:tcPr>
          <w:p w14:paraId="6E6BC1D8"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6F85E86" w14:textId="77777777" w:rsidR="00E040FD" w:rsidRDefault="00740D64">
            <w:pPr>
              <w:pStyle w:val="P68B1DB1-Normal23"/>
              <w:spacing w:after="0"/>
              <w:jc w:val="both"/>
              <w:rPr>
                <w:rFonts w:eastAsia="Calibri" w:cs="Calibri"/>
                <w:noProof/>
              </w:rPr>
            </w:pPr>
            <w:r>
              <w:rPr>
                <w:noProof/>
              </w:rPr>
              <w:t>Undertecknande av avtalet om uppförande av en busslinje för snabb transitering mellan Praça do Império och Praça Albuquerque Mouzinho i Porto</w:t>
            </w:r>
          </w:p>
        </w:tc>
      </w:tr>
      <w:tr w:rsidR="00E040FD" w14:paraId="533E7E79" w14:textId="77777777">
        <w:trPr>
          <w:trHeight w:val="440"/>
        </w:trPr>
        <w:tc>
          <w:tcPr>
            <w:tcW w:w="1200" w:type="dxa"/>
            <w:shd w:val="clear" w:color="auto" w:fill="C4EFCE"/>
            <w:vAlign w:val="center"/>
            <w:hideMark/>
          </w:tcPr>
          <w:p w14:paraId="02967B33" w14:textId="77777777" w:rsidR="00E040FD" w:rsidRDefault="00740D64">
            <w:pPr>
              <w:pStyle w:val="P68B1DB1-Normal23"/>
              <w:spacing w:after="0"/>
              <w:jc w:val="center"/>
              <w:rPr>
                <w:rFonts w:eastAsia="Calibri" w:cs="Calibri"/>
                <w:noProof/>
              </w:rPr>
            </w:pPr>
            <w:r>
              <w:rPr>
                <w:noProof/>
              </w:rPr>
              <w:t>16.1</w:t>
            </w:r>
          </w:p>
        </w:tc>
        <w:tc>
          <w:tcPr>
            <w:tcW w:w="1760" w:type="dxa"/>
            <w:shd w:val="clear" w:color="auto" w:fill="C4EFCE"/>
            <w:vAlign w:val="center"/>
            <w:hideMark/>
          </w:tcPr>
          <w:p w14:paraId="6200FB03" w14:textId="77777777" w:rsidR="00E040FD" w:rsidRDefault="00740D64">
            <w:pPr>
              <w:pStyle w:val="P68B1DB1-Normal23"/>
              <w:spacing w:after="0"/>
              <w:jc w:val="center"/>
              <w:rPr>
                <w:rFonts w:eastAsia="Calibri" w:cs="Calibri"/>
                <w:noProof/>
              </w:rPr>
            </w:pPr>
            <w:r>
              <w:rPr>
                <w:noProof/>
              </w:rPr>
              <w:t xml:space="preserve">TD-C16-r31 </w:t>
            </w:r>
          </w:p>
        </w:tc>
        <w:tc>
          <w:tcPr>
            <w:tcW w:w="1520" w:type="dxa"/>
            <w:shd w:val="clear" w:color="auto" w:fill="C4EFCE"/>
            <w:vAlign w:val="center"/>
            <w:hideMark/>
          </w:tcPr>
          <w:p w14:paraId="5AAA97BA"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D8BB228" w14:textId="77777777" w:rsidR="00E040FD" w:rsidRDefault="00740D64">
            <w:pPr>
              <w:pStyle w:val="P68B1DB1-Normal23"/>
              <w:spacing w:after="0"/>
              <w:jc w:val="both"/>
              <w:rPr>
                <w:rFonts w:eastAsia="Calibri" w:cs="Calibri"/>
                <w:noProof/>
              </w:rPr>
            </w:pPr>
            <w:r>
              <w:rPr>
                <w:noProof/>
              </w:rPr>
              <w:t>Ikraftträdande av översynen av utbildningsinnehållet i den nationella kvalifikationskatalogen när det gäller moduler på området digitala färdigheter och lagstiftning eller reglering för skapande av digitala signaturer och stämplar</w:t>
            </w:r>
          </w:p>
        </w:tc>
      </w:tr>
      <w:tr w:rsidR="00E040FD" w14:paraId="5CC4D3D1" w14:textId="77777777">
        <w:trPr>
          <w:trHeight w:val="440"/>
        </w:trPr>
        <w:tc>
          <w:tcPr>
            <w:tcW w:w="1200" w:type="dxa"/>
            <w:shd w:val="clear" w:color="auto" w:fill="C4EFCE"/>
            <w:vAlign w:val="center"/>
            <w:hideMark/>
          </w:tcPr>
          <w:p w14:paraId="1F86CEE9" w14:textId="77777777" w:rsidR="00E040FD" w:rsidRDefault="00740D64">
            <w:pPr>
              <w:pStyle w:val="P68B1DB1-Normal23"/>
              <w:spacing w:after="0"/>
              <w:jc w:val="center"/>
              <w:rPr>
                <w:rFonts w:eastAsia="Calibri" w:cs="Calibri"/>
                <w:noProof/>
              </w:rPr>
            </w:pPr>
            <w:r>
              <w:rPr>
                <w:noProof/>
              </w:rPr>
              <w:t>16.2</w:t>
            </w:r>
          </w:p>
        </w:tc>
        <w:tc>
          <w:tcPr>
            <w:tcW w:w="1760" w:type="dxa"/>
            <w:shd w:val="clear" w:color="auto" w:fill="C4EFCE"/>
            <w:vAlign w:val="center"/>
            <w:hideMark/>
          </w:tcPr>
          <w:p w14:paraId="11BC8A27" w14:textId="77777777" w:rsidR="00E040FD" w:rsidRDefault="00740D64">
            <w:pPr>
              <w:pStyle w:val="P68B1DB1-Normal23"/>
              <w:spacing w:after="0"/>
              <w:jc w:val="center"/>
              <w:rPr>
                <w:rFonts w:eastAsia="Calibri" w:cs="Calibri"/>
                <w:noProof/>
              </w:rPr>
            </w:pPr>
            <w:r>
              <w:rPr>
                <w:noProof/>
              </w:rPr>
              <w:t xml:space="preserve">TD-C16-i01 </w:t>
            </w:r>
          </w:p>
        </w:tc>
        <w:tc>
          <w:tcPr>
            <w:tcW w:w="1520" w:type="dxa"/>
            <w:shd w:val="clear" w:color="auto" w:fill="C4EFCE"/>
            <w:vAlign w:val="center"/>
            <w:hideMark/>
          </w:tcPr>
          <w:p w14:paraId="090CB4EA"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47853812" w14:textId="77777777" w:rsidR="00E040FD" w:rsidRDefault="00740D64">
            <w:pPr>
              <w:pStyle w:val="P68B1DB1-Normal23"/>
              <w:spacing w:after="0"/>
              <w:jc w:val="both"/>
              <w:rPr>
                <w:rFonts w:eastAsia="Calibri" w:cs="Calibri"/>
                <w:noProof/>
              </w:rPr>
            </w:pPr>
            <w:r>
              <w:rPr>
                <w:noProof/>
              </w:rPr>
              <w:t>Portugals digitala akademi och sysselsättning + Digitala program inleds</w:t>
            </w:r>
          </w:p>
        </w:tc>
      </w:tr>
      <w:tr w:rsidR="00E040FD" w14:paraId="3200DC7C" w14:textId="77777777">
        <w:trPr>
          <w:trHeight w:val="440"/>
        </w:trPr>
        <w:tc>
          <w:tcPr>
            <w:tcW w:w="1200" w:type="dxa"/>
            <w:shd w:val="clear" w:color="auto" w:fill="C4EFCE"/>
            <w:vAlign w:val="center"/>
            <w:hideMark/>
          </w:tcPr>
          <w:p w14:paraId="05FEEB7F" w14:textId="77777777" w:rsidR="00E040FD" w:rsidRDefault="00740D64">
            <w:pPr>
              <w:pStyle w:val="P68B1DB1-Normal23"/>
              <w:spacing w:after="0"/>
              <w:jc w:val="center"/>
              <w:rPr>
                <w:rFonts w:eastAsia="Calibri" w:cs="Calibri"/>
                <w:noProof/>
              </w:rPr>
            </w:pPr>
            <w:r>
              <w:rPr>
                <w:noProof/>
              </w:rPr>
              <w:t>17.15</w:t>
            </w:r>
          </w:p>
        </w:tc>
        <w:tc>
          <w:tcPr>
            <w:tcW w:w="1760" w:type="dxa"/>
            <w:shd w:val="clear" w:color="auto" w:fill="C4EFCE"/>
            <w:vAlign w:val="center"/>
            <w:hideMark/>
          </w:tcPr>
          <w:p w14:paraId="1F9D1033" w14:textId="77777777" w:rsidR="00E040FD" w:rsidRDefault="00740D64">
            <w:pPr>
              <w:pStyle w:val="P68B1DB1-Normal23"/>
              <w:spacing w:after="0"/>
              <w:jc w:val="center"/>
              <w:rPr>
                <w:rFonts w:eastAsia="Calibri" w:cs="Calibri"/>
                <w:noProof/>
              </w:rPr>
            </w:pPr>
            <w:r>
              <w:rPr>
                <w:noProof/>
              </w:rPr>
              <w:t xml:space="preserve">TD-C17-i02 </w:t>
            </w:r>
          </w:p>
        </w:tc>
        <w:tc>
          <w:tcPr>
            <w:tcW w:w="1520" w:type="dxa"/>
            <w:shd w:val="clear" w:color="auto" w:fill="C4EFCE"/>
            <w:vAlign w:val="center"/>
            <w:hideMark/>
          </w:tcPr>
          <w:p w14:paraId="67833CAE" w14:textId="77777777" w:rsidR="00E040FD" w:rsidRDefault="00740D6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0BBDC58" w14:textId="77777777" w:rsidR="00E040FD" w:rsidRDefault="00740D64">
            <w:pPr>
              <w:pStyle w:val="P68B1DB1-Normal23"/>
              <w:spacing w:after="0"/>
              <w:jc w:val="both"/>
              <w:rPr>
                <w:rFonts w:eastAsia="Calibri" w:cs="Calibri"/>
                <w:noProof/>
              </w:rPr>
            </w:pPr>
            <w:r>
              <w:rPr>
                <w:noProof/>
              </w:rPr>
              <w:t>Slutföra genomförandet av förifyllandet av mall 1-deklarationen för kommunal fastighetsskatt (IMI), på grundval av de uppgifter som skatte- och tullmyndigheten har tillgång till.</w:t>
            </w:r>
          </w:p>
        </w:tc>
      </w:tr>
      <w:tr w:rsidR="00E040FD" w14:paraId="67713344" w14:textId="77777777">
        <w:trPr>
          <w:trHeight w:val="440"/>
        </w:trPr>
        <w:tc>
          <w:tcPr>
            <w:tcW w:w="1200" w:type="dxa"/>
            <w:shd w:val="clear" w:color="auto" w:fill="C4EFCE"/>
            <w:vAlign w:val="center"/>
            <w:hideMark/>
          </w:tcPr>
          <w:p w14:paraId="66174395" w14:textId="77777777" w:rsidR="00E040FD" w:rsidRDefault="00740D64">
            <w:pPr>
              <w:pStyle w:val="P68B1DB1-Normal23"/>
              <w:spacing w:after="0"/>
              <w:jc w:val="center"/>
              <w:rPr>
                <w:rFonts w:eastAsia="Calibri" w:cs="Calibri"/>
                <w:noProof/>
              </w:rPr>
            </w:pPr>
            <w:r>
              <w:rPr>
                <w:noProof/>
              </w:rPr>
              <w:t>19.11</w:t>
            </w:r>
          </w:p>
        </w:tc>
        <w:tc>
          <w:tcPr>
            <w:tcW w:w="1760" w:type="dxa"/>
            <w:shd w:val="clear" w:color="auto" w:fill="C4EFCE"/>
            <w:vAlign w:val="center"/>
            <w:hideMark/>
          </w:tcPr>
          <w:p w14:paraId="2588905C" w14:textId="77777777" w:rsidR="00E040FD" w:rsidRDefault="00740D64">
            <w:pPr>
              <w:pStyle w:val="P68B1DB1-Normal23"/>
              <w:spacing w:after="0"/>
              <w:jc w:val="center"/>
              <w:rPr>
                <w:rFonts w:eastAsia="Calibri" w:cs="Calibri"/>
                <w:noProof/>
              </w:rPr>
            </w:pPr>
            <w:r>
              <w:rPr>
                <w:noProof/>
              </w:rPr>
              <w:t xml:space="preserve">TD-C19-i04 </w:t>
            </w:r>
          </w:p>
        </w:tc>
        <w:tc>
          <w:tcPr>
            <w:tcW w:w="1520" w:type="dxa"/>
            <w:shd w:val="clear" w:color="auto" w:fill="C4EFCE"/>
            <w:vAlign w:val="center"/>
            <w:hideMark/>
          </w:tcPr>
          <w:p w14:paraId="0316DC1D" w14:textId="77777777" w:rsidR="00E040FD" w:rsidRDefault="00740D64">
            <w:pPr>
              <w:pStyle w:val="P68B1DB1-Normal23"/>
              <w:spacing w:after="0"/>
              <w:jc w:val="center"/>
              <w:rPr>
                <w:rFonts w:eastAsia="Calibri" w:cs="Calibri"/>
                <w:noProof/>
              </w:rPr>
            </w:pPr>
            <w:r>
              <w:rPr>
                <w:noProof/>
              </w:rPr>
              <w:t xml:space="preserve">T </w:t>
            </w:r>
          </w:p>
        </w:tc>
        <w:tc>
          <w:tcPr>
            <w:tcW w:w="5060" w:type="dxa"/>
            <w:shd w:val="clear" w:color="auto" w:fill="C4EFCE"/>
            <w:vAlign w:val="center"/>
            <w:hideMark/>
          </w:tcPr>
          <w:p w14:paraId="1F06EAFA" w14:textId="77777777" w:rsidR="00E040FD" w:rsidRDefault="00740D64">
            <w:pPr>
              <w:pStyle w:val="P68B1DB1-Normal23"/>
              <w:spacing w:after="0"/>
              <w:jc w:val="both"/>
              <w:rPr>
                <w:rFonts w:eastAsia="Calibri" w:cs="Calibri"/>
                <w:noProof/>
              </w:rPr>
            </w:pPr>
            <w:r>
              <w:rPr>
                <w:noProof/>
              </w:rPr>
              <w:t>Säkert mobilkommunikationssystem för offentliganställda</w:t>
            </w:r>
          </w:p>
        </w:tc>
      </w:tr>
      <w:tr w:rsidR="00E040FD" w14:paraId="53A0C5D6" w14:textId="77777777">
        <w:trPr>
          <w:trHeight w:val="440"/>
        </w:trPr>
        <w:tc>
          <w:tcPr>
            <w:tcW w:w="1200" w:type="dxa"/>
            <w:shd w:val="clear" w:color="auto" w:fill="C4EFCE"/>
            <w:vAlign w:val="center"/>
            <w:hideMark/>
          </w:tcPr>
          <w:p w14:paraId="7CC89C41" w14:textId="77777777" w:rsidR="00E040FD" w:rsidRDefault="00740D6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371F60AD" w14:textId="77777777" w:rsidR="00E040FD" w:rsidRDefault="00740D6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49CC9873"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shd w:val="clear" w:color="auto" w:fill="C4EFCE"/>
            <w:vAlign w:val="center"/>
            <w:hideMark/>
          </w:tcPr>
          <w:p w14:paraId="4901582E" w14:textId="2E4933F5" w:rsidR="00E040FD" w:rsidRDefault="00740D64">
            <w:pPr>
              <w:pStyle w:val="P68B1DB1-Normal25"/>
              <w:spacing w:after="0" w:line="240" w:lineRule="auto"/>
              <w:jc w:val="center"/>
              <w:rPr>
                <w:rFonts w:cs="Calibri"/>
                <w:noProof/>
              </w:rPr>
            </w:pPr>
            <w:r>
              <w:rPr>
                <w:noProof/>
              </w:rPr>
              <w:t xml:space="preserve"> 1 967 365 517 EUR</w:t>
            </w:r>
          </w:p>
        </w:tc>
      </w:tr>
    </w:tbl>
    <w:p w14:paraId="59D27683"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7A195C46"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Tredje betalningsansökan (icke återbetalningspliktigt stöd): </w:t>
      </w:r>
    </w:p>
    <w:p w14:paraId="39F5DDB8"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746"/>
        <w:gridCol w:w="1514"/>
        <w:gridCol w:w="4985"/>
      </w:tblGrid>
      <w:tr w:rsidR="00E040FD" w14:paraId="1430A9DC" w14:textId="77777777">
        <w:trPr>
          <w:trHeight w:val="1018"/>
          <w:tblHeader/>
        </w:trPr>
        <w:tc>
          <w:tcPr>
            <w:tcW w:w="1200" w:type="dxa"/>
            <w:shd w:val="clear" w:color="auto" w:fill="BDD7EE"/>
            <w:vAlign w:val="center"/>
            <w:hideMark/>
          </w:tcPr>
          <w:p w14:paraId="2847B217"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shd w:val="clear" w:color="auto" w:fill="BDD7EE"/>
            <w:vAlign w:val="center"/>
            <w:hideMark/>
          </w:tcPr>
          <w:p w14:paraId="6187D274"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shd w:val="clear" w:color="auto" w:fill="BDD7EE"/>
            <w:vAlign w:val="center"/>
            <w:hideMark/>
          </w:tcPr>
          <w:p w14:paraId="32A18B87"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shd w:val="clear" w:color="auto" w:fill="BDD7EE"/>
            <w:vAlign w:val="center"/>
            <w:hideMark/>
          </w:tcPr>
          <w:p w14:paraId="7A727648"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433173AD" w14:textId="77777777">
        <w:trPr>
          <w:trHeight w:val="440"/>
        </w:trPr>
        <w:tc>
          <w:tcPr>
            <w:tcW w:w="1200" w:type="dxa"/>
            <w:shd w:val="clear" w:color="auto" w:fill="C4EFCE"/>
            <w:vAlign w:val="center"/>
            <w:hideMark/>
          </w:tcPr>
          <w:p w14:paraId="29F12095" w14:textId="77777777" w:rsidR="00E040FD" w:rsidRDefault="00740D64">
            <w:pPr>
              <w:pStyle w:val="P68B1DB1-Normal23"/>
              <w:spacing w:after="0"/>
              <w:jc w:val="center"/>
              <w:rPr>
                <w:noProof/>
              </w:rPr>
            </w:pPr>
            <w:r>
              <w:rPr>
                <w:noProof/>
              </w:rPr>
              <w:t>1.3</w:t>
            </w:r>
          </w:p>
        </w:tc>
        <w:tc>
          <w:tcPr>
            <w:tcW w:w="1760" w:type="dxa"/>
            <w:shd w:val="clear" w:color="auto" w:fill="C4EFCE"/>
            <w:vAlign w:val="center"/>
            <w:hideMark/>
          </w:tcPr>
          <w:p w14:paraId="227BCECB" w14:textId="77777777" w:rsidR="00E040FD" w:rsidRDefault="00740D64">
            <w:pPr>
              <w:pStyle w:val="P68B1DB1-Normal23"/>
              <w:spacing w:after="0"/>
              <w:jc w:val="center"/>
              <w:rPr>
                <w:noProof/>
              </w:rPr>
            </w:pPr>
            <w:r>
              <w:rPr>
                <w:noProof/>
              </w:rPr>
              <w:t xml:space="preserve">RE-C01-r01 </w:t>
            </w:r>
          </w:p>
        </w:tc>
        <w:tc>
          <w:tcPr>
            <w:tcW w:w="1520" w:type="dxa"/>
            <w:shd w:val="clear" w:color="auto" w:fill="C4EFCE"/>
            <w:vAlign w:val="center"/>
            <w:hideMark/>
          </w:tcPr>
          <w:p w14:paraId="02B91359"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127E965" w14:textId="77777777" w:rsidR="00E040FD" w:rsidRDefault="00740D64">
            <w:pPr>
              <w:pStyle w:val="P68B1DB1-Normal23"/>
              <w:spacing w:after="0"/>
              <w:jc w:val="both"/>
              <w:rPr>
                <w:rFonts w:eastAsia="Calibri" w:cs="Calibri"/>
                <w:noProof/>
              </w:rPr>
            </w:pPr>
            <w:r>
              <w:rPr>
                <w:noProof/>
              </w:rPr>
              <w:t>Slutförande av decentraliseringen av ansvaret på hälsoområdet i kommunerna</w:t>
            </w:r>
          </w:p>
        </w:tc>
      </w:tr>
      <w:tr w:rsidR="00E040FD" w14:paraId="35C8B374" w14:textId="77777777">
        <w:trPr>
          <w:trHeight w:val="440"/>
        </w:trPr>
        <w:tc>
          <w:tcPr>
            <w:tcW w:w="1200" w:type="dxa"/>
            <w:shd w:val="clear" w:color="auto" w:fill="C4EFCE"/>
            <w:vAlign w:val="center"/>
            <w:hideMark/>
          </w:tcPr>
          <w:p w14:paraId="5B2F963A" w14:textId="77777777" w:rsidR="00E040FD" w:rsidRDefault="00740D64">
            <w:pPr>
              <w:pStyle w:val="P68B1DB1-Normal23"/>
              <w:spacing w:after="0"/>
              <w:jc w:val="center"/>
              <w:rPr>
                <w:noProof/>
              </w:rPr>
            </w:pPr>
            <w:r>
              <w:rPr>
                <w:noProof/>
              </w:rPr>
              <w:t>1.8</w:t>
            </w:r>
          </w:p>
        </w:tc>
        <w:tc>
          <w:tcPr>
            <w:tcW w:w="1760" w:type="dxa"/>
            <w:shd w:val="clear" w:color="auto" w:fill="C4EFCE"/>
            <w:vAlign w:val="center"/>
            <w:hideMark/>
          </w:tcPr>
          <w:p w14:paraId="4BA31BDE" w14:textId="77777777" w:rsidR="00E040FD" w:rsidRDefault="00740D64">
            <w:pPr>
              <w:pStyle w:val="P68B1DB1-Normal23"/>
              <w:spacing w:after="0"/>
              <w:jc w:val="center"/>
              <w:rPr>
                <w:noProof/>
              </w:rPr>
            </w:pPr>
            <w:r>
              <w:rPr>
                <w:noProof/>
              </w:rPr>
              <w:t xml:space="preserve">RE-C01-r03 </w:t>
            </w:r>
          </w:p>
        </w:tc>
        <w:tc>
          <w:tcPr>
            <w:tcW w:w="1520" w:type="dxa"/>
            <w:shd w:val="clear" w:color="auto" w:fill="C4EFCE"/>
            <w:vAlign w:val="center"/>
            <w:hideMark/>
          </w:tcPr>
          <w:p w14:paraId="4B70E399"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4D83727" w14:textId="77777777" w:rsidR="00E040FD" w:rsidRDefault="00740D64">
            <w:pPr>
              <w:pStyle w:val="P68B1DB1-Normal23"/>
              <w:spacing w:after="0"/>
              <w:jc w:val="both"/>
              <w:rPr>
                <w:rFonts w:eastAsia="Calibri" w:cs="Calibri"/>
                <w:noProof/>
              </w:rPr>
            </w:pPr>
            <w:r>
              <w:rPr>
                <w:noProof/>
              </w:rPr>
              <w:t>Inrättande av nya integrerade ansvarscentrum på sjukhusen inom den nationella hälso- och sjukvården</w:t>
            </w:r>
          </w:p>
        </w:tc>
      </w:tr>
      <w:tr w:rsidR="00E040FD" w14:paraId="612E7BD9" w14:textId="77777777">
        <w:trPr>
          <w:trHeight w:val="440"/>
        </w:trPr>
        <w:tc>
          <w:tcPr>
            <w:tcW w:w="1200" w:type="dxa"/>
            <w:shd w:val="clear" w:color="auto" w:fill="C4EFCE"/>
            <w:vAlign w:val="center"/>
            <w:hideMark/>
          </w:tcPr>
          <w:p w14:paraId="6F992C46" w14:textId="77777777" w:rsidR="00E040FD" w:rsidRDefault="00740D64">
            <w:pPr>
              <w:pStyle w:val="P68B1DB1-Normal23"/>
              <w:spacing w:after="0"/>
              <w:jc w:val="center"/>
              <w:rPr>
                <w:noProof/>
              </w:rPr>
            </w:pPr>
            <w:r>
              <w:rPr>
                <w:noProof/>
              </w:rPr>
              <w:t>1.24</w:t>
            </w:r>
          </w:p>
        </w:tc>
        <w:tc>
          <w:tcPr>
            <w:tcW w:w="1760" w:type="dxa"/>
            <w:shd w:val="clear" w:color="auto" w:fill="C4EFCE"/>
            <w:vAlign w:val="center"/>
            <w:hideMark/>
          </w:tcPr>
          <w:p w14:paraId="6244700A" w14:textId="77777777" w:rsidR="00E040FD" w:rsidRDefault="00740D64">
            <w:pPr>
              <w:pStyle w:val="P68B1DB1-Normal23"/>
              <w:spacing w:after="0"/>
              <w:jc w:val="center"/>
              <w:rPr>
                <w:noProof/>
              </w:rPr>
            </w:pPr>
            <w:r>
              <w:rPr>
                <w:noProof/>
              </w:rPr>
              <w:t xml:space="preserve">RE-C01-i03 </w:t>
            </w:r>
          </w:p>
        </w:tc>
        <w:tc>
          <w:tcPr>
            <w:tcW w:w="1520" w:type="dxa"/>
            <w:shd w:val="clear" w:color="auto" w:fill="C4EFCE"/>
            <w:vAlign w:val="center"/>
            <w:hideMark/>
          </w:tcPr>
          <w:p w14:paraId="768B1E26"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21094EF" w14:textId="77777777" w:rsidR="00E040FD" w:rsidRDefault="00740D64">
            <w:pPr>
              <w:pStyle w:val="P68B1DB1-Normal23"/>
              <w:spacing w:after="0"/>
              <w:jc w:val="both"/>
              <w:rPr>
                <w:rFonts w:eastAsia="Calibri" w:cs="Calibri"/>
                <w:noProof/>
              </w:rPr>
            </w:pPr>
            <w:r>
              <w:rPr>
                <w:noProof/>
              </w:rPr>
              <w:t>Utveckling av medvetandehöjande åtgärder och utbildningsåtgärder för att ”bygga upp patientvägar” i samband med demenssjukdomar.</w:t>
            </w:r>
          </w:p>
        </w:tc>
      </w:tr>
      <w:tr w:rsidR="00E040FD" w14:paraId="16774000" w14:textId="77777777">
        <w:trPr>
          <w:trHeight w:val="440"/>
        </w:trPr>
        <w:tc>
          <w:tcPr>
            <w:tcW w:w="1200" w:type="dxa"/>
            <w:shd w:val="clear" w:color="auto" w:fill="C4EFCE"/>
            <w:vAlign w:val="center"/>
            <w:hideMark/>
          </w:tcPr>
          <w:p w14:paraId="4F522AAB" w14:textId="77777777" w:rsidR="00E040FD" w:rsidRDefault="00740D64">
            <w:pPr>
              <w:pStyle w:val="P68B1DB1-Normal23"/>
              <w:spacing w:after="0"/>
              <w:jc w:val="center"/>
              <w:rPr>
                <w:noProof/>
              </w:rPr>
            </w:pPr>
            <w:r>
              <w:rPr>
                <w:noProof/>
              </w:rPr>
              <w:t>1.32</w:t>
            </w:r>
          </w:p>
        </w:tc>
        <w:tc>
          <w:tcPr>
            <w:tcW w:w="1760" w:type="dxa"/>
            <w:shd w:val="clear" w:color="auto" w:fill="C4EFCE"/>
            <w:vAlign w:val="center"/>
            <w:hideMark/>
          </w:tcPr>
          <w:p w14:paraId="1E3BBF1C" w14:textId="77777777" w:rsidR="00E040FD" w:rsidRDefault="00740D64">
            <w:pPr>
              <w:pStyle w:val="P68B1DB1-Normal23"/>
              <w:spacing w:after="0"/>
              <w:jc w:val="center"/>
              <w:rPr>
                <w:noProof/>
              </w:rPr>
            </w:pPr>
            <w:r>
              <w:rPr>
                <w:noProof/>
              </w:rPr>
              <w:t xml:space="preserve">RE-C01-i06 </w:t>
            </w:r>
          </w:p>
        </w:tc>
        <w:tc>
          <w:tcPr>
            <w:tcW w:w="1520" w:type="dxa"/>
            <w:shd w:val="clear" w:color="auto" w:fill="C4EFCE"/>
            <w:vAlign w:val="center"/>
            <w:hideMark/>
          </w:tcPr>
          <w:p w14:paraId="751F589B"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E971E6E" w14:textId="77777777" w:rsidR="00E040FD" w:rsidRDefault="00740D64">
            <w:pPr>
              <w:pStyle w:val="P68B1DB1-Normal23"/>
              <w:spacing w:after="0"/>
              <w:jc w:val="both"/>
              <w:rPr>
                <w:rFonts w:eastAsia="Calibri" w:cs="Calibri"/>
                <w:noProof/>
              </w:rPr>
            </w:pPr>
            <w:r>
              <w:rPr>
                <w:noProof/>
              </w:rPr>
              <w:t>Uppgradering av lokala informationstekniska nätverk</w:t>
            </w:r>
          </w:p>
        </w:tc>
      </w:tr>
      <w:tr w:rsidR="00E040FD" w14:paraId="30A3EA71" w14:textId="77777777">
        <w:trPr>
          <w:trHeight w:val="440"/>
        </w:trPr>
        <w:tc>
          <w:tcPr>
            <w:tcW w:w="1200" w:type="dxa"/>
            <w:shd w:val="clear" w:color="auto" w:fill="C4EFCE"/>
            <w:vAlign w:val="center"/>
            <w:hideMark/>
          </w:tcPr>
          <w:p w14:paraId="77DEF1E6" w14:textId="77777777" w:rsidR="00E040FD" w:rsidRDefault="00740D64">
            <w:pPr>
              <w:pStyle w:val="P68B1DB1-Normal23"/>
              <w:spacing w:after="0"/>
              <w:jc w:val="center"/>
              <w:rPr>
                <w:noProof/>
              </w:rPr>
            </w:pPr>
            <w:r>
              <w:rPr>
                <w:noProof/>
              </w:rPr>
              <w:t>1.33</w:t>
            </w:r>
          </w:p>
        </w:tc>
        <w:tc>
          <w:tcPr>
            <w:tcW w:w="1760" w:type="dxa"/>
            <w:shd w:val="clear" w:color="auto" w:fill="C4EFCE"/>
            <w:vAlign w:val="center"/>
            <w:hideMark/>
          </w:tcPr>
          <w:p w14:paraId="3EF303B5" w14:textId="77777777" w:rsidR="00E040FD" w:rsidRDefault="00740D64">
            <w:pPr>
              <w:pStyle w:val="P68B1DB1-Normal23"/>
              <w:spacing w:after="0"/>
              <w:jc w:val="center"/>
              <w:rPr>
                <w:noProof/>
              </w:rPr>
            </w:pPr>
            <w:r>
              <w:rPr>
                <w:noProof/>
              </w:rPr>
              <w:t xml:space="preserve">RE-C01-i06 </w:t>
            </w:r>
          </w:p>
        </w:tc>
        <w:tc>
          <w:tcPr>
            <w:tcW w:w="1520" w:type="dxa"/>
            <w:shd w:val="clear" w:color="auto" w:fill="C4EFCE"/>
            <w:vAlign w:val="center"/>
            <w:hideMark/>
          </w:tcPr>
          <w:p w14:paraId="0BE21A0A"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C0D9898" w14:textId="77777777" w:rsidR="00E040FD" w:rsidRDefault="00740D64">
            <w:pPr>
              <w:pStyle w:val="P68B1DB1-Normal23"/>
              <w:spacing w:after="0"/>
              <w:jc w:val="both"/>
              <w:rPr>
                <w:rFonts w:eastAsia="Calibri" w:cs="Calibri"/>
                <w:noProof/>
              </w:rPr>
            </w:pPr>
            <w:r>
              <w:rPr>
                <w:noProof/>
              </w:rPr>
              <w:t>Införande av funktioner för telehälsa och fjärrövervakning</w:t>
            </w:r>
          </w:p>
        </w:tc>
      </w:tr>
      <w:tr w:rsidR="00E040FD" w14:paraId="32F2658E" w14:textId="77777777">
        <w:trPr>
          <w:trHeight w:val="440"/>
        </w:trPr>
        <w:tc>
          <w:tcPr>
            <w:tcW w:w="1200" w:type="dxa"/>
            <w:shd w:val="clear" w:color="auto" w:fill="C4EFCE"/>
            <w:vAlign w:val="center"/>
            <w:hideMark/>
          </w:tcPr>
          <w:p w14:paraId="1B65C832" w14:textId="77777777" w:rsidR="00E040FD" w:rsidRDefault="00740D64">
            <w:pPr>
              <w:pStyle w:val="P68B1DB1-Normal23"/>
              <w:spacing w:after="0"/>
              <w:jc w:val="center"/>
              <w:rPr>
                <w:noProof/>
              </w:rPr>
            </w:pPr>
            <w:r>
              <w:rPr>
                <w:noProof/>
              </w:rPr>
              <w:t>2.1</w:t>
            </w:r>
          </w:p>
        </w:tc>
        <w:tc>
          <w:tcPr>
            <w:tcW w:w="1760" w:type="dxa"/>
            <w:shd w:val="clear" w:color="auto" w:fill="C4EFCE"/>
            <w:vAlign w:val="center"/>
            <w:hideMark/>
          </w:tcPr>
          <w:p w14:paraId="2ABDE328" w14:textId="77777777" w:rsidR="00E040FD" w:rsidRDefault="00740D64">
            <w:pPr>
              <w:pStyle w:val="P68B1DB1-Normal23"/>
              <w:spacing w:after="0"/>
              <w:jc w:val="center"/>
              <w:rPr>
                <w:noProof/>
              </w:rPr>
            </w:pPr>
            <w:r>
              <w:rPr>
                <w:noProof/>
              </w:rPr>
              <w:t xml:space="preserve">RE-C02-i01 </w:t>
            </w:r>
          </w:p>
        </w:tc>
        <w:tc>
          <w:tcPr>
            <w:tcW w:w="1520" w:type="dxa"/>
            <w:shd w:val="clear" w:color="auto" w:fill="C4EFCE"/>
            <w:vAlign w:val="center"/>
            <w:hideMark/>
          </w:tcPr>
          <w:p w14:paraId="51C049D3"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8DD0AC1" w14:textId="77777777" w:rsidR="00E040FD" w:rsidRDefault="00740D64">
            <w:pPr>
              <w:pStyle w:val="P68B1DB1-Normal23"/>
              <w:spacing w:after="0"/>
              <w:jc w:val="both"/>
              <w:rPr>
                <w:rFonts w:eastAsia="Calibri" w:cs="Calibri"/>
                <w:noProof/>
              </w:rPr>
            </w:pPr>
            <w:r>
              <w:rPr>
                <w:noProof/>
              </w:rPr>
              <w:t>Stödprogram för tillgång till bostäder – samarbets- eller finansieringsarrangemang undertecknade</w:t>
            </w:r>
          </w:p>
        </w:tc>
      </w:tr>
      <w:tr w:rsidR="00E040FD" w14:paraId="1B2D04E4" w14:textId="77777777">
        <w:trPr>
          <w:trHeight w:val="440"/>
        </w:trPr>
        <w:tc>
          <w:tcPr>
            <w:tcW w:w="1200" w:type="dxa"/>
            <w:shd w:val="clear" w:color="auto" w:fill="C4EFCE"/>
            <w:vAlign w:val="center"/>
            <w:hideMark/>
          </w:tcPr>
          <w:p w14:paraId="182ED174" w14:textId="77777777" w:rsidR="00E040FD" w:rsidRDefault="00740D64">
            <w:pPr>
              <w:pStyle w:val="P68B1DB1-Normal23"/>
              <w:spacing w:after="0"/>
              <w:jc w:val="center"/>
              <w:rPr>
                <w:noProof/>
              </w:rPr>
            </w:pPr>
            <w:r>
              <w:rPr>
                <w:noProof/>
              </w:rPr>
              <w:t>2.4</w:t>
            </w:r>
          </w:p>
        </w:tc>
        <w:tc>
          <w:tcPr>
            <w:tcW w:w="1760" w:type="dxa"/>
            <w:shd w:val="clear" w:color="auto" w:fill="C4EFCE"/>
            <w:vAlign w:val="center"/>
            <w:hideMark/>
          </w:tcPr>
          <w:p w14:paraId="572612F3" w14:textId="77777777" w:rsidR="00E040FD" w:rsidRDefault="00740D64">
            <w:pPr>
              <w:pStyle w:val="P68B1DB1-Normal23"/>
              <w:spacing w:after="0"/>
              <w:jc w:val="center"/>
              <w:rPr>
                <w:noProof/>
              </w:rPr>
            </w:pPr>
            <w:r>
              <w:rPr>
                <w:noProof/>
              </w:rPr>
              <w:t xml:space="preserve">RE-C02-i02 </w:t>
            </w:r>
          </w:p>
        </w:tc>
        <w:tc>
          <w:tcPr>
            <w:tcW w:w="1520" w:type="dxa"/>
            <w:shd w:val="clear" w:color="auto" w:fill="C4EFCE"/>
            <w:vAlign w:val="center"/>
            <w:hideMark/>
          </w:tcPr>
          <w:p w14:paraId="6AB1DCE0"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4736D18" w14:textId="77777777" w:rsidR="00E040FD" w:rsidRDefault="00740D64">
            <w:pPr>
              <w:pStyle w:val="P68B1DB1-Normal23"/>
              <w:spacing w:after="0"/>
              <w:jc w:val="both"/>
              <w:rPr>
                <w:rFonts w:eastAsia="Calibri" w:cs="Calibri"/>
                <w:noProof/>
              </w:rPr>
            </w:pPr>
            <w:r>
              <w:rPr>
                <w:noProof/>
              </w:rPr>
              <w:t>Nationellt nöd- och tillfälligt bostadsbidrag – Undertecknande av finansieringsavtal för nödbostäder och övergångsbostäder</w:t>
            </w:r>
          </w:p>
        </w:tc>
      </w:tr>
      <w:tr w:rsidR="00E040FD" w14:paraId="193180B9" w14:textId="77777777">
        <w:trPr>
          <w:trHeight w:val="440"/>
        </w:trPr>
        <w:tc>
          <w:tcPr>
            <w:tcW w:w="1200" w:type="dxa"/>
            <w:shd w:val="clear" w:color="auto" w:fill="C4EFCE"/>
            <w:vAlign w:val="center"/>
            <w:hideMark/>
          </w:tcPr>
          <w:p w14:paraId="29216A22" w14:textId="77777777" w:rsidR="00E040FD" w:rsidRDefault="00740D64">
            <w:pPr>
              <w:pStyle w:val="P68B1DB1-Normal23"/>
              <w:spacing w:after="0"/>
              <w:jc w:val="center"/>
              <w:rPr>
                <w:noProof/>
              </w:rPr>
            </w:pPr>
            <w:r>
              <w:rPr>
                <w:noProof/>
              </w:rPr>
              <w:t>3.11</w:t>
            </w:r>
          </w:p>
        </w:tc>
        <w:tc>
          <w:tcPr>
            <w:tcW w:w="1760" w:type="dxa"/>
            <w:shd w:val="clear" w:color="auto" w:fill="C4EFCE"/>
            <w:vAlign w:val="center"/>
            <w:hideMark/>
          </w:tcPr>
          <w:p w14:paraId="01F162E3" w14:textId="77777777" w:rsidR="00E040FD" w:rsidRDefault="00740D64">
            <w:pPr>
              <w:pStyle w:val="P68B1DB1-Normal23"/>
              <w:spacing w:after="0"/>
              <w:jc w:val="center"/>
              <w:rPr>
                <w:noProof/>
              </w:rPr>
            </w:pPr>
            <w:r>
              <w:rPr>
                <w:noProof/>
              </w:rPr>
              <w:t xml:space="preserve">RE-C03-i03-RAM </w:t>
            </w:r>
          </w:p>
        </w:tc>
        <w:tc>
          <w:tcPr>
            <w:tcW w:w="1520" w:type="dxa"/>
            <w:shd w:val="clear" w:color="auto" w:fill="C4EFCE"/>
            <w:vAlign w:val="center"/>
            <w:hideMark/>
          </w:tcPr>
          <w:p w14:paraId="246B4B59"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336679B" w14:textId="77777777" w:rsidR="00E040FD" w:rsidRDefault="00740D64">
            <w:pPr>
              <w:pStyle w:val="P68B1DB1-Normal23"/>
              <w:spacing w:after="0"/>
              <w:jc w:val="both"/>
              <w:rPr>
                <w:rFonts w:eastAsia="Calibri" w:cs="Calibri"/>
                <w:noProof/>
              </w:rPr>
            </w:pPr>
            <w:r>
              <w:rPr>
                <w:noProof/>
              </w:rPr>
              <w:t>Life-planer för integrering av hemlösa.</w:t>
            </w:r>
          </w:p>
        </w:tc>
      </w:tr>
      <w:tr w:rsidR="00E040FD" w14:paraId="0BC61039" w14:textId="77777777">
        <w:trPr>
          <w:trHeight w:val="440"/>
        </w:trPr>
        <w:tc>
          <w:tcPr>
            <w:tcW w:w="1200" w:type="dxa"/>
            <w:shd w:val="clear" w:color="auto" w:fill="C4EFCE"/>
            <w:vAlign w:val="center"/>
            <w:hideMark/>
          </w:tcPr>
          <w:p w14:paraId="1B2403C3" w14:textId="77777777" w:rsidR="00E040FD" w:rsidRDefault="00740D64">
            <w:pPr>
              <w:pStyle w:val="P68B1DB1-Normal23"/>
              <w:spacing w:after="0"/>
              <w:jc w:val="center"/>
              <w:rPr>
                <w:noProof/>
              </w:rPr>
            </w:pPr>
            <w:r>
              <w:rPr>
                <w:noProof/>
              </w:rPr>
              <w:t>4.6</w:t>
            </w:r>
          </w:p>
        </w:tc>
        <w:tc>
          <w:tcPr>
            <w:tcW w:w="1760" w:type="dxa"/>
            <w:shd w:val="clear" w:color="auto" w:fill="C4EFCE"/>
            <w:vAlign w:val="center"/>
            <w:hideMark/>
          </w:tcPr>
          <w:p w14:paraId="4FB11F6A" w14:textId="292D12E2" w:rsidR="00E040FD" w:rsidRDefault="00740D64">
            <w:pPr>
              <w:pStyle w:val="P68B1DB1-Normal23"/>
              <w:spacing w:after="0"/>
              <w:jc w:val="center"/>
              <w:rPr>
                <w:noProof/>
              </w:rPr>
            </w:pPr>
            <w:r>
              <w:rPr>
                <w:noProof/>
              </w:rPr>
              <w:t xml:space="preserve">RE-C04-i02 </w:t>
            </w:r>
          </w:p>
        </w:tc>
        <w:tc>
          <w:tcPr>
            <w:tcW w:w="1520" w:type="dxa"/>
            <w:shd w:val="clear" w:color="auto" w:fill="C4EFCE"/>
            <w:vAlign w:val="center"/>
            <w:hideMark/>
          </w:tcPr>
          <w:p w14:paraId="590EFB99"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2ED71179" w14:textId="77777777" w:rsidR="00E040FD" w:rsidRDefault="00740D64">
            <w:pPr>
              <w:pStyle w:val="P68B1DB1-Normal23"/>
              <w:spacing w:after="0"/>
              <w:jc w:val="both"/>
              <w:rPr>
                <w:rFonts w:eastAsia="Calibri" w:cs="Calibri"/>
                <w:noProof/>
              </w:rPr>
            </w:pPr>
            <w:r>
              <w:rPr>
                <w:noProof/>
              </w:rPr>
              <w:t>Inrättande av nätverket ”Saber Fazer”</w:t>
            </w:r>
          </w:p>
        </w:tc>
      </w:tr>
      <w:tr w:rsidR="00E040FD" w14:paraId="0D67E78F" w14:textId="77777777">
        <w:trPr>
          <w:trHeight w:val="440"/>
        </w:trPr>
        <w:tc>
          <w:tcPr>
            <w:tcW w:w="1200" w:type="dxa"/>
            <w:shd w:val="clear" w:color="auto" w:fill="C4EFCE"/>
            <w:vAlign w:val="center"/>
            <w:hideMark/>
          </w:tcPr>
          <w:p w14:paraId="48691633" w14:textId="77777777" w:rsidR="00E040FD" w:rsidRDefault="00740D64">
            <w:pPr>
              <w:pStyle w:val="P68B1DB1-Normal23"/>
              <w:spacing w:after="0"/>
              <w:jc w:val="center"/>
              <w:rPr>
                <w:noProof/>
              </w:rPr>
            </w:pPr>
            <w:r>
              <w:rPr>
                <w:noProof/>
              </w:rPr>
              <w:t>5.5</w:t>
            </w:r>
          </w:p>
        </w:tc>
        <w:tc>
          <w:tcPr>
            <w:tcW w:w="1760" w:type="dxa"/>
            <w:shd w:val="clear" w:color="auto" w:fill="C4EFCE"/>
            <w:vAlign w:val="center"/>
            <w:hideMark/>
          </w:tcPr>
          <w:p w14:paraId="028584EA" w14:textId="77777777" w:rsidR="00E040FD" w:rsidRDefault="00740D64">
            <w:pPr>
              <w:pStyle w:val="P68B1DB1-Normal23"/>
              <w:spacing w:after="0"/>
              <w:jc w:val="center"/>
              <w:rPr>
                <w:noProof/>
              </w:rPr>
            </w:pPr>
            <w:r>
              <w:rPr>
                <w:noProof/>
              </w:rPr>
              <w:t xml:space="preserve">RE-C05-i01.01 </w:t>
            </w:r>
          </w:p>
        </w:tc>
        <w:tc>
          <w:tcPr>
            <w:tcW w:w="1520" w:type="dxa"/>
            <w:shd w:val="clear" w:color="auto" w:fill="C4EFCE"/>
            <w:vAlign w:val="center"/>
            <w:hideMark/>
          </w:tcPr>
          <w:p w14:paraId="5748A513"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8F1C038" w14:textId="413A3F05" w:rsidR="00E040FD" w:rsidRDefault="00740D64">
            <w:pPr>
              <w:pStyle w:val="P68B1DB1-Normal23"/>
              <w:spacing w:after="0"/>
              <w:jc w:val="both"/>
              <w:rPr>
                <w:rFonts w:eastAsia="Calibri" w:cs="Calibri"/>
                <w:noProof/>
              </w:rPr>
            </w:pPr>
            <w:r>
              <w:rPr>
                <w:noProof/>
              </w:rPr>
              <w:t>Ingående av kontrakt för att utveckla nya produkter, processer eller tjänster inom relevanta strategiska områden (innovationsagendor).</w:t>
            </w:r>
          </w:p>
        </w:tc>
      </w:tr>
      <w:tr w:rsidR="00E040FD" w14:paraId="6F9BDCC5" w14:textId="77777777">
        <w:trPr>
          <w:trHeight w:val="440"/>
        </w:trPr>
        <w:tc>
          <w:tcPr>
            <w:tcW w:w="1200" w:type="dxa"/>
            <w:shd w:val="clear" w:color="auto" w:fill="C4EFCE"/>
            <w:vAlign w:val="center"/>
            <w:hideMark/>
          </w:tcPr>
          <w:p w14:paraId="662B09CD" w14:textId="77777777" w:rsidR="00E040FD" w:rsidRDefault="00740D64">
            <w:pPr>
              <w:pStyle w:val="P68B1DB1-Normal23"/>
              <w:spacing w:after="0"/>
              <w:jc w:val="center"/>
              <w:rPr>
                <w:noProof/>
              </w:rPr>
            </w:pPr>
            <w:r>
              <w:rPr>
                <w:noProof/>
              </w:rPr>
              <w:t>5.7</w:t>
            </w:r>
          </w:p>
        </w:tc>
        <w:tc>
          <w:tcPr>
            <w:tcW w:w="1760" w:type="dxa"/>
            <w:shd w:val="clear" w:color="auto" w:fill="C4EFCE"/>
            <w:vAlign w:val="center"/>
            <w:hideMark/>
          </w:tcPr>
          <w:p w14:paraId="1C23E7CC" w14:textId="77777777" w:rsidR="00E040FD" w:rsidRDefault="00740D64">
            <w:pPr>
              <w:pStyle w:val="P68B1DB1-Normal23"/>
              <w:spacing w:after="0"/>
              <w:jc w:val="center"/>
              <w:rPr>
                <w:noProof/>
              </w:rPr>
            </w:pPr>
            <w:r>
              <w:rPr>
                <w:noProof/>
              </w:rPr>
              <w:t xml:space="preserve">RE-C05-i01.02 </w:t>
            </w:r>
          </w:p>
        </w:tc>
        <w:tc>
          <w:tcPr>
            <w:tcW w:w="1520" w:type="dxa"/>
            <w:shd w:val="clear" w:color="auto" w:fill="C4EFCE"/>
            <w:vAlign w:val="center"/>
            <w:hideMark/>
          </w:tcPr>
          <w:p w14:paraId="28804D49"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D21AAA1" w14:textId="598F18A7" w:rsidR="00E040FD" w:rsidRDefault="00740D64">
            <w:pPr>
              <w:pStyle w:val="P68B1DB1-Normal23"/>
              <w:spacing w:after="0"/>
              <w:jc w:val="both"/>
              <w:rPr>
                <w:rFonts w:eastAsia="Calibri" w:cs="Calibri"/>
                <w:noProof/>
              </w:rPr>
            </w:pPr>
            <w:r>
              <w:rPr>
                <w:noProof/>
              </w:rPr>
              <w:t>Ingående av avtal för att utveckla nya produkter, processer eller tjänster på strategiska områden som är relevanta för en koldioxidsnål ekonomi, resiliens och anpassning till klimatförändringar</w:t>
            </w:r>
          </w:p>
        </w:tc>
      </w:tr>
      <w:tr w:rsidR="00E040FD" w14:paraId="5C327989" w14:textId="77777777">
        <w:trPr>
          <w:trHeight w:val="440"/>
        </w:trPr>
        <w:tc>
          <w:tcPr>
            <w:tcW w:w="1200" w:type="dxa"/>
            <w:shd w:val="clear" w:color="auto" w:fill="C4EFCE"/>
            <w:vAlign w:val="center"/>
            <w:hideMark/>
          </w:tcPr>
          <w:p w14:paraId="49715C30" w14:textId="77777777" w:rsidR="00E040FD" w:rsidRDefault="00740D64">
            <w:pPr>
              <w:pStyle w:val="P68B1DB1-Normal23"/>
              <w:spacing w:after="0"/>
              <w:jc w:val="center"/>
              <w:rPr>
                <w:noProof/>
              </w:rPr>
            </w:pPr>
            <w:r>
              <w:rPr>
                <w:noProof/>
              </w:rPr>
              <w:t>5.9</w:t>
            </w:r>
          </w:p>
        </w:tc>
        <w:tc>
          <w:tcPr>
            <w:tcW w:w="1760" w:type="dxa"/>
            <w:shd w:val="clear" w:color="auto" w:fill="C4EFCE"/>
            <w:vAlign w:val="center"/>
            <w:hideMark/>
          </w:tcPr>
          <w:p w14:paraId="1CEA8990" w14:textId="77777777" w:rsidR="00E040FD" w:rsidRDefault="00740D64">
            <w:pPr>
              <w:pStyle w:val="P68B1DB1-Normal23"/>
              <w:spacing w:after="0"/>
              <w:jc w:val="center"/>
              <w:rPr>
                <w:noProof/>
              </w:rPr>
            </w:pPr>
            <w:r>
              <w:rPr>
                <w:noProof/>
              </w:rPr>
              <w:t xml:space="preserve">RE-C05-i02 </w:t>
            </w:r>
          </w:p>
        </w:tc>
        <w:tc>
          <w:tcPr>
            <w:tcW w:w="1520" w:type="dxa"/>
            <w:shd w:val="clear" w:color="auto" w:fill="C4EFCE"/>
            <w:vAlign w:val="center"/>
            <w:hideMark/>
          </w:tcPr>
          <w:p w14:paraId="6CAC10E8"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0118BF2" w14:textId="77777777" w:rsidR="00E040FD" w:rsidRDefault="00740D64">
            <w:pPr>
              <w:pStyle w:val="P68B1DB1-Normal23"/>
              <w:spacing w:after="0"/>
              <w:jc w:val="both"/>
              <w:rPr>
                <w:rFonts w:eastAsia="Calibri" w:cs="Calibri"/>
                <w:noProof/>
              </w:rPr>
            </w:pPr>
            <w:r>
              <w:rPr>
                <w:noProof/>
              </w:rPr>
              <w:t>Avtal med gränssnittsenheter, inklusive samarbetslaboratorier – Colabs, som ingåtts</w:t>
            </w:r>
          </w:p>
        </w:tc>
      </w:tr>
      <w:tr w:rsidR="00E040FD" w14:paraId="03C3F9A8" w14:textId="77777777">
        <w:trPr>
          <w:trHeight w:val="440"/>
        </w:trPr>
        <w:tc>
          <w:tcPr>
            <w:tcW w:w="1200" w:type="dxa"/>
            <w:shd w:val="clear" w:color="auto" w:fill="C4EFCE"/>
            <w:vAlign w:val="center"/>
            <w:hideMark/>
          </w:tcPr>
          <w:p w14:paraId="176D6692" w14:textId="77777777" w:rsidR="00E040FD" w:rsidRDefault="00740D64">
            <w:pPr>
              <w:pStyle w:val="P68B1DB1-Normal23"/>
              <w:spacing w:after="0"/>
              <w:jc w:val="center"/>
              <w:rPr>
                <w:noProof/>
              </w:rPr>
            </w:pPr>
            <w:r>
              <w:rPr>
                <w:noProof/>
              </w:rPr>
              <w:t>6.15</w:t>
            </w:r>
          </w:p>
        </w:tc>
        <w:tc>
          <w:tcPr>
            <w:tcW w:w="1760" w:type="dxa"/>
            <w:shd w:val="clear" w:color="auto" w:fill="C4EFCE"/>
            <w:vAlign w:val="center"/>
            <w:hideMark/>
          </w:tcPr>
          <w:p w14:paraId="5B04B4CC" w14:textId="77777777" w:rsidR="00E040FD" w:rsidRDefault="00740D64">
            <w:pPr>
              <w:pStyle w:val="P68B1DB1-Normal23"/>
              <w:spacing w:after="0"/>
              <w:jc w:val="center"/>
              <w:rPr>
                <w:noProof/>
              </w:rPr>
            </w:pPr>
            <w:r>
              <w:rPr>
                <w:noProof/>
              </w:rPr>
              <w:t xml:space="preserve">RE-C06-r16 </w:t>
            </w:r>
          </w:p>
        </w:tc>
        <w:tc>
          <w:tcPr>
            <w:tcW w:w="1520" w:type="dxa"/>
            <w:shd w:val="clear" w:color="auto" w:fill="C4EFCE"/>
            <w:vAlign w:val="center"/>
            <w:hideMark/>
          </w:tcPr>
          <w:p w14:paraId="5E98D411"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280C87D7" w14:textId="77777777" w:rsidR="00E040FD" w:rsidRDefault="00740D64">
            <w:pPr>
              <w:pStyle w:val="P68B1DB1-Normal23"/>
              <w:spacing w:after="0"/>
              <w:jc w:val="both"/>
              <w:rPr>
                <w:rFonts w:eastAsia="Calibri" w:cs="Calibri"/>
                <w:noProof/>
              </w:rPr>
            </w:pPr>
            <w:r>
              <w:rPr>
                <w:noProof/>
              </w:rPr>
              <w:t>Lagen om reglerade yrken träder i kraft</w:t>
            </w:r>
          </w:p>
        </w:tc>
      </w:tr>
      <w:tr w:rsidR="00E040FD" w14:paraId="4983771D" w14:textId="77777777">
        <w:trPr>
          <w:trHeight w:val="440"/>
        </w:trPr>
        <w:tc>
          <w:tcPr>
            <w:tcW w:w="1200" w:type="dxa"/>
            <w:shd w:val="clear" w:color="auto" w:fill="C4EFCE"/>
            <w:vAlign w:val="center"/>
            <w:hideMark/>
          </w:tcPr>
          <w:p w14:paraId="104D5E80" w14:textId="77777777" w:rsidR="00E040FD" w:rsidRDefault="00740D64">
            <w:pPr>
              <w:pStyle w:val="P68B1DB1-Normal23"/>
              <w:spacing w:after="0"/>
              <w:jc w:val="center"/>
              <w:rPr>
                <w:noProof/>
              </w:rPr>
            </w:pPr>
            <w:r>
              <w:rPr>
                <w:noProof/>
              </w:rPr>
              <w:t>7.1</w:t>
            </w:r>
          </w:p>
        </w:tc>
        <w:tc>
          <w:tcPr>
            <w:tcW w:w="1760" w:type="dxa"/>
            <w:shd w:val="clear" w:color="auto" w:fill="C4EFCE"/>
            <w:vAlign w:val="center"/>
            <w:hideMark/>
          </w:tcPr>
          <w:p w14:paraId="032F1E62" w14:textId="77777777" w:rsidR="00E040FD" w:rsidRDefault="00740D64">
            <w:pPr>
              <w:pStyle w:val="P68B1DB1-Normal23"/>
              <w:spacing w:after="0"/>
              <w:jc w:val="center"/>
              <w:rPr>
                <w:noProof/>
              </w:rPr>
            </w:pPr>
            <w:r>
              <w:rPr>
                <w:noProof/>
              </w:rPr>
              <w:t xml:space="preserve">RE-C07-i00 </w:t>
            </w:r>
          </w:p>
        </w:tc>
        <w:tc>
          <w:tcPr>
            <w:tcW w:w="1520" w:type="dxa"/>
            <w:shd w:val="clear" w:color="auto" w:fill="C4EFCE"/>
            <w:vAlign w:val="center"/>
            <w:hideMark/>
          </w:tcPr>
          <w:p w14:paraId="41AD4CD3"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0690F7A" w14:textId="7B4FDF4A" w:rsidR="00E040FD" w:rsidRDefault="00740D64">
            <w:pPr>
              <w:pStyle w:val="P68B1DB1-Normal23"/>
              <w:spacing w:after="0"/>
              <w:jc w:val="both"/>
              <w:rPr>
                <w:rFonts w:eastAsia="Calibri" w:cs="Calibri"/>
                <w:noProof/>
              </w:rPr>
            </w:pPr>
            <w:r>
              <w:rPr>
                <w:noProof/>
              </w:rPr>
              <w:t>Allmänt tillgängliga laddningsstationer för elfordon</w:t>
            </w:r>
          </w:p>
        </w:tc>
      </w:tr>
      <w:tr w:rsidR="00E040FD" w14:paraId="70665A7A" w14:textId="77777777">
        <w:trPr>
          <w:trHeight w:val="440"/>
        </w:trPr>
        <w:tc>
          <w:tcPr>
            <w:tcW w:w="1200" w:type="dxa"/>
            <w:shd w:val="clear" w:color="auto" w:fill="C4EFCE"/>
            <w:vAlign w:val="center"/>
            <w:hideMark/>
          </w:tcPr>
          <w:p w14:paraId="537D6B6D" w14:textId="77777777" w:rsidR="00E040FD" w:rsidRDefault="00740D64">
            <w:pPr>
              <w:pStyle w:val="P68B1DB1-Normal23"/>
              <w:spacing w:after="0"/>
              <w:jc w:val="center"/>
              <w:rPr>
                <w:noProof/>
              </w:rPr>
            </w:pPr>
            <w:r>
              <w:rPr>
                <w:noProof/>
              </w:rPr>
              <w:t>7.7</w:t>
            </w:r>
          </w:p>
        </w:tc>
        <w:tc>
          <w:tcPr>
            <w:tcW w:w="1760" w:type="dxa"/>
            <w:shd w:val="clear" w:color="auto" w:fill="C4EFCE"/>
            <w:vAlign w:val="center"/>
            <w:hideMark/>
          </w:tcPr>
          <w:p w14:paraId="0D8F10EA" w14:textId="77777777" w:rsidR="00E040FD" w:rsidRDefault="00740D64">
            <w:pPr>
              <w:pStyle w:val="P68B1DB1-Normal23"/>
              <w:spacing w:after="0"/>
              <w:jc w:val="center"/>
              <w:rPr>
                <w:noProof/>
              </w:rPr>
            </w:pPr>
            <w:r>
              <w:rPr>
                <w:noProof/>
              </w:rPr>
              <w:t xml:space="preserve">RE-C07-i02 </w:t>
            </w:r>
          </w:p>
        </w:tc>
        <w:tc>
          <w:tcPr>
            <w:tcW w:w="1520" w:type="dxa"/>
            <w:shd w:val="clear" w:color="auto" w:fill="C4EFCE"/>
            <w:vAlign w:val="center"/>
            <w:hideMark/>
          </w:tcPr>
          <w:p w14:paraId="44888C17"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5733934" w14:textId="77777777" w:rsidR="00E040FD" w:rsidRDefault="00740D64">
            <w:pPr>
              <w:pStyle w:val="P68B1DB1-Normal23"/>
              <w:spacing w:after="0"/>
              <w:jc w:val="both"/>
              <w:rPr>
                <w:rFonts w:eastAsia="Calibri" w:cs="Calibri"/>
                <w:noProof/>
              </w:rPr>
            </w:pPr>
            <w:r>
              <w:rPr>
                <w:noProof/>
              </w:rPr>
              <w:t>Kontrakt undertecknat för 2 vägprojekt</w:t>
            </w:r>
          </w:p>
        </w:tc>
      </w:tr>
      <w:tr w:rsidR="00E040FD" w14:paraId="621AF830" w14:textId="77777777">
        <w:trPr>
          <w:trHeight w:val="440"/>
        </w:trPr>
        <w:tc>
          <w:tcPr>
            <w:tcW w:w="1200" w:type="dxa"/>
            <w:shd w:val="clear" w:color="auto" w:fill="C4EFCE"/>
            <w:vAlign w:val="center"/>
            <w:hideMark/>
          </w:tcPr>
          <w:p w14:paraId="21A9EB50" w14:textId="77777777" w:rsidR="00E040FD" w:rsidRDefault="00740D64">
            <w:pPr>
              <w:pStyle w:val="P68B1DB1-Normal23"/>
              <w:spacing w:after="0"/>
              <w:jc w:val="center"/>
              <w:rPr>
                <w:noProof/>
              </w:rPr>
            </w:pPr>
            <w:r>
              <w:rPr>
                <w:noProof/>
              </w:rPr>
              <w:t>8.18</w:t>
            </w:r>
          </w:p>
        </w:tc>
        <w:tc>
          <w:tcPr>
            <w:tcW w:w="1760" w:type="dxa"/>
            <w:shd w:val="clear" w:color="auto" w:fill="C4EFCE"/>
            <w:vAlign w:val="center"/>
            <w:hideMark/>
          </w:tcPr>
          <w:p w14:paraId="0EB5329C" w14:textId="77777777" w:rsidR="00E040FD" w:rsidRDefault="00740D64">
            <w:pPr>
              <w:pStyle w:val="P68B1DB1-Normal23"/>
              <w:spacing w:after="0"/>
              <w:jc w:val="center"/>
              <w:rPr>
                <w:noProof/>
              </w:rPr>
            </w:pPr>
            <w:r>
              <w:rPr>
                <w:noProof/>
              </w:rPr>
              <w:t xml:space="preserve">RE-C08-r20 </w:t>
            </w:r>
          </w:p>
        </w:tc>
        <w:tc>
          <w:tcPr>
            <w:tcW w:w="1520" w:type="dxa"/>
            <w:shd w:val="clear" w:color="auto" w:fill="C4EFCE"/>
            <w:vAlign w:val="center"/>
            <w:hideMark/>
          </w:tcPr>
          <w:p w14:paraId="58633647"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126370E" w14:textId="77777777" w:rsidR="00E040FD" w:rsidRDefault="00740D64">
            <w:pPr>
              <w:pStyle w:val="P68B1DB1-Normal23"/>
              <w:spacing w:after="0"/>
              <w:jc w:val="both"/>
              <w:rPr>
                <w:rFonts w:eastAsia="Calibri" w:cs="Calibri"/>
                <w:noProof/>
              </w:rPr>
            </w:pPr>
            <w:r>
              <w:rPr>
                <w:noProof/>
              </w:rPr>
              <w:t>System för övervakning av marktäckning (SMOS)</w:t>
            </w:r>
          </w:p>
        </w:tc>
      </w:tr>
      <w:tr w:rsidR="00E040FD" w14:paraId="19D4139A" w14:textId="77777777">
        <w:trPr>
          <w:trHeight w:val="440"/>
        </w:trPr>
        <w:tc>
          <w:tcPr>
            <w:tcW w:w="1200" w:type="dxa"/>
            <w:shd w:val="clear" w:color="auto" w:fill="C4EFCE"/>
            <w:vAlign w:val="center"/>
            <w:hideMark/>
          </w:tcPr>
          <w:p w14:paraId="3FB03D0D" w14:textId="77777777" w:rsidR="00E040FD" w:rsidRDefault="00740D64">
            <w:pPr>
              <w:pStyle w:val="P68B1DB1-Normal23"/>
              <w:spacing w:after="0"/>
              <w:jc w:val="center"/>
              <w:rPr>
                <w:noProof/>
              </w:rPr>
            </w:pPr>
            <w:r>
              <w:rPr>
                <w:noProof/>
              </w:rPr>
              <w:t>12.6</w:t>
            </w:r>
          </w:p>
        </w:tc>
        <w:tc>
          <w:tcPr>
            <w:tcW w:w="1760" w:type="dxa"/>
            <w:shd w:val="clear" w:color="auto" w:fill="C4EFCE"/>
            <w:vAlign w:val="center"/>
            <w:hideMark/>
          </w:tcPr>
          <w:p w14:paraId="6722FFFA" w14:textId="77777777" w:rsidR="00E040FD" w:rsidRDefault="00740D64">
            <w:pPr>
              <w:pStyle w:val="P68B1DB1-Normal23"/>
              <w:spacing w:after="0"/>
              <w:jc w:val="center"/>
              <w:rPr>
                <w:noProof/>
              </w:rPr>
            </w:pPr>
            <w:r>
              <w:rPr>
                <w:noProof/>
              </w:rPr>
              <w:t xml:space="preserve">TC-C12-r25 </w:t>
            </w:r>
          </w:p>
        </w:tc>
        <w:tc>
          <w:tcPr>
            <w:tcW w:w="1520" w:type="dxa"/>
            <w:shd w:val="clear" w:color="auto" w:fill="C4EFCE"/>
            <w:vAlign w:val="center"/>
            <w:hideMark/>
          </w:tcPr>
          <w:p w14:paraId="44C2F502"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63E29BE" w14:textId="77777777" w:rsidR="00E040FD" w:rsidRDefault="00740D64">
            <w:pPr>
              <w:pStyle w:val="P68B1DB1-Normal23"/>
              <w:spacing w:after="0"/>
              <w:jc w:val="both"/>
              <w:rPr>
                <w:rFonts w:eastAsia="Calibri" w:cs="Calibri"/>
                <w:noProof/>
              </w:rPr>
            </w:pPr>
            <w:r>
              <w:rPr>
                <w:noProof/>
              </w:rPr>
              <w:t>Ikraftträdande av den reviderade nationella strategin för miljöanpassad offentlig upphandling</w:t>
            </w:r>
          </w:p>
        </w:tc>
      </w:tr>
      <w:tr w:rsidR="00E040FD" w14:paraId="41FFE3C7" w14:textId="77777777">
        <w:trPr>
          <w:trHeight w:val="440"/>
        </w:trPr>
        <w:tc>
          <w:tcPr>
            <w:tcW w:w="1200" w:type="dxa"/>
            <w:shd w:val="clear" w:color="auto" w:fill="C4EFCE"/>
            <w:vAlign w:val="center"/>
            <w:hideMark/>
          </w:tcPr>
          <w:p w14:paraId="7800A98C" w14:textId="77777777" w:rsidR="00E040FD" w:rsidRDefault="00740D64">
            <w:pPr>
              <w:pStyle w:val="P68B1DB1-Normal23"/>
              <w:spacing w:after="0"/>
              <w:jc w:val="center"/>
              <w:rPr>
                <w:noProof/>
              </w:rPr>
            </w:pPr>
            <w:r>
              <w:rPr>
                <w:noProof/>
              </w:rPr>
              <w:t>15.12</w:t>
            </w:r>
          </w:p>
        </w:tc>
        <w:tc>
          <w:tcPr>
            <w:tcW w:w="1760" w:type="dxa"/>
            <w:shd w:val="clear" w:color="auto" w:fill="C4EFCE"/>
            <w:vAlign w:val="center"/>
            <w:hideMark/>
          </w:tcPr>
          <w:p w14:paraId="4C755F50" w14:textId="77777777" w:rsidR="00E040FD" w:rsidRDefault="00740D64">
            <w:pPr>
              <w:pStyle w:val="P68B1DB1-Normal23"/>
              <w:spacing w:after="0"/>
              <w:jc w:val="center"/>
              <w:rPr>
                <w:noProof/>
              </w:rPr>
            </w:pPr>
            <w:r>
              <w:rPr>
                <w:noProof/>
              </w:rPr>
              <w:t xml:space="preserve">TC-C15-I05 </w:t>
            </w:r>
          </w:p>
        </w:tc>
        <w:tc>
          <w:tcPr>
            <w:tcW w:w="1520" w:type="dxa"/>
            <w:shd w:val="clear" w:color="auto" w:fill="C4EFCE"/>
            <w:vAlign w:val="center"/>
            <w:hideMark/>
          </w:tcPr>
          <w:p w14:paraId="4DD658DA"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31B8667" w14:textId="77777777" w:rsidR="00E040FD" w:rsidRDefault="00740D64">
            <w:pPr>
              <w:pStyle w:val="P68B1DB1-Normal23"/>
              <w:spacing w:after="0"/>
              <w:jc w:val="both"/>
              <w:rPr>
                <w:rFonts w:eastAsia="Calibri" w:cs="Calibri"/>
                <w:noProof/>
              </w:rPr>
            </w:pPr>
            <w:r>
              <w:rPr>
                <w:noProof/>
              </w:rPr>
              <w:t>Avtal undertecknat för inköp av rena bussar inom ramen för programmet för utfasning av fossila bränslen inom kollektivtrafiken</w:t>
            </w:r>
          </w:p>
        </w:tc>
      </w:tr>
      <w:tr w:rsidR="00E040FD" w14:paraId="39E8616F" w14:textId="77777777">
        <w:trPr>
          <w:trHeight w:val="440"/>
        </w:trPr>
        <w:tc>
          <w:tcPr>
            <w:tcW w:w="1200" w:type="dxa"/>
            <w:shd w:val="clear" w:color="auto" w:fill="C4EFCE"/>
            <w:vAlign w:val="center"/>
            <w:hideMark/>
          </w:tcPr>
          <w:p w14:paraId="10D21247" w14:textId="77777777" w:rsidR="00E040FD" w:rsidRDefault="00740D64">
            <w:pPr>
              <w:pStyle w:val="P68B1DB1-Normal23"/>
              <w:spacing w:after="0"/>
              <w:jc w:val="center"/>
              <w:rPr>
                <w:noProof/>
              </w:rPr>
            </w:pPr>
            <w:r>
              <w:rPr>
                <w:noProof/>
              </w:rPr>
              <w:t>16.7</w:t>
            </w:r>
          </w:p>
        </w:tc>
        <w:tc>
          <w:tcPr>
            <w:tcW w:w="1760" w:type="dxa"/>
            <w:shd w:val="clear" w:color="auto" w:fill="C4EFCE"/>
            <w:vAlign w:val="center"/>
            <w:hideMark/>
          </w:tcPr>
          <w:p w14:paraId="6613DE1F" w14:textId="77777777" w:rsidR="00E040FD" w:rsidRDefault="00740D64">
            <w:pPr>
              <w:pStyle w:val="P68B1DB1-Normal23"/>
              <w:spacing w:after="0"/>
              <w:jc w:val="center"/>
              <w:rPr>
                <w:noProof/>
              </w:rPr>
            </w:pPr>
            <w:r>
              <w:rPr>
                <w:noProof/>
              </w:rPr>
              <w:t xml:space="preserve">TD-C16-i02 </w:t>
            </w:r>
          </w:p>
        </w:tc>
        <w:tc>
          <w:tcPr>
            <w:tcW w:w="1520" w:type="dxa"/>
            <w:shd w:val="clear" w:color="auto" w:fill="C4EFCE"/>
            <w:vAlign w:val="center"/>
            <w:hideMark/>
          </w:tcPr>
          <w:p w14:paraId="233D2B2C"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CADFDA3" w14:textId="77777777" w:rsidR="00E040FD" w:rsidRDefault="00740D64">
            <w:pPr>
              <w:pStyle w:val="P68B1DB1-Normal23"/>
              <w:spacing w:after="0"/>
              <w:jc w:val="both"/>
              <w:rPr>
                <w:rFonts w:eastAsia="Calibri" w:cs="Calibri"/>
                <w:noProof/>
              </w:rPr>
            </w:pPr>
            <w:r>
              <w:rPr>
                <w:noProof/>
              </w:rPr>
              <w:t>Testbäddar som valts ut för det nationella nätverket för testbäddar</w:t>
            </w:r>
          </w:p>
        </w:tc>
      </w:tr>
      <w:tr w:rsidR="00E040FD" w14:paraId="209EA40D" w14:textId="77777777">
        <w:trPr>
          <w:trHeight w:val="440"/>
        </w:trPr>
        <w:tc>
          <w:tcPr>
            <w:tcW w:w="1200" w:type="dxa"/>
            <w:shd w:val="clear" w:color="auto" w:fill="C4EFCE"/>
            <w:vAlign w:val="center"/>
            <w:hideMark/>
          </w:tcPr>
          <w:p w14:paraId="22EEA5AF" w14:textId="77777777" w:rsidR="00E040FD" w:rsidRDefault="00740D64">
            <w:pPr>
              <w:pStyle w:val="P68B1DB1-Normal23"/>
              <w:spacing w:after="0"/>
              <w:jc w:val="center"/>
              <w:rPr>
                <w:noProof/>
              </w:rPr>
            </w:pPr>
            <w:r>
              <w:rPr>
                <w:noProof/>
              </w:rPr>
              <w:t>17.1</w:t>
            </w:r>
          </w:p>
        </w:tc>
        <w:tc>
          <w:tcPr>
            <w:tcW w:w="1760" w:type="dxa"/>
            <w:shd w:val="clear" w:color="auto" w:fill="C4EFCE"/>
            <w:vAlign w:val="center"/>
            <w:hideMark/>
          </w:tcPr>
          <w:p w14:paraId="3856F38E" w14:textId="77777777" w:rsidR="00E040FD" w:rsidRDefault="00740D64">
            <w:pPr>
              <w:pStyle w:val="P68B1DB1-Normal23"/>
              <w:spacing w:after="0"/>
              <w:jc w:val="center"/>
              <w:rPr>
                <w:noProof/>
              </w:rPr>
            </w:pPr>
            <w:r>
              <w:rPr>
                <w:noProof/>
              </w:rPr>
              <w:t xml:space="preserve">TD-C17-r32 </w:t>
            </w:r>
          </w:p>
        </w:tc>
        <w:tc>
          <w:tcPr>
            <w:tcW w:w="1520" w:type="dxa"/>
            <w:shd w:val="clear" w:color="auto" w:fill="C4EFCE"/>
            <w:vAlign w:val="center"/>
            <w:hideMark/>
          </w:tcPr>
          <w:p w14:paraId="7ACA6546"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19C34B4" w14:textId="77777777" w:rsidR="00E040FD" w:rsidRDefault="00740D64">
            <w:pPr>
              <w:pStyle w:val="P68B1DB1-Normal23"/>
              <w:spacing w:after="0"/>
              <w:jc w:val="both"/>
              <w:rPr>
                <w:rFonts w:eastAsia="Calibri" w:cs="Calibri"/>
                <w:noProof/>
              </w:rPr>
            </w:pPr>
            <w:r>
              <w:rPr>
                <w:noProof/>
              </w:rPr>
              <w:t>Slutföra utformningen och genomförandet av nya upphandlingsmodeller för det nationella centrala systemet för offentlig upphandling i enlighet med den strategiska planen för 2020–2023 för enheten för delade tjänster inom offentlig förvaltning.</w:t>
            </w:r>
          </w:p>
        </w:tc>
      </w:tr>
      <w:tr w:rsidR="00E040FD" w14:paraId="3F6B3ED7" w14:textId="77777777">
        <w:trPr>
          <w:trHeight w:val="440"/>
        </w:trPr>
        <w:tc>
          <w:tcPr>
            <w:tcW w:w="1200" w:type="dxa"/>
            <w:shd w:val="clear" w:color="auto" w:fill="C4EFCE"/>
            <w:vAlign w:val="center"/>
            <w:hideMark/>
          </w:tcPr>
          <w:p w14:paraId="01084538" w14:textId="77777777" w:rsidR="00E040FD" w:rsidRDefault="00740D64">
            <w:pPr>
              <w:pStyle w:val="P68B1DB1-Normal23"/>
              <w:spacing w:after="0"/>
              <w:jc w:val="center"/>
              <w:rPr>
                <w:noProof/>
              </w:rPr>
            </w:pPr>
            <w:r>
              <w:rPr>
                <w:noProof/>
              </w:rPr>
              <w:t>17.2</w:t>
            </w:r>
          </w:p>
        </w:tc>
        <w:tc>
          <w:tcPr>
            <w:tcW w:w="1760" w:type="dxa"/>
            <w:shd w:val="clear" w:color="auto" w:fill="C4EFCE"/>
            <w:vAlign w:val="center"/>
            <w:hideMark/>
          </w:tcPr>
          <w:p w14:paraId="35541530" w14:textId="77777777" w:rsidR="00E040FD" w:rsidRDefault="00740D64">
            <w:pPr>
              <w:pStyle w:val="P68B1DB1-Normal23"/>
              <w:spacing w:after="0"/>
              <w:jc w:val="center"/>
              <w:rPr>
                <w:noProof/>
              </w:rPr>
            </w:pPr>
            <w:r>
              <w:rPr>
                <w:noProof/>
              </w:rPr>
              <w:t xml:space="preserve">TD-C17-r32 </w:t>
            </w:r>
          </w:p>
        </w:tc>
        <w:tc>
          <w:tcPr>
            <w:tcW w:w="1520" w:type="dxa"/>
            <w:shd w:val="clear" w:color="auto" w:fill="C4EFCE"/>
            <w:vAlign w:val="center"/>
            <w:hideMark/>
          </w:tcPr>
          <w:p w14:paraId="75BDB3D8"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9A94FE8" w14:textId="77777777" w:rsidR="00E040FD" w:rsidRDefault="00740D64">
            <w:pPr>
              <w:pStyle w:val="P68B1DB1-Normal23"/>
              <w:spacing w:after="0"/>
              <w:jc w:val="both"/>
              <w:rPr>
                <w:rFonts w:eastAsia="Calibri" w:cs="Calibri"/>
                <w:noProof/>
              </w:rPr>
            </w:pPr>
            <w:r>
              <w:rPr>
                <w:noProof/>
              </w:rPr>
              <w:t>Ikraftträdande av den lagstiftning som ligger till grund för den statliga redovisningsenheten</w:t>
            </w:r>
          </w:p>
        </w:tc>
      </w:tr>
      <w:tr w:rsidR="00E040FD" w14:paraId="63E30D88" w14:textId="77777777">
        <w:trPr>
          <w:trHeight w:val="440"/>
        </w:trPr>
        <w:tc>
          <w:tcPr>
            <w:tcW w:w="1200" w:type="dxa"/>
            <w:shd w:val="clear" w:color="auto" w:fill="C4EFCE"/>
            <w:vAlign w:val="center"/>
            <w:hideMark/>
          </w:tcPr>
          <w:p w14:paraId="1056837E" w14:textId="77777777" w:rsidR="00E040FD" w:rsidRDefault="00740D64">
            <w:pPr>
              <w:pStyle w:val="P68B1DB1-Normal23"/>
              <w:spacing w:after="0"/>
              <w:jc w:val="center"/>
              <w:rPr>
                <w:noProof/>
              </w:rPr>
            </w:pPr>
            <w:r>
              <w:rPr>
                <w:noProof/>
              </w:rPr>
              <w:t>17.3</w:t>
            </w:r>
          </w:p>
        </w:tc>
        <w:tc>
          <w:tcPr>
            <w:tcW w:w="1760" w:type="dxa"/>
            <w:shd w:val="clear" w:color="auto" w:fill="C4EFCE"/>
            <w:vAlign w:val="center"/>
            <w:hideMark/>
          </w:tcPr>
          <w:p w14:paraId="61FF33E4" w14:textId="77777777" w:rsidR="00E040FD" w:rsidRDefault="00740D64">
            <w:pPr>
              <w:pStyle w:val="P68B1DB1-Normal23"/>
              <w:spacing w:after="0"/>
              <w:jc w:val="center"/>
              <w:rPr>
                <w:noProof/>
              </w:rPr>
            </w:pPr>
            <w:r>
              <w:rPr>
                <w:noProof/>
              </w:rPr>
              <w:t xml:space="preserve">TD-C17-r32 </w:t>
            </w:r>
          </w:p>
        </w:tc>
        <w:tc>
          <w:tcPr>
            <w:tcW w:w="1520" w:type="dxa"/>
            <w:shd w:val="clear" w:color="auto" w:fill="C4EFCE"/>
            <w:vAlign w:val="center"/>
            <w:hideMark/>
          </w:tcPr>
          <w:p w14:paraId="167697BC"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EA7BBF8" w14:textId="77777777" w:rsidR="00E040FD" w:rsidRDefault="00740D64">
            <w:pPr>
              <w:pStyle w:val="P68B1DB1-Normal23"/>
              <w:spacing w:after="0"/>
              <w:jc w:val="both"/>
              <w:rPr>
                <w:rFonts w:eastAsia="Calibri" w:cs="Calibri"/>
                <w:noProof/>
              </w:rPr>
            </w:pPr>
            <w:r>
              <w:rPr>
                <w:noProof/>
              </w:rPr>
              <w:t>Slutförande och godkännande av modellen för övervakning av den offentliga sektorns budgetgenomförande och finansiella genomförande</w:t>
            </w:r>
          </w:p>
        </w:tc>
      </w:tr>
      <w:tr w:rsidR="00E040FD" w14:paraId="341F280E" w14:textId="77777777">
        <w:trPr>
          <w:trHeight w:val="440"/>
        </w:trPr>
        <w:tc>
          <w:tcPr>
            <w:tcW w:w="1200" w:type="dxa"/>
            <w:shd w:val="clear" w:color="auto" w:fill="C4EFCE"/>
            <w:vAlign w:val="center"/>
            <w:hideMark/>
          </w:tcPr>
          <w:p w14:paraId="188AFE97" w14:textId="77777777" w:rsidR="00E040FD" w:rsidRDefault="00740D64">
            <w:pPr>
              <w:pStyle w:val="P68B1DB1-Normal23"/>
              <w:spacing w:after="0"/>
              <w:jc w:val="center"/>
              <w:rPr>
                <w:noProof/>
              </w:rPr>
            </w:pPr>
            <w:r>
              <w:rPr>
                <w:noProof/>
              </w:rPr>
              <w:t>17.7</w:t>
            </w:r>
          </w:p>
        </w:tc>
        <w:tc>
          <w:tcPr>
            <w:tcW w:w="1760" w:type="dxa"/>
            <w:shd w:val="clear" w:color="auto" w:fill="C4EFCE"/>
            <w:vAlign w:val="center"/>
            <w:hideMark/>
          </w:tcPr>
          <w:p w14:paraId="275594B7" w14:textId="77777777" w:rsidR="00E040FD" w:rsidRDefault="00740D64">
            <w:pPr>
              <w:pStyle w:val="P68B1DB1-Normal23"/>
              <w:spacing w:after="0"/>
              <w:jc w:val="center"/>
              <w:rPr>
                <w:noProof/>
              </w:rPr>
            </w:pPr>
            <w:r>
              <w:rPr>
                <w:noProof/>
              </w:rPr>
              <w:t xml:space="preserve">TD-C17-r32 </w:t>
            </w:r>
          </w:p>
        </w:tc>
        <w:tc>
          <w:tcPr>
            <w:tcW w:w="1520" w:type="dxa"/>
            <w:shd w:val="clear" w:color="auto" w:fill="C4EFCE"/>
            <w:vAlign w:val="center"/>
            <w:hideMark/>
          </w:tcPr>
          <w:p w14:paraId="1936EA41"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AC574CF" w14:textId="77777777" w:rsidR="00E040FD" w:rsidRDefault="00740D64">
            <w:pPr>
              <w:pStyle w:val="P68B1DB1-Normal23"/>
              <w:spacing w:after="0"/>
              <w:jc w:val="both"/>
              <w:rPr>
                <w:rFonts w:eastAsia="Calibri" w:cs="Calibri"/>
                <w:noProof/>
              </w:rPr>
            </w:pPr>
            <w:r>
              <w:rPr>
                <w:noProof/>
              </w:rPr>
              <w:t>Ikraftträdande av den nya modellen för analys och redovisning av statsägda företags ekonomiska situation och resultat</w:t>
            </w:r>
          </w:p>
        </w:tc>
      </w:tr>
      <w:tr w:rsidR="00E040FD" w14:paraId="3B0F106A" w14:textId="77777777">
        <w:trPr>
          <w:trHeight w:val="440"/>
        </w:trPr>
        <w:tc>
          <w:tcPr>
            <w:tcW w:w="1200" w:type="dxa"/>
            <w:shd w:val="clear" w:color="auto" w:fill="C4EFCE"/>
            <w:vAlign w:val="center"/>
            <w:hideMark/>
          </w:tcPr>
          <w:p w14:paraId="2A50687F" w14:textId="77777777" w:rsidR="00E040FD" w:rsidRDefault="00740D64">
            <w:pPr>
              <w:pStyle w:val="P68B1DB1-Normal23"/>
              <w:spacing w:after="0"/>
              <w:jc w:val="center"/>
              <w:rPr>
                <w:noProof/>
              </w:rPr>
            </w:pPr>
            <w:r>
              <w:rPr>
                <w:noProof/>
              </w:rPr>
              <w:t>19.1</w:t>
            </w:r>
          </w:p>
        </w:tc>
        <w:tc>
          <w:tcPr>
            <w:tcW w:w="1760" w:type="dxa"/>
            <w:shd w:val="clear" w:color="auto" w:fill="C4EFCE"/>
            <w:vAlign w:val="center"/>
            <w:hideMark/>
          </w:tcPr>
          <w:p w14:paraId="69C58795" w14:textId="77777777" w:rsidR="00E040FD" w:rsidRDefault="00740D64">
            <w:pPr>
              <w:pStyle w:val="P68B1DB1-Normal23"/>
              <w:spacing w:after="0"/>
              <w:jc w:val="center"/>
              <w:rPr>
                <w:noProof/>
              </w:rPr>
            </w:pPr>
            <w:r>
              <w:rPr>
                <w:noProof/>
              </w:rPr>
              <w:t xml:space="preserve">TD-C19-i01 </w:t>
            </w:r>
          </w:p>
        </w:tc>
        <w:tc>
          <w:tcPr>
            <w:tcW w:w="1520" w:type="dxa"/>
            <w:shd w:val="clear" w:color="auto" w:fill="C4EFCE"/>
            <w:vAlign w:val="center"/>
            <w:hideMark/>
          </w:tcPr>
          <w:p w14:paraId="59EF48DA"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BCAB859" w14:textId="77777777" w:rsidR="00E040FD" w:rsidRDefault="00740D64">
            <w:pPr>
              <w:pStyle w:val="P68B1DB1-Normal23"/>
              <w:spacing w:after="0"/>
              <w:jc w:val="both"/>
              <w:rPr>
                <w:rFonts w:eastAsia="Calibri" w:cs="Calibri"/>
                <w:noProof/>
              </w:rPr>
            </w:pPr>
            <w:r>
              <w:rPr>
                <w:noProof/>
              </w:rPr>
              <w:t>Offentliga tjänster som är tillgängliga på ett förenklat och enhetligt sätt genom olika kanaler</w:t>
            </w:r>
          </w:p>
        </w:tc>
      </w:tr>
      <w:tr w:rsidR="00E040FD" w14:paraId="6A1F9585" w14:textId="77777777">
        <w:trPr>
          <w:trHeight w:val="440"/>
        </w:trPr>
        <w:tc>
          <w:tcPr>
            <w:tcW w:w="1200" w:type="dxa"/>
            <w:shd w:val="clear" w:color="auto" w:fill="C4EFCE"/>
            <w:vAlign w:val="center"/>
            <w:hideMark/>
          </w:tcPr>
          <w:p w14:paraId="4BF5836E" w14:textId="77777777" w:rsidR="00E040FD" w:rsidRDefault="00740D64">
            <w:pPr>
              <w:pStyle w:val="P68B1DB1-Normal23"/>
              <w:spacing w:after="0"/>
              <w:jc w:val="center"/>
              <w:rPr>
                <w:noProof/>
              </w:rPr>
            </w:pPr>
            <w:r>
              <w:rPr>
                <w:noProof/>
              </w:rPr>
              <w:t>19.4</w:t>
            </w:r>
          </w:p>
        </w:tc>
        <w:tc>
          <w:tcPr>
            <w:tcW w:w="1760" w:type="dxa"/>
            <w:shd w:val="clear" w:color="auto" w:fill="C4EFCE"/>
            <w:vAlign w:val="center"/>
            <w:hideMark/>
          </w:tcPr>
          <w:p w14:paraId="24BFF365" w14:textId="77777777" w:rsidR="00E040FD" w:rsidRDefault="00740D64">
            <w:pPr>
              <w:pStyle w:val="P68B1DB1-Normal23"/>
              <w:spacing w:after="0"/>
              <w:jc w:val="center"/>
              <w:rPr>
                <w:noProof/>
              </w:rPr>
            </w:pPr>
            <w:r>
              <w:rPr>
                <w:noProof/>
              </w:rPr>
              <w:t xml:space="preserve">TD-C19-i02 </w:t>
            </w:r>
          </w:p>
        </w:tc>
        <w:tc>
          <w:tcPr>
            <w:tcW w:w="1520" w:type="dxa"/>
            <w:shd w:val="clear" w:color="auto" w:fill="C4EFCE"/>
            <w:vAlign w:val="center"/>
            <w:hideMark/>
          </w:tcPr>
          <w:p w14:paraId="72E93AC3"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8803935" w14:textId="77777777" w:rsidR="00E040FD" w:rsidRDefault="00740D64">
            <w:pPr>
              <w:pStyle w:val="P68B1DB1-Normal23"/>
              <w:spacing w:after="0"/>
              <w:jc w:val="both"/>
              <w:rPr>
                <w:rFonts w:eastAsia="Calibri" w:cs="Calibri"/>
                <w:noProof/>
              </w:rPr>
            </w:pPr>
            <w:r>
              <w:rPr>
                <w:noProof/>
              </w:rPr>
              <w:t>Offentliga tjänster som är tillgängliga på ett säkert sätt med hjälp av elektronisk identitet och med respekt för engångsprincipen</w:t>
            </w:r>
          </w:p>
        </w:tc>
      </w:tr>
      <w:tr w:rsidR="00E040FD" w14:paraId="4FC6C1D5" w14:textId="77777777">
        <w:trPr>
          <w:trHeight w:val="440"/>
        </w:trPr>
        <w:tc>
          <w:tcPr>
            <w:tcW w:w="1200" w:type="dxa"/>
            <w:shd w:val="clear" w:color="auto" w:fill="C4EFCE"/>
            <w:vAlign w:val="center"/>
            <w:hideMark/>
          </w:tcPr>
          <w:p w14:paraId="58B8057A" w14:textId="77777777" w:rsidR="00E040FD" w:rsidRDefault="00740D64">
            <w:pPr>
              <w:pStyle w:val="P68B1DB1-Normal23"/>
              <w:spacing w:after="0"/>
              <w:jc w:val="center"/>
              <w:rPr>
                <w:noProof/>
              </w:rPr>
            </w:pPr>
            <w:r>
              <w:rPr>
                <w:noProof/>
              </w:rPr>
              <w:t>20.3</w:t>
            </w:r>
          </w:p>
        </w:tc>
        <w:tc>
          <w:tcPr>
            <w:tcW w:w="1760" w:type="dxa"/>
            <w:shd w:val="clear" w:color="auto" w:fill="C4EFCE"/>
            <w:vAlign w:val="center"/>
            <w:hideMark/>
          </w:tcPr>
          <w:p w14:paraId="26B70452" w14:textId="77777777" w:rsidR="00E040FD" w:rsidRDefault="00740D64">
            <w:pPr>
              <w:pStyle w:val="P68B1DB1-Normal23"/>
              <w:spacing w:after="0"/>
              <w:jc w:val="center"/>
              <w:rPr>
                <w:noProof/>
              </w:rPr>
            </w:pPr>
            <w:r>
              <w:rPr>
                <w:noProof/>
              </w:rPr>
              <w:t xml:space="preserve">TD-C20-i01 </w:t>
            </w:r>
          </w:p>
        </w:tc>
        <w:tc>
          <w:tcPr>
            <w:tcW w:w="1520" w:type="dxa"/>
            <w:shd w:val="clear" w:color="auto" w:fill="C4EFCE"/>
            <w:vAlign w:val="center"/>
            <w:hideMark/>
          </w:tcPr>
          <w:p w14:paraId="562D7FF3"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A927607" w14:textId="77777777" w:rsidR="00E040FD" w:rsidRDefault="00740D64">
            <w:pPr>
              <w:pStyle w:val="P68B1DB1-Normal23"/>
              <w:spacing w:after="0"/>
              <w:jc w:val="both"/>
              <w:rPr>
                <w:rFonts w:eastAsia="Calibri" w:cs="Calibri"/>
                <w:noProof/>
              </w:rPr>
            </w:pPr>
            <w:r>
              <w:rPr>
                <w:noProof/>
              </w:rPr>
              <w:t>Datorer för individuellt bruk av elever och lärare</w:t>
            </w:r>
          </w:p>
        </w:tc>
      </w:tr>
      <w:tr w:rsidR="00E040FD" w14:paraId="6F9EE469" w14:textId="77777777">
        <w:trPr>
          <w:trHeight w:val="440"/>
        </w:trPr>
        <w:tc>
          <w:tcPr>
            <w:tcW w:w="1200" w:type="dxa"/>
            <w:shd w:val="clear" w:color="auto" w:fill="C4EFCE"/>
            <w:vAlign w:val="center"/>
            <w:hideMark/>
          </w:tcPr>
          <w:p w14:paraId="1706F9AC" w14:textId="77777777" w:rsidR="00E040FD" w:rsidRDefault="00740D64">
            <w:pPr>
              <w:pStyle w:val="P68B1DB1-Normal23"/>
              <w:spacing w:after="0"/>
              <w:jc w:val="center"/>
              <w:rPr>
                <w:noProof/>
              </w:rPr>
            </w:pPr>
            <w:r>
              <w:rPr>
                <w:noProof/>
              </w:rPr>
              <w:t>20.10</w:t>
            </w:r>
          </w:p>
        </w:tc>
        <w:tc>
          <w:tcPr>
            <w:tcW w:w="1760" w:type="dxa"/>
            <w:shd w:val="clear" w:color="auto" w:fill="C4EFCE"/>
            <w:vAlign w:val="center"/>
            <w:hideMark/>
          </w:tcPr>
          <w:p w14:paraId="01A5078A" w14:textId="77777777" w:rsidR="00E040FD" w:rsidRDefault="00740D64">
            <w:pPr>
              <w:pStyle w:val="P68B1DB1-Normal23"/>
              <w:spacing w:after="0"/>
              <w:jc w:val="center"/>
              <w:rPr>
                <w:noProof/>
              </w:rPr>
            </w:pPr>
            <w:r>
              <w:rPr>
                <w:noProof/>
              </w:rPr>
              <w:t xml:space="preserve">TD-C20-i02-RAA </w:t>
            </w:r>
          </w:p>
        </w:tc>
        <w:tc>
          <w:tcPr>
            <w:tcW w:w="1520" w:type="dxa"/>
            <w:shd w:val="clear" w:color="auto" w:fill="C4EFCE"/>
            <w:vAlign w:val="center"/>
            <w:hideMark/>
          </w:tcPr>
          <w:p w14:paraId="331EFA9F"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6817629" w14:textId="77777777" w:rsidR="00E040FD" w:rsidRDefault="00740D64">
            <w:pPr>
              <w:pStyle w:val="P68B1DB1-Normal23"/>
              <w:spacing w:after="0"/>
              <w:jc w:val="both"/>
              <w:rPr>
                <w:rFonts w:eastAsia="Calibri" w:cs="Calibri"/>
                <w:noProof/>
              </w:rPr>
            </w:pPr>
            <w:r>
              <w:rPr>
                <w:noProof/>
              </w:rPr>
              <w:t>Omfattande öppna onlinekurser för lärare och föräldrar i ARA</w:t>
            </w:r>
          </w:p>
        </w:tc>
      </w:tr>
      <w:tr w:rsidR="00E040FD" w14:paraId="218A5DAF" w14:textId="77777777">
        <w:trPr>
          <w:trHeight w:val="440"/>
        </w:trPr>
        <w:tc>
          <w:tcPr>
            <w:tcW w:w="1200" w:type="dxa"/>
            <w:shd w:val="clear" w:color="auto" w:fill="C4EFCE"/>
            <w:vAlign w:val="center"/>
            <w:hideMark/>
          </w:tcPr>
          <w:p w14:paraId="3DAD8CAD" w14:textId="77777777" w:rsidR="00E040FD" w:rsidRDefault="00740D64">
            <w:pPr>
              <w:pStyle w:val="P68B1DB1-Normal23"/>
              <w:spacing w:after="0"/>
              <w:jc w:val="center"/>
              <w:rPr>
                <w:noProof/>
              </w:rPr>
            </w:pPr>
            <w:r>
              <w:rPr>
                <w:noProof/>
              </w:rPr>
              <w:t>20.14</w:t>
            </w:r>
          </w:p>
        </w:tc>
        <w:tc>
          <w:tcPr>
            <w:tcW w:w="1760" w:type="dxa"/>
            <w:shd w:val="clear" w:color="auto" w:fill="C4EFCE"/>
            <w:vAlign w:val="center"/>
            <w:hideMark/>
          </w:tcPr>
          <w:p w14:paraId="45FA9E7E" w14:textId="77777777" w:rsidR="00E040FD" w:rsidRDefault="00740D64">
            <w:pPr>
              <w:pStyle w:val="P68B1DB1-Normal23"/>
              <w:spacing w:after="0"/>
              <w:jc w:val="center"/>
              <w:rPr>
                <w:noProof/>
              </w:rPr>
            </w:pPr>
            <w:r>
              <w:rPr>
                <w:noProof/>
              </w:rPr>
              <w:t xml:space="preserve">TD-C20-i03-RAM </w:t>
            </w:r>
          </w:p>
        </w:tc>
        <w:tc>
          <w:tcPr>
            <w:tcW w:w="1520" w:type="dxa"/>
            <w:shd w:val="clear" w:color="auto" w:fill="C4EFCE"/>
            <w:vAlign w:val="center"/>
            <w:hideMark/>
          </w:tcPr>
          <w:p w14:paraId="3A9F12DA"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3A30F30" w14:textId="77777777" w:rsidR="00E040FD" w:rsidRDefault="00740D64">
            <w:pPr>
              <w:pStyle w:val="P68B1DB1-Normal23"/>
              <w:spacing w:after="0"/>
              <w:jc w:val="both"/>
              <w:rPr>
                <w:rFonts w:eastAsia="Calibri" w:cs="Calibri"/>
                <w:noProof/>
              </w:rPr>
            </w:pPr>
            <w:r>
              <w:rPr>
                <w:noProof/>
              </w:rPr>
              <w:t>Digitala handböcker för elever i den 2:a och 3:e cykeln och gymnasieelever</w:t>
            </w:r>
          </w:p>
        </w:tc>
      </w:tr>
      <w:tr w:rsidR="00E040FD" w14:paraId="13FE7E31" w14:textId="77777777">
        <w:trPr>
          <w:trHeight w:val="440"/>
        </w:trPr>
        <w:tc>
          <w:tcPr>
            <w:tcW w:w="1200" w:type="dxa"/>
            <w:shd w:val="clear" w:color="auto" w:fill="C4EFCE"/>
            <w:vAlign w:val="center"/>
          </w:tcPr>
          <w:p w14:paraId="0B18E216" w14:textId="6C76CE3F" w:rsidR="00E040FD" w:rsidRDefault="00740D64">
            <w:pPr>
              <w:pStyle w:val="P68B1DB1-Normal23"/>
              <w:spacing w:after="0"/>
              <w:jc w:val="center"/>
              <w:rPr>
                <w:rFonts w:eastAsia="Calibri" w:cs="Calibri"/>
                <w:noProof/>
              </w:rPr>
            </w:pPr>
            <w:r>
              <w:rPr>
                <w:noProof/>
              </w:rPr>
              <w:t>22.1</w:t>
            </w:r>
          </w:p>
        </w:tc>
        <w:tc>
          <w:tcPr>
            <w:tcW w:w="1760" w:type="dxa"/>
            <w:shd w:val="clear" w:color="auto" w:fill="C4EFCE"/>
            <w:vAlign w:val="center"/>
          </w:tcPr>
          <w:p w14:paraId="54A61AAA" w14:textId="7F5F0C12" w:rsidR="00E040FD" w:rsidRDefault="00740D64">
            <w:pPr>
              <w:pStyle w:val="P68B1DB1-Normal23"/>
              <w:spacing w:after="0"/>
              <w:jc w:val="center"/>
              <w:rPr>
                <w:rFonts w:eastAsia="Calibri" w:cs="Calibri"/>
                <w:noProof/>
              </w:rPr>
            </w:pPr>
            <w:r>
              <w:rPr>
                <w:noProof/>
              </w:rPr>
              <w:t>RE-C22-r49</w:t>
            </w:r>
          </w:p>
        </w:tc>
        <w:tc>
          <w:tcPr>
            <w:tcW w:w="1520" w:type="dxa"/>
            <w:shd w:val="clear" w:color="auto" w:fill="C4EFCE"/>
            <w:vAlign w:val="center"/>
          </w:tcPr>
          <w:p w14:paraId="0359E033" w14:textId="53239CA4"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tcPr>
          <w:p w14:paraId="29FAC258" w14:textId="2F0164F0" w:rsidR="00E040FD" w:rsidRDefault="00740D64">
            <w:pPr>
              <w:pStyle w:val="P68B1DB1-Normal23"/>
              <w:spacing w:after="0"/>
              <w:jc w:val="both"/>
              <w:rPr>
                <w:rFonts w:eastAsia="Calibri" w:cs="Calibri"/>
                <w:noProof/>
              </w:rPr>
            </w:pPr>
            <w:r>
              <w:rPr>
                <w:noProof/>
              </w:rPr>
              <w:t>Ändring av finansieringsavtalen mellan EMRP och genomförandeorganen för att inkludera skyldigheten att utföra en bedömning av bedrägeririsker</w:t>
            </w:r>
          </w:p>
        </w:tc>
      </w:tr>
      <w:tr w:rsidR="00E040FD" w14:paraId="1692F67E" w14:textId="77777777">
        <w:trPr>
          <w:trHeight w:val="440"/>
        </w:trPr>
        <w:tc>
          <w:tcPr>
            <w:tcW w:w="1200" w:type="dxa"/>
            <w:shd w:val="clear" w:color="auto" w:fill="C4EFCE"/>
            <w:vAlign w:val="center"/>
          </w:tcPr>
          <w:p w14:paraId="1B2C4316" w14:textId="01C57EEC" w:rsidR="00E040FD" w:rsidRDefault="00740D64">
            <w:pPr>
              <w:pStyle w:val="P68B1DB1-Normal23"/>
              <w:spacing w:after="0"/>
              <w:jc w:val="center"/>
              <w:rPr>
                <w:rFonts w:eastAsia="Calibri" w:cs="Calibri"/>
                <w:noProof/>
              </w:rPr>
            </w:pPr>
            <w:r>
              <w:rPr>
                <w:noProof/>
              </w:rPr>
              <w:t>22.2</w:t>
            </w:r>
          </w:p>
        </w:tc>
        <w:tc>
          <w:tcPr>
            <w:tcW w:w="1760" w:type="dxa"/>
            <w:shd w:val="clear" w:color="auto" w:fill="C4EFCE"/>
            <w:vAlign w:val="center"/>
          </w:tcPr>
          <w:p w14:paraId="0C165A5E" w14:textId="0D1FBC0D" w:rsidR="00E040FD" w:rsidRDefault="00740D64">
            <w:pPr>
              <w:pStyle w:val="P68B1DB1-Normal23"/>
              <w:spacing w:after="0"/>
              <w:jc w:val="center"/>
              <w:rPr>
                <w:rFonts w:eastAsia="Calibri" w:cs="Calibri"/>
                <w:noProof/>
              </w:rPr>
            </w:pPr>
            <w:r>
              <w:rPr>
                <w:noProof/>
              </w:rPr>
              <w:t>RE-C22-r49</w:t>
            </w:r>
          </w:p>
        </w:tc>
        <w:tc>
          <w:tcPr>
            <w:tcW w:w="1520" w:type="dxa"/>
            <w:shd w:val="clear" w:color="auto" w:fill="C4EFCE"/>
            <w:vAlign w:val="center"/>
          </w:tcPr>
          <w:p w14:paraId="5095848A" w14:textId="060F218F"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tcPr>
          <w:p w14:paraId="130A8B69" w14:textId="638A0661" w:rsidR="00E040FD" w:rsidRDefault="00740D64">
            <w:pPr>
              <w:pStyle w:val="P68B1DB1-Normal23"/>
              <w:spacing w:after="0"/>
              <w:jc w:val="both"/>
              <w:rPr>
                <w:rFonts w:eastAsia="Calibri" w:cs="Calibri"/>
                <w:noProof/>
              </w:rPr>
            </w:pPr>
            <w:r>
              <w:rPr>
                <w:noProof/>
              </w:rPr>
              <w:t>Införande av dubbelkontroller för dubbelfinansiering</w:t>
            </w:r>
          </w:p>
        </w:tc>
      </w:tr>
      <w:tr w:rsidR="00E040FD" w14:paraId="74CD506E" w14:textId="77777777">
        <w:trPr>
          <w:trHeight w:val="440"/>
        </w:trPr>
        <w:tc>
          <w:tcPr>
            <w:tcW w:w="1200" w:type="dxa"/>
            <w:shd w:val="clear" w:color="auto" w:fill="C4EFCE"/>
            <w:vAlign w:val="center"/>
            <w:hideMark/>
          </w:tcPr>
          <w:p w14:paraId="5438D3B8" w14:textId="77777777" w:rsidR="00E040FD" w:rsidRDefault="00740D64">
            <w:pPr>
              <w:pStyle w:val="P68B1DB1-Normal8"/>
              <w:spacing w:after="0"/>
              <w:jc w:val="center"/>
              <w:rPr>
                <w:noProof/>
              </w:rPr>
            </w:pPr>
            <w:r>
              <w:rPr>
                <w:noProof/>
              </w:rPr>
              <w:t xml:space="preserve"> </w:t>
            </w:r>
          </w:p>
        </w:tc>
        <w:tc>
          <w:tcPr>
            <w:tcW w:w="1760" w:type="dxa"/>
            <w:shd w:val="clear" w:color="auto" w:fill="C4EFCE"/>
            <w:vAlign w:val="center"/>
            <w:hideMark/>
          </w:tcPr>
          <w:p w14:paraId="231F2F2F" w14:textId="77777777" w:rsidR="00E040FD" w:rsidRDefault="00740D64">
            <w:pPr>
              <w:pStyle w:val="P68B1DB1-Normal8"/>
              <w:spacing w:after="0"/>
              <w:rPr>
                <w:noProof/>
              </w:rPr>
            </w:pPr>
            <w:r>
              <w:rPr>
                <w:noProof/>
              </w:rPr>
              <w:t xml:space="preserve"> </w:t>
            </w:r>
          </w:p>
        </w:tc>
        <w:tc>
          <w:tcPr>
            <w:tcW w:w="1520" w:type="dxa"/>
            <w:shd w:val="clear" w:color="auto" w:fill="C4EFCE"/>
            <w:vAlign w:val="center"/>
            <w:hideMark/>
          </w:tcPr>
          <w:p w14:paraId="7E61E2C8" w14:textId="77777777" w:rsidR="00E040FD" w:rsidRDefault="00740D64">
            <w:pPr>
              <w:pStyle w:val="P68B1DB1-Normal24"/>
              <w:spacing w:after="0"/>
              <w:jc w:val="center"/>
              <w:rPr>
                <w:noProof/>
              </w:rPr>
            </w:pPr>
            <w:r>
              <w:rPr>
                <w:noProof/>
              </w:rPr>
              <w:t xml:space="preserve">Delbetalning, belopp </w:t>
            </w:r>
          </w:p>
        </w:tc>
        <w:tc>
          <w:tcPr>
            <w:tcW w:w="5060" w:type="dxa"/>
            <w:shd w:val="clear" w:color="auto" w:fill="C4EFCE"/>
            <w:vAlign w:val="center"/>
            <w:hideMark/>
          </w:tcPr>
          <w:p w14:paraId="0C460227" w14:textId="75B7960E" w:rsidR="00E040FD" w:rsidRDefault="00740D64">
            <w:pPr>
              <w:pStyle w:val="P68B1DB1-Normal25"/>
              <w:spacing w:after="0"/>
              <w:jc w:val="center"/>
              <w:rPr>
                <w:noProof/>
              </w:rPr>
            </w:pPr>
            <w:r>
              <w:rPr>
                <w:noProof/>
              </w:rPr>
              <w:t>2 010 220 573 EUR</w:t>
            </w:r>
          </w:p>
        </w:tc>
      </w:tr>
    </w:tbl>
    <w:p w14:paraId="039389FF" w14:textId="77777777" w:rsidR="00E040FD" w:rsidRDefault="00E040FD">
      <w:pPr>
        <w:rPr>
          <w:noProof/>
        </w:rPr>
      </w:pPr>
    </w:p>
    <w:p w14:paraId="4E219CD4"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p w14:paraId="7A8A5CC2" w14:textId="77777777" w:rsidR="00E040FD" w:rsidRDefault="00740D64">
      <w:pPr>
        <w:pStyle w:val="P68B1DB1-Normal4"/>
        <w:keepNext/>
        <w:keepLines/>
        <w:numPr>
          <w:ilvl w:val="1"/>
          <w:numId w:val="19"/>
        </w:numPr>
        <w:spacing w:before="40" w:after="160" w:line="259" w:lineRule="auto"/>
        <w:contextualSpacing/>
        <w:jc w:val="both"/>
        <w:rPr>
          <w:rFonts w:eastAsiaTheme="minorEastAsia" w:cs="Times New Roman"/>
          <w:noProof/>
        </w:rPr>
      </w:pPr>
      <w:r>
        <w:rPr>
          <w:noProof/>
        </w:rPr>
        <w:t xml:space="preserve">Fjärde betalningsansökan (icke återbetalningspliktigt stöd): </w:t>
      </w:r>
    </w:p>
    <w:p w14:paraId="29158653" w14:textId="77777777" w:rsidR="00E040FD" w:rsidRDefault="00E040FD">
      <w:pPr>
        <w:keepNext/>
        <w:keepLines/>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94"/>
        <w:gridCol w:w="1747"/>
        <w:gridCol w:w="1515"/>
        <w:gridCol w:w="4984"/>
      </w:tblGrid>
      <w:tr w:rsidR="00E040FD" w14:paraId="56ED83EA"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9CEDDC4" w14:textId="77777777" w:rsidR="00E040FD" w:rsidRDefault="00740D64">
            <w:pPr>
              <w:pStyle w:val="P68B1DB1-Normal22"/>
              <w:keepNext/>
              <w:keepLines/>
              <w:spacing w:after="0" w:line="240" w:lineRule="auto"/>
              <w:jc w:val="center"/>
              <w:rPr>
                <w:rFonts w:eastAsia="Times New Roman" w:cs="Times New Roman"/>
                <w:noProof/>
              </w:rPr>
            </w:pPr>
            <w:r>
              <w:rPr>
                <w:noProof/>
              </w:rPr>
              <w:t>Löpnummer</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01E8A35" w14:textId="77777777" w:rsidR="00E040FD" w:rsidRDefault="00740D64">
            <w:pPr>
              <w:pStyle w:val="P68B1DB1-Normal22"/>
              <w:keepNext/>
              <w:keepLines/>
              <w:spacing w:after="0" w:line="240" w:lineRule="auto"/>
              <w:jc w:val="center"/>
              <w:rPr>
                <w:rFonts w:eastAsia="Times New Roman" w:cs="Times New Roman"/>
                <w:noProof/>
              </w:rPr>
            </w:pPr>
            <w:r>
              <w:rPr>
                <w:noProof/>
              </w:rPr>
              <w:t>Berörd åtgärd (reform eller investering)</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A90392" w14:textId="77777777" w:rsidR="00E040FD" w:rsidRDefault="00740D64">
            <w:pPr>
              <w:pStyle w:val="P68B1DB1-Normal22"/>
              <w:keepNext/>
              <w:keepLines/>
              <w:spacing w:after="0" w:line="240" w:lineRule="auto"/>
              <w:jc w:val="center"/>
              <w:rPr>
                <w:rFonts w:eastAsia="Times New Roman" w:cs="Times New Roman"/>
                <w:noProof/>
              </w:rPr>
            </w:pPr>
            <w:r>
              <w:rPr>
                <w:noProof/>
              </w:rPr>
              <w:t>Delmål/mål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4FADC97" w14:textId="77777777" w:rsidR="00E040FD" w:rsidRDefault="00740D64">
            <w:pPr>
              <w:pStyle w:val="P68B1DB1-Normal22"/>
              <w:keepNext/>
              <w:keepLines/>
              <w:spacing w:after="0" w:line="240" w:lineRule="auto"/>
              <w:jc w:val="center"/>
              <w:rPr>
                <w:rFonts w:eastAsia="Times New Roman" w:cs="Times New Roman"/>
                <w:noProof/>
              </w:rPr>
            </w:pPr>
            <w:r>
              <w:rPr>
                <w:noProof/>
              </w:rPr>
              <w:t>Namn</w:t>
            </w:r>
          </w:p>
        </w:tc>
      </w:tr>
      <w:tr w:rsidR="00E040FD" w14:paraId="7FF864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0EA99F9" w14:textId="77777777" w:rsidR="00E040FD" w:rsidRDefault="00740D64">
            <w:pPr>
              <w:pStyle w:val="P68B1DB1-Normal23"/>
              <w:spacing w:after="0"/>
              <w:jc w:val="center"/>
              <w:rPr>
                <w:rFonts w:eastAsia="Calibri" w:cs="Calibri"/>
                <w:noProof/>
              </w:rPr>
            </w:pPr>
            <w:r>
              <w:rPr>
                <w:noProof/>
              </w:rPr>
              <w:t>1.1</w:t>
            </w:r>
          </w:p>
        </w:tc>
        <w:tc>
          <w:tcPr>
            <w:tcW w:w="1760" w:type="dxa"/>
            <w:tcBorders>
              <w:top w:val="nil"/>
              <w:left w:val="nil"/>
              <w:bottom w:val="single" w:sz="4" w:space="0" w:color="auto"/>
              <w:right w:val="single" w:sz="4" w:space="0" w:color="auto"/>
            </w:tcBorders>
            <w:shd w:val="clear" w:color="auto" w:fill="C4EFCE"/>
            <w:vAlign w:val="center"/>
            <w:hideMark/>
          </w:tcPr>
          <w:p w14:paraId="7321C9DC" w14:textId="77777777" w:rsidR="00E040FD" w:rsidRDefault="00740D64">
            <w:pPr>
              <w:pStyle w:val="P68B1DB1-Normal23"/>
              <w:spacing w:after="0"/>
              <w:jc w:val="center"/>
              <w:rPr>
                <w:rFonts w:eastAsia="Calibri" w:cs="Calibri"/>
                <w:noProof/>
              </w:rPr>
            </w:pPr>
            <w:r>
              <w:rPr>
                <w:noProof/>
              </w:rPr>
              <w:t xml:space="preserve">RE-C01-r01  </w:t>
            </w:r>
          </w:p>
        </w:tc>
        <w:tc>
          <w:tcPr>
            <w:tcW w:w="1520" w:type="dxa"/>
            <w:tcBorders>
              <w:top w:val="nil"/>
              <w:left w:val="nil"/>
              <w:bottom w:val="single" w:sz="4" w:space="0" w:color="auto"/>
              <w:right w:val="single" w:sz="4" w:space="0" w:color="auto"/>
            </w:tcBorders>
            <w:shd w:val="clear" w:color="auto" w:fill="C4EFCE"/>
            <w:vAlign w:val="center"/>
            <w:hideMark/>
          </w:tcPr>
          <w:p w14:paraId="7249E60B"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80B2E35" w14:textId="77777777" w:rsidR="00E040FD" w:rsidRDefault="00740D64">
            <w:pPr>
              <w:pStyle w:val="P68B1DB1-Normal23"/>
              <w:spacing w:after="0"/>
              <w:jc w:val="both"/>
              <w:rPr>
                <w:rFonts w:eastAsia="Calibri" w:cs="Calibri"/>
                <w:noProof/>
              </w:rPr>
            </w:pPr>
            <w:r>
              <w:rPr>
                <w:noProof/>
              </w:rPr>
              <w:t>Ikraftträdande av rättsakter på området primärvård</w:t>
            </w:r>
          </w:p>
        </w:tc>
      </w:tr>
      <w:tr w:rsidR="00E040FD" w14:paraId="289CD21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38F888" w14:textId="77777777" w:rsidR="00E040FD" w:rsidRDefault="00740D64">
            <w:pPr>
              <w:pStyle w:val="P68B1DB1-Normal23"/>
              <w:spacing w:after="0"/>
              <w:jc w:val="center"/>
              <w:rPr>
                <w:rFonts w:eastAsia="Calibri" w:cs="Calibri"/>
                <w:noProof/>
              </w:rPr>
            </w:pPr>
            <w:r>
              <w:rPr>
                <w:noProof/>
              </w:rPr>
              <w:t>1.5</w:t>
            </w:r>
          </w:p>
        </w:tc>
        <w:tc>
          <w:tcPr>
            <w:tcW w:w="1760" w:type="dxa"/>
            <w:tcBorders>
              <w:top w:val="nil"/>
              <w:left w:val="nil"/>
              <w:bottom w:val="single" w:sz="4" w:space="0" w:color="auto"/>
              <w:right w:val="single" w:sz="4" w:space="0" w:color="auto"/>
            </w:tcBorders>
            <w:shd w:val="clear" w:color="auto" w:fill="C4EFCE"/>
            <w:vAlign w:val="center"/>
            <w:hideMark/>
          </w:tcPr>
          <w:p w14:paraId="5FA3726A" w14:textId="77777777" w:rsidR="00E040FD" w:rsidRDefault="00740D64">
            <w:pPr>
              <w:pStyle w:val="P68B1DB1-Normal23"/>
              <w:spacing w:after="0"/>
              <w:jc w:val="center"/>
              <w:rPr>
                <w:rFonts w:eastAsia="Calibri" w:cs="Calibri"/>
                <w:noProof/>
              </w:rPr>
            </w:pPr>
            <w:r>
              <w:rPr>
                <w:noProof/>
              </w:rPr>
              <w:t xml:space="preserve">RE-C01-r02  </w:t>
            </w:r>
          </w:p>
        </w:tc>
        <w:tc>
          <w:tcPr>
            <w:tcW w:w="1520" w:type="dxa"/>
            <w:tcBorders>
              <w:top w:val="nil"/>
              <w:left w:val="nil"/>
              <w:bottom w:val="single" w:sz="4" w:space="0" w:color="auto"/>
              <w:right w:val="single" w:sz="4" w:space="0" w:color="auto"/>
            </w:tcBorders>
            <w:shd w:val="clear" w:color="auto" w:fill="C4EFCE"/>
            <w:vAlign w:val="center"/>
            <w:hideMark/>
          </w:tcPr>
          <w:p w14:paraId="1C6933D6"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AF65EBB" w14:textId="77777777" w:rsidR="00E040FD" w:rsidRDefault="00740D64">
            <w:pPr>
              <w:pStyle w:val="P68B1DB1-Normal23"/>
              <w:spacing w:after="0"/>
              <w:jc w:val="both"/>
              <w:rPr>
                <w:rFonts w:eastAsia="Calibri" w:cs="Calibri"/>
                <w:noProof/>
              </w:rPr>
            </w:pPr>
            <w:r>
              <w:rPr>
                <w:noProof/>
              </w:rPr>
              <w:t>Ikraftträdande av den nya lagen om psykisk hälsa, som fastställer principerna om rättigheter för personer med psykisk ohälsa och reglerar obligatorisk sjukhusvistelse eller behandling.</w:t>
            </w:r>
          </w:p>
        </w:tc>
      </w:tr>
      <w:tr w:rsidR="00E040FD" w14:paraId="55EB5FF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33E7D7" w14:textId="77777777" w:rsidR="00E040FD" w:rsidRDefault="00740D64">
            <w:pPr>
              <w:pStyle w:val="P68B1DB1-Normal23"/>
              <w:spacing w:after="0"/>
              <w:jc w:val="center"/>
              <w:rPr>
                <w:rFonts w:eastAsia="Calibri" w:cs="Calibri"/>
                <w:noProof/>
              </w:rPr>
            </w:pPr>
            <w:r>
              <w:rPr>
                <w:noProof/>
              </w:rPr>
              <w:t>1.12</w:t>
            </w:r>
          </w:p>
        </w:tc>
        <w:tc>
          <w:tcPr>
            <w:tcW w:w="1760" w:type="dxa"/>
            <w:tcBorders>
              <w:top w:val="nil"/>
              <w:left w:val="nil"/>
              <w:bottom w:val="single" w:sz="4" w:space="0" w:color="auto"/>
              <w:right w:val="single" w:sz="4" w:space="0" w:color="auto"/>
            </w:tcBorders>
            <w:shd w:val="clear" w:color="auto" w:fill="C4EFCE"/>
            <w:vAlign w:val="center"/>
            <w:hideMark/>
          </w:tcPr>
          <w:p w14:paraId="1951DAC8" w14:textId="77777777" w:rsidR="00E040FD" w:rsidRDefault="00740D64">
            <w:pPr>
              <w:pStyle w:val="P68B1DB1-Normal23"/>
              <w:spacing w:after="0"/>
              <w:jc w:val="center"/>
              <w:rPr>
                <w:rFonts w:eastAsia="Calibri" w:cs="Calibri"/>
                <w:noProof/>
              </w:rPr>
            </w:pPr>
            <w:r>
              <w:rPr>
                <w:noProof/>
              </w:rPr>
              <w:t xml:space="preserve">RE-C01-r03  </w:t>
            </w:r>
          </w:p>
        </w:tc>
        <w:tc>
          <w:tcPr>
            <w:tcW w:w="1520" w:type="dxa"/>
            <w:tcBorders>
              <w:top w:val="nil"/>
              <w:left w:val="nil"/>
              <w:bottom w:val="single" w:sz="4" w:space="0" w:color="auto"/>
              <w:right w:val="single" w:sz="4" w:space="0" w:color="auto"/>
            </w:tcBorders>
            <w:shd w:val="clear" w:color="auto" w:fill="C4EFCE"/>
            <w:vAlign w:val="center"/>
            <w:hideMark/>
          </w:tcPr>
          <w:p w14:paraId="7442DC8E"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41432BD" w14:textId="0F743D6C" w:rsidR="00E040FD" w:rsidRDefault="00740D64">
            <w:pPr>
              <w:pStyle w:val="P68B1DB1-Normal23"/>
              <w:spacing w:after="0"/>
              <w:jc w:val="both"/>
              <w:rPr>
                <w:rFonts w:eastAsia="Calibri" w:cs="Calibri"/>
                <w:noProof/>
              </w:rPr>
            </w:pPr>
            <w:r>
              <w:rPr>
                <w:noProof/>
              </w:rPr>
              <w:t>Ikraftträdande av det nya systemet för fullständigt engagerat arbete inom den nationella hälso- och sjukvården</w:t>
            </w:r>
          </w:p>
        </w:tc>
      </w:tr>
      <w:tr w:rsidR="00E040FD" w14:paraId="2915F7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CC6DE1" w14:textId="77777777" w:rsidR="00E040FD" w:rsidRDefault="00740D64">
            <w:pPr>
              <w:pStyle w:val="P68B1DB1-Normal23"/>
              <w:spacing w:after="0"/>
              <w:jc w:val="center"/>
              <w:rPr>
                <w:rFonts w:eastAsia="Calibri" w:cs="Calibri"/>
                <w:noProof/>
              </w:rPr>
            </w:pPr>
            <w:r>
              <w:rPr>
                <w:noProof/>
              </w:rPr>
              <w:t>5.39</w:t>
            </w:r>
          </w:p>
        </w:tc>
        <w:tc>
          <w:tcPr>
            <w:tcW w:w="1760" w:type="dxa"/>
            <w:tcBorders>
              <w:top w:val="nil"/>
              <w:left w:val="nil"/>
              <w:bottom w:val="single" w:sz="4" w:space="0" w:color="auto"/>
              <w:right w:val="single" w:sz="4" w:space="0" w:color="auto"/>
            </w:tcBorders>
            <w:shd w:val="clear" w:color="auto" w:fill="C4EFCE"/>
            <w:vAlign w:val="center"/>
            <w:hideMark/>
          </w:tcPr>
          <w:p w14:paraId="5AA01599" w14:textId="77777777" w:rsidR="00E040FD" w:rsidRDefault="00740D64">
            <w:pPr>
              <w:pStyle w:val="P68B1DB1-Normal23"/>
              <w:spacing w:after="0"/>
              <w:jc w:val="center"/>
              <w:rPr>
                <w:rFonts w:eastAsia="Calibri" w:cs="Calibri"/>
                <w:noProof/>
              </w:rPr>
            </w:pPr>
            <w:r>
              <w:rPr>
                <w:noProof/>
              </w:rPr>
              <w:t xml:space="preserve">RE-C05-i09  </w:t>
            </w:r>
          </w:p>
        </w:tc>
        <w:tc>
          <w:tcPr>
            <w:tcW w:w="1520" w:type="dxa"/>
            <w:tcBorders>
              <w:top w:val="nil"/>
              <w:left w:val="nil"/>
              <w:bottom w:val="single" w:sz="4" w:space="0" w:color="auto"/>
              <w:right w:val="single" w:sz="4" w:space="0" w:color="auto"/>
            </w:tcBorders>
            <w:shd w:val="clear" w:color="auto" w:fill="C4EFCE"/>
            <w:vAlign w:val="center"/>
            <w:hideMark/>
          </w:tcPr>
          <w:p w14:paraId="4A6965A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86D6DB1" w14:textId="77777777" w:rsidR="00E040FD" w:rsidRDefault="00740D64">
            <w:pPr>
              <w:pStyle w:val="P68B1DB1-Normal23"/>
              <w:spacing w:after="0"/>
              <w:jc w:val="both"/>
              <w:rPr>
                <w:rFonts w:eastAsia="Calibri" w:cs="Calibri"/>
                <w:noProof/>
              </w:rPr>
            </w:pPr>
            <w:r>
              <w:rPr>
                <w:noProof/>
              </w:rPr>
              <w:t>Ingående av avtal för att utveckla nya produkter, processer eller tjänster inom relevanta strategiska områden (innovationsagendor).</w:t>
            </w:r>
          </w:p>
        </w:tc>
      </w:tr>
      <w:tr w:rsidR="00E040FD" w14:paraId="248B141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CD0E35" w14:textId="77777777" w:rsidR="00E040FD" w:rsidRDefault="00740D64">
            <w:pPr>
              <w:pStyle w:val="P68B1DB1-Normal23"/>
              <w:spacing w:after="0"/>
              <w:jc w:val="center"/>
              <w:rPr>
                <w:rFonts w:eastAsia="Calibri" w:cs="Calibri"/>
                <w:noProof/>
              </w:rPr>
            </w:pPr>
            <w:r>
              <w:rPr>
                <w:noProof/>
              </w:rPr>
              <w:t>5.41</w:t>
            </w:r>
          </w:p>
        </w:tc>
        <w:tc>
          <w:tcPr>
            <w:tcW w:w="1760" w:type="dxa"/>
            <w:tcBorders>
              <w:top w:val="nil"/>
              <w:left w:val="nil"/>
              <w:bottom w:val="single" w:sz="4" w:space="0" w:color="auto"/>
              <w:right w:val="single" w:sz="4" w:space="0" w:color="auto"/>
            </w:tcBorders>
            <w:shd w:val="clear" w:color="auto" w:fill="C4EFCE"/>
            <w:vAlign w:val="center"/>
            <w:hideMark/>
          </w:tcPr>
          <w:p w14:paraId="37A6E238" w14:textId="77777777" w:rsidR="00E040FD" w:rsidRDefault="00740D64">
            <w:pPr>
              <w:pStyle w:val="P68B1DB1-Normal23"/>
              <w:spacing w:after="0"/>
              <w:jc w:val="center"/>
              <w:rPr>
                <w:rFonts w:eastAsia="Calibri" w:cs="Calibri"/>
                <w:noProof/>
              </w:rPr>
            </w:pPr>
            <w:r>
              <w:rPr>
                <w:noProof/>
              </w:rPr>
              <w:t xml:space="preserve">RE-C05-i10 </w:t>
            </w:r>
          </w:p>
        </w:tc>
        <w:tc>
          <w:tcPr>
            <w:tcW w:w="1520" w:type="dxa"/>
            <w:tcBorders>
              <w:top w:val="nil"/>
              <w:left w:val="nil"/>
              <w:bottom w:val="single" w:sz="4" w:space="0" w:color="auto"/>
              <w:right w:val="single" w:sz="4" w:space="0" w:color="auto"/>
            </w:tcBorders>
            <w:shd w:val="clear" w:color="auto" w:fill="C4EFCE"/>
            <w:vAlign w:val="center"/>
            <w:hideMark/>
          </w:tcPr>
          <w:p w14:paraId="1841457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B123515" w14:textId="77777777" w:rsidR="00E040FD" w:rsidRDefault="00740D64">
            <w:pPr>
              <w:pStyle w:val="P68B1DB1-Normal23"/>
              <w:spacing w:after="0"/>
              <w:jc w:val="both"/>
              <w:rPr>
                <w:rFonts w:eastAsia="Calibri" w:cs="Calibri"/>
                <w:noProof/>
              </w:rPr>
            </w:pPr>
            <w:r>
              <w:rPr>
                <w:noProof/>
              </w:rPr>
              <w:t>Ingående av avtal för att utveckla nya produkter, processer eller tjänster på strategiska områden som är relevanta för en koldioxidsnål ekonomi, motståndskraft mot och anpassning till klimatförändringar.</w:t>
            </w:r>
          </w:p>
        </w:tc>
      </w:tr>
      <w:tr w:rsidR="00E040FD" w14:paraId="52B40B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68F59D5" w14:textId="77777777" w:rsidR="00E040FD" w:rsidRDefault="00740D64">
            <w:pPr>
              <w:pStyle w:val="P68B1DB1-Normal23"/>
              <w:spacing w:after="0"/>
              <w:jc w:val="center"/>
              <w:rPr>
                <w:rFonts w:eastAsia="Calibri" w:cs="Calibri"/>
                <w:noProof/>
              </w:rPr>
            </w:pPr>
            <w:r>
              <w:rPr>
                <w:noProof/>
              </w:rPr>
              <w:t>6.16</w:t>
            </w:r>
          </w:p>
        </w:tc>
        <w:tc>
          <w:tcPr>
            <w:tcW w:w="1760" w:type="dxa"/>
            <w:tcBorders>
              <w:top w:val="nil"/>
              <w:left w:val="nil"/>
              <w:bottom w:val="single" w:sz="4" w:space="0" w:color="auto"/>
              <w:right w:val="single" w:sz="4" w:space="0" w:color="auto"/>
            </w:tcBorders>
            <w:shd w:val="clear" w:color="auto" w:fill="C4EFCE"/>
            <w:vAlign w:val="center"/>
            <w:hideMark/>
          </w:tcPr>
          <w:p w14:paraId="4475E3D2" w14:textId="77777777" w:rsidR="00E040FD" w:rsidRDefault="00740D64">
            <w:pPr>
              <w:pStyle w:val="P68B1DB1-Normal23"/>
              <w:spacing w:after="0"/>
              <w:jc w:val="center"/>
              <w:rPr>
                <w:rFonts w:eastAsia="Calibri" w:cs="Calibri"/>
                <w:noProof/>
              </w:rPr>
            </w:pPr>
            <w:r>
              <w:rPr>
                <w:noProof/>
              </w:rPr>
              <w:t xml:space="preserve">RE-C06-r17  </w:t>
            </w:r>
          </w:p>
        </w:tc>
        <w:tc>
          <w:tcPr>
            <w:tcW w:w="1520" w:type="dxa"/>
            <w:tcBorders>
              <w:top w:val="nil"/>
              <w:left w:val="nil"/>
              <w:bottom w:val="single" w:sz="4" w:space="0" w:color="auto"/>
              <w:right w:val="single" w:sz="4" w:space="0" w:color="auto"/>
            </w:tcBorders>
            <w:shd w:val="clear" w:color="auto" w:fill="C4EFCE"/>
            <w:vAlign w:val="center"/>
            <w:hideMark/>
          </w:tcPr>
          <w:p w14:paraId="79B1C5E7"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4022E39" w14:textId="77777777" w:rsidR="00E040FD" w:rsidRDefault="00740D64">
            <w:pPr>
              <w:pStyle w:val="P68B1DB1-Normal23"/>
              <w:spacing w:after="0"/>
              <w:jc w:val="both"/>
              <w:rPr>
                <w:rFonts w:eastAsia="Calibri" w:cs="Calibri"/>
                <w:noProof/>
              </w:rPr>
            </w:pPr>
            <w:r>
              <w:rPr>
                <w:noProof/>
              </w:rPr>
              <w:t>Ikraftträdande av lagen om plattformsarbete</w:t>
            </w:r>
          </w:p>
        </w:tc>
      </w:tr>
      <w:tr w:rsidR="00E040FD" w14:paraId="38DB135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2C5865" w14:textId="77777777" w:rsidR="00E040FD" w:rsidRDefault="00740D64">
            <w:pPr>
              <w:pStyle w:val="P68B1DB1-Normal23"/>
              <w:spacing w:after="0"/>
              <w:jc w:val="center"/>
              <w:rPr>
                <w:rFonts w:eastAsia="Calibri" w:cs="Calibri"/>
                <w:noProof/>
              </w:rPr>
            </w:pPr>
            <w:r>
              <w:rPr>
                <w:noProof/>
              </w:rPr>
              <w:t>8.10</w:t>
            </w:r>
          </w:p>
        </w:tc>
        <w:tc>
          <w:tcPr>
            <w:tcW w:w="1760" w:type="dxa"/>
            <w:tcBorders>
              <w:top w:val="nil"/>
              <w:left w:val="nil"/>
              <w:bottom w:val="single" w:sz="4" w:space="0" w:color="auto"/>
              <w:right w:val="single" w:sz="4" w:space="0" w:color="auto"/>
            </w:tcBorders>
            <w:shd w:val="clear" w:color="auto" w:fill="C4EFCE"/>
            <w:vAlign w:val="center"/>
            <w:hideMark/>
          </w:tcPr>
          <w:p w14:paraId="204806AA" w14:textId="77777777" w:rsidR="00E040FD" w:rsidRDefault="00740D64">
            <w:pPr>
              <w:pStyle w:val="P68B1DB1-Normal23"/>
              <w:spacing w:after="0"/>
              <w:jc w:val="center"/>
              <w:rPr>
                <w:rFonts w:eastAsia="Calibri" w:cs="Calibri"/>
                <w:noProof/>
              </w:rPr>
            </w:pPr>
            <w:r>
              <w:rPr>
                <w:noProof/>
              </w:rPr>
              <w:t xml:space="preserve">RE-C08-i04  </w:t>
            </w:r>
          </w:p>
        </w:tc>
        <w:tc>
          <w:tcPr>
            <w:tcW w:w="1520" w:type="dxa"/>
            <w:tcBorders>
              <w:top w:val="nil"/>
              <w:left w:val="nil"/>
              <w:bottom w:val="single" w:sz="4" w:space="0" w:color="auto"/>
              <w:right w:val="single" w:sz="4" w:space="0" w:color="auto"/>
            </w:tcBorders>
            <w:shd w:val="clear" w:color="auto" w:fill="C4EFCE"/>
            <w:vAlign w:val="center"/>
            <w:hideMark/>
          </w:tcPr>
          <w:p w14:paraId="063477C9"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E40D33" w14:textId="77777777" w:rsidR="00E040FD" w:rsidRDefault="00740D64">
            <w:pPr>
              <w:pStyle w:val="P68B1DB1-Normal23"/>
              <w:spacing w:after="0"/>
              <w:jc w:val="both"/>
              <w:rPr>
                <w:rFonts w:eastAsia="Calibri" w:cs="Calibri"/>
                <w:noProof/>
              </w:rPr>
            </w:pPr>
            <w:r>
              <w:rPr>
                <w:noProof/>
              </w:rPr>
              <w:t>Leverans av fordon, maskiner och utrustning</w:t>
            </w:r>
          </w:p>
        </w:tc>
      </w:tr>
      <w:tr w:rsidR="00E040FD" w14:paraId="74B7890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814107" w14:textId="77777777" w:rsidR="00E040FD" w:rsidRDefault="00740D64">
            <w:pPr>
              <w:pStyle w:val="P68B1DB1-Normal23"/>
              <w:spacing w:after="0"/>
              <w:jc w:val="center"/>
              <w:rPr>
                <w:rFonts w:eastAsia="Calibri" w:cs="Calibri"/>
                <w:noProof/>
              </w:rPr>
            </w:pPr>
            <w:r>
              <w:rPr>
                <w:noProof/>
              </w:rPr>
              <w:t>17.22</w:t>
            </w:r>
          </w:p>
        </w:tc>
        <w:tc>
          <w:tcPr>
            <w:tcW w:w="1760" w:type="dxa"/>
            <w:tcBorders>
              <w:top w:val="nil"/>
              <w:left w:val="nil"/>
              <w:bottom w:val="single" w:sz="4" w:space="0" w:color="auto"/>
              <w:right w:val="single" w:sz="4" w:space="0" w:color="auto"/>
            </w:tcBorders>
            <w:shd w:val="clear" w:color="auto" w:fill="C4EFCE"/>
            <w:vAlign w:val="center"/>
            <w:hideMark/>
          </w:tcPr>
          <w:p w14:paraId="44A87645" w14:textId="1EE980F9" w:rsidR="00E040FD" w:rsidRDefault="00740D64">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0DCE0EE9"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51EABF4" w14:textId="77777777" w:rsidR="00E040FD" w:rsidRDefault="00740D64">
            <w:pPr>
              <w:pStyle w:val="P68B1DB1-Normal23"/>
              <w:spacing w:after="0"/>
              <w:jc w:val="both"/>
              <w:rPr>
                <w:rFonts w:eastAsia="Calibri" w:cs="Calibri"/>
                <w:noProof/>
              </w:rPr>
            </w:pPr>
            <w:r>
              <w:rPr>
                <w:noProof/>
              </w:rPr>
              <w:t>Ikraftträdande av en rättsakt som ändrar den rättsliga ramen för utvalda skatteförmåner</w:t>
            </w:r>
          </w:p>
        </w:tc>
      </w:tr>
      <w:tr w:rsidR="00E040FD" w14:paraId="2E70FE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10C622" w14:textId="77777777" w:rsidR="00E040FD" w:rsidRDefault="00740D64">
            <w:pPr>
              <w:pStyle w:val="P68B1DB1-Normal23"/>
              <w:spacing w:after="0"/>
              <w:jc w:val="center"/>
              <w:rPr>
                <w:rFonts w:eastAsia="Calibri" w:cs="Calibri"/>
                <w:noProof/>
              </w:rPr>
            </w:pPr>
            <w:r>
              <w:rPr>
                <w:noProof/>
              </w:rPr>
              <w:t>18.1</w:t>
            </w:r>
          </w:p>
        </w:tc>
        <w:tc>
          <w:tcPr>
            <w:tcW w:w="1760" w:type="dxa"/>
            <w:tcBorders>
              <w:top w:val="nil"/>
              <w:left w:val="nil"/>
              <w:bottom w:val="single" w:sz="4" w:space="0" w:color="auto"/>
              <w:right w:val="single" w:sz="4" w:space="0" w:color="auto"/>
            </w:tcBorders>
            <w:shd w:val="clear" w:color="auto" w:fill="C4EFCE"/>
            <w:vAlign w:val="center"/>
            <w:hideMark/>
          </w:tcPr>
          <w:p w14:paraId="5E8DD21A" w14:textId="77777777" w:rsidR="00E040FD" w:rsidRDefault="00740D64">
            <w:pPr>
              <w:pStyle w:val="P68B1DB1-Normal23"/>
              <w:spacing w:after="0"/>
              <w:jc w:val="center"/>
              <w:rPr>
                <w:rFonts w:eastAsia="Calibri" w:cs="Calibri"/>
                <w:noProof/>
              </w:rPr>
            </w:pPr>
            <w:r>
              <w:rPr>
                <w:noProof/>
              </w:rPr>
              <w:t xml:space="preserve">TD-C18-r33  </w:t>
            </w:r>
          </w:p>
        </w:tc>
        <w:tc>
          <w:tcPr>
            <w:tcW w:w="1520" w:type="dxa"/>
            <w:tcBorders>
              <w:top w:val="nil"/>
              <w:left w:val="nil"/>
              <w:bottom w:val="single" w:sz="4" w:space="0" w:color="auto"/>
              <w:right w:val="single" w:sz="4" w:space="0" w:color="auto"/>
            </w:tcBorders>
            <w:shd w:val="clear" w:color="auto" w:fill="C4EFCE"/>
            <w:vAlign w:val="center"/>
            <w:hideMark/>
          </w:tcPr>
          <w:p w14:paraId="01C221CA"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F96FCE8" w14:textId="77777777" w:rsidR="00E040FD" w:rsidRDefault="00740D64">
            <w:pPr>
              <w:pStyle w:val="P68B1DB1-Normal23"/>
              <w:spacing w:after="0"/>
              <w:jc w:val="both"/>
              <w:rPr>
                <w:rFonts w:eastAsia="Calibri" w:cs="Calibri"/>
                <w:noProof/>
              </w:rPr>
            </w:pPr>
            <w:r>
              <w:rPr>
                <w:noProof/>
              </w:rPr>
              <w:t>Inrättande av specialiserade avdelningar i högre förvaltnings- och skattedomstolar</w:t>
            </w:r>
          </w:p>
        </w:tc>
      </w:tr>
      <w:tr w:rsidR="00E040FD" w14:paraId="09209F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DDFB55" w14:textId="77777777" w:rsidR="00E040FD" w:rsidRDefault="00740D64">
            <w:pPr>
              <w:pStyle w:val="P68B1DB1-Normal23"/>
              <w:spacing w:after="0"/>
              <w:jc w:val="center"/>
              <w:rPr>
                <w:rFonts w:eastAsia="Calibri" w:cs="Calibri"/>
                <w:noProof/>
              </w:rPr>
            </w:pPr>
            <w:r>
              <w:rPr>
                <w:noProof/>
              </w:rPr>
              <w:t>18.2</w:t>
            </w:r>
          </w:p>
        </w:tc>
        <w:tc>
          <w:tcPr>
            <w:tcW w:w="1760" w:type="dxa"/>
            <w:tcBorders>
              <w:top w:val="nil"/>
              <w:left w:val="nil"/>
              <w:bottom w:val="single" w:sz="4" w:space="0" w:color="auto"/>
              <w:right w:val="single" w:sz="4" w:space="0" w:color="auto"/>
            </w:tcBorders>
            <w:shd w:val="clear" w:color="auto" w:fill="C4EFCE"/>
            <w:vAlign w:val="center"/>
            <w:hideMark/>
          </w:tcPr>
          <w:p w14:paraId="41FFD441" w14:textId="77777777" w:rsidR="00E040FD" w:rsidRDefault="00740D64">
            <w:pPr>
              <w:pStyle w:val="P68B1DB1-Normal23"/>
              <w:spacing w:after="0"/>
              <w:jc w:val="center"/>
              <w:rPr>
                <w:rFonts w:eastAsia="Calibri" w:cs="Calibri"/>
                <w:noProof/>
              </w:rPr>
            </w:pPr>
            <w:r>
              <w:rPr>
                <w:noProof/>
              </w:rPr>
              <w:t xml:space="preserve">TD-C18-r33  </w:t>
            </w:r>
          </w:p>
        </w:tc>
        <w:tc>
          <w:tcPr>
            <w:tcW w:w="1520" w:type="dxa"/>
            <w:tcBorders>
              <w:top w:val="nil"/>
              <w:left w:val="nil"/>
              <w:bottom w:val="single" w:sz="4" w:space="0" w:color="auto"/>
              <w:right w:val="single" w:sz="4" w:space="0" w:color="auto"/>
            </w:tcBorders>
            <w:shd w:val="clear" w:color="auto" w:fill="C4EFCE"/>
            <w:vAlign w:val="center"/>
            <w:hideMark/>
          </w:tcPr>
          <w:p w14:paraId="0E7E9C6E"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A43E122" w14:textId="77777777" w:rsidR="00E040FD" w:rsidRDefault="00740D64">
            <w:pPr>
              <w:pStyle w:val="P68B1DB1-Normal23"/>
              <w:spacing w:after="0"/>
              <w:jc w:val="both"/>
              <w:rPr>
                <w:rFonts w:eastAsia="Calibri" w:cs="Calibri"/>
                <w:noProof/>
              </w:rPr>
            </w:pPr>
            <w:r>
              <w:rPr>
                <w:noProof/>
              </w:rPr>
              <w:t>Ikraftträdande av en rättslig ordning för att uppmuntra tvistlösning i och utanför domstol</w:t>
            </w:r>
          </w:p>
        </w:tc>
      </w:tr>
      <w:tr w:rsidR="00E040FD" w14:paraId="3A1781E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394F780" w14:textId="77777777" w:rsidR="00E040FD" w:rsidRDefault="00740D64">
            <w:pPr>
              <w:pStyle w:val="P68B1DB1-Normal8"/>
              <w:spacing w:after="0"/>
              <w:jc w:val="center"/>
              <w:rPr>
                <w:noProof/>
              </w:rPr>
            </w:pPr>
            <w:r>
              <w:rPr>
                <w:noProof/>
              </w:rPr>
              <w:t xml:space="preserve">  </w:t>
            </w:r>
          </w:p>
        </w:tc>
        <w:tc>
          <w:tcPr>
            <w:tcW w:w="1760" w:type="dxa"/>
            <w:tcBorders>
              <w:top w:val="nil"/>
              <w:left w:val="nil"/>
              <w:bottom w:val="single" w:sz="4" w:space="0" w:color="auto"/>
              <w:right w:val="single" w:sz="4" w:space="0" w:color="auto"/>
            </w:tcBorders>
            <w:shd w:val="clear" w:color="auto" w:fill="C4EFCE"/>
            <w:vAlign w:val="center"/>
            <w:hideMark/>
          </w:tcPr>
          <w:p w14:paraId="44E7D433" w14:textId="77777777" w:rsidR="00E040FD" w:rsidRDefault="00740D64">
            <w:pPr>
              <w:pStyle w:val="P68B1DB1-Normal8"/>
              <w:spacing w:after="0"/>
              <w:jc w:val="center"/>
              <w:rPr>
                <w:noProof/>
              </w:rPr>
            </w:pPr>
            <w:r>
              <w:rPr>
                <w:noProof/>
              </w:rPr>
              <w:t xml:space="preserve">  </w:t>
            </w:r>
          </w:p>
        </w:tc>
        <w:tc>
          <w:tcPr>
            <w:tcW w:w="1520" w:type="dxa"/>
            <w:tcBorders>
              <w:top w:val="nil"/>
              <w:left w:val="nil"/>
              <w:bottom w:val="single" w:sz="4" w:space="0" w:color="auto"/>
              <w:right w:val="single" w:sz="4" w:space="0" w:color="auto"/>
            </w:tcBorders>
            <w:shd w:val="clear" w:color="auto" w:fill="C4EFCE"/>
            <w:vAlign w:val="center"/>
            <w:hideMark/>
          </w:tcPr>
          <w:p w14:paraId="0CC4752F" w14:textId="77777777" w:rsidR="00E040FD" w:rsidRDefault="00740D64">
            <w:pPr>
              <w:pStyle w:val="P68B1DB1-Normal24"/>
              <w:spacing w:after="0"/>
              <w:jc w:val="center"/>
              <w:rPr>
                <w:noProof/>
              </w:rPr>
            </w:pPr>
            <w:r>
              <w:rPr>
                <w:noProof/>
              </w:rPr>
              <w:t xml:space="preserve">Delbetalning, belopp </w:t>
            </w:r>
          </w:p>
        </w:tc>
        <w:tc>
          <w:tcPr>
            <w:tcW w:w="5060" w:type="dxa"/>
            <w:tcBorders>
              <w:top w:val="nil"/>
              <w:left w:val="nil"/>
              <w:bottom w:val="single" w:sz="4" w:space="0" w:color="auto"/>
              <w:right w:val="single" w:sz="4" w:space="0" w:color="auto"/>
            </w:tcBorders>
            <w:shd w:val="clear" w:color="auto" w:fill="C4EFCE"/>
            <w:vAlign w:val="center"/>
            <w:hideMark/>
          </w:tcPr>
          <w:p w14:paraId="67D03894" w14:textId="4661012E" w:rsidR="00E040FD" w:rsidRDefault="00740D64">
            <w:pPr>
              <w:pStyle w:val="P68B1DB1-Normal25"/>
              <w:spacing w:after="0"/>
              <w:jc w:val="center"/>
              <w:rPr>
                <w:noProof/>
              </w:rPr>
            </w:pPr>
            <w:r>
              <w:rPr>
                <w:noProof/>
              </w:rPr>
              <w:t xml:space="preserve"> 937 165 319 EUR </w:t>
            </w:r>
          </w:p>
        </w:tc>
      </w:tr>
    </w:tbl>
    <w:p w14:paraId="32E013C0" w14:textId="77777777" w:rsidR="00E040FD" w:rsidRDefault="00E040FD">
      <w:pPr>
        <w:rPr>
          <w:noProof/>
        </w:rPr>
      </w:pPr>
    </w:p>
    <w:p w14:paraId="59627E7F"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p w14:paraId="329BAE7F"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Femte betalningsansökan (icke återbetalningspliktigt stöd): </w:t>
      </w:r>
    </w:p>
    <w:p w14:paraId="1982083E"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94"/>
        <w:gridCol w:w="1746"/>
        <w:gridCol w:w="1512"/>
        <w:gridCol w:w="4988"/>
      </w:tblGrid>
      <w:tr w:rsidR="00E040FD" w14:paraId="6670DD18"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82FEA7"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8701520"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E738E7"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77ECC4F"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1A126B1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2DEDF3A" w14:textId="77777777" w:rsidR="00E040FD" w:rsidRDefault="00740D64">
            <w:pPr>
              <w:pStyle w:val="P68B1DB1-Normal23"/>
              <w:spacing w:after="0"/>
              <w:jc w:val="center"/>
              <w:rPr>
                <w:rFonts w:eastAsia="Calibri" w:cs="Calibri"/>
                <w:noProof/>
              </w:rPr>
            </w:pPr>
            <w:r>
              <w:rPr>
                <w:noProof/>
              </w:rPr>
              <w:t>1.2</w:t>
            </w:r>
          </w:p>
        </w:tc>
        <w:tc>
          <w:tcPr>
            <w:tcW w:w="1760" w:type="dxa"/>
            <w:tcBorders>
              <w:top w:val="nil"/>
              <w:left w:val="nil"/>
              <w:bottom w:val="single" w:sz="4" w:space="0" w:color="auto"/>
              <w:right w:val="single" w:sz="4" w:space="0" w:color="auto"/>
            </w:tcBorders>
            <w:shd w:val="clear" w:color="auto" w:fill="C4EFCE"/>
            <w:vAlign w:val="center"/>
            <w:hideMark/>
          </w:tcPr>
          <w:p w14:paraId="0B267111" w14:textId="77777777" w:rsidR="00E040FD" w:rsidRDefault="00740D64">
            <w:pPr>
              <w:pStyle w:val="P68B1DB1-Normal23"/>
              <w:spacing w:after="0"/>
              <w:jc w:val="center"/>
              <w:rPr>
                <w:rFonts w:eastAsia="Calibri" w:cs="Calibri"/>
                <w:noProof/>
              </w:rPr>
            </w:pPr>
            <w:r>
              <w:rPr>
                <w:noProof/>
              </w:rPr>
              <w:t xml:space="preserve">RE-C01-i01  </w:t>
            </w:r>
          </w:p>
        </w:tc>
        <w:tc>
          <w:tcPr>
            <w:tcW w:w="1520" w:type="dxa"/>
            <w:tcBorders>
              <w:top w:val="nil"/>
              <w:left w:val="nil"/>
              <w:bottom w:val="single" w:sz="4" w:space="0" w:color="auto"/>
              <w:right w:val="single" w:sz="4" w:space="0" w:color="auto"/>
            </w:tcBorders>
            <w:shd w:val="clear" w:color="auto" w:fill="C4EFCE"/>
            <w:vAlign w:val="center"/>
            <w:hideMark/>
          </w:tcPr>
          <w:p w14:paraId="5CCC471B"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D0BDE9" w14:textId="77777777" w:rsidR="00E040FD" w:rsidRDefault="00740D64">
            <w:pPr>
              <w:pStyle w:val="P68B1DB1-Normal23"/>
              <w:spacing w:after="0"/>
              <w:jc w:val="both"/>
              <w:rPr>
                <w:rFonts w:eastAsia="Calibri" w:cs="Calibri"/>
                <w:noProof/>
              </w:rPr>
            </w:pPr>
            <w:r>
              <w:rPr>
                <w:noProof/>
              </w:rPr>
              <w:t>Tillhandahållande av tillgång till riskstratifieringsinstrumentet för att stödja den kliniska styrningen i de funktionella enheterna i vårdcentralsgrupperna</w:t>
            </w:r>
          </w:p>
        </w:tc>
      </w:tr>
      <w:tr w:rsidR="00E040FD" w14:paraId="625203C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FA303DB" w14:textId="77777777" w:rsidR="00E040FD" w:rsidRDefault="00740D64">
            <w:pPr>
              <w:pStyle w:val="P68B1DB1-Normal23"/>
              <w:spacing w:after="0"/>
              <w:jc w:val="center"/>
              <w:rPr>
                <w:rFonts w:eastAsia="Calibri" w:cs="Calibri"/>
                <w:noProof/>
              </w:rPr>
            </w:pPr>
            <w:r>
              <w:rPr>
                <w:noProof/>
              </w:rPr>
              <w:t>1.40</w:t>
            </w:r>
          </w:p>
        </w:tc>
        <w:tc>
          <w:tcPr>
            <w:tcW w:w="1760" w:type="dxa"/>
            <w:tcBorders>
              <w:top w:val="nil"/>
              <w:left w:val="nil"/>
              <w:bottom w:val="single" w:sz="4" w:space="0" w:color="auto"/>
              <w:right w:val="single" w:sz="4" w:space="0" w:color="auto"/>
            </w:tcBorders>
            <w:shd w:val="clear" w:color="auto" w:fill="C4EFCE"/>
            <w:vAlign w:val="center"/>
            <w:hideMark/>
          </w:tcPr>
          <w:p w14:paraId="3BD7D2BC" w14:textId="77777777" w:rsidR="00E040FD" w:rsidRDefault="00740D64">
            <w:pPr>
              <w:pStyle w:val="P68B1DB1-Normal23"/>
              <w:spacing w:after="0"/>
              <w:jc w:val="center"/>
              <w:rPr>
                <w:rFonts w:eastAsia="Calibri" w:cs="Calibri"/>
                <w:noProof/>
              </w:rPr>
            </w:pPr>
            <w:r>
              <w:rPr>
                <w:noProof/>
              </w:rPr>
              <w:t>RE-C01-i04</w:t>
            </w:r>
          </w:p>
        </w:tc>
        <w:tc>
          <w:tcPr>
            <w:tcW w:w="1520" w:type="dxa"/>
            <w:tcBorders>
              <w:top w:val="nil"/>
              <w:left w:val="nil"/>
              <w:bottom w:val="single" w:sz="4" w:space="0" w:color="auto"/>
              <w:right w:val="single" w:sz="4" w:space="0" w:color="auto"/>
            </w:tcBorders>
            <w:shd w:val="clear" w:color="auto" w:fill="C4EFCE"/>
            <w:vAlign w:val="center"/>
            <w:hideMark/>
          </w:tcPr>
          <w:p w14:paraId="61BC3888"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CD1A921" w14:textId="2016AD4F" w:rsidR="00E040FD" w:rsidRDefault="00740D64">
            <w:pPr>
              <w:pStyle w:val="P68B1DB1-Normal23"/>
              <w:spacing w:after="0"/>
              <w:jc w:val="both"/>
              <w:rPr>
                <w:rFonts w:eastAsia="Calibri" w:cs="Calibri"/>
                <w:noProof/>
              </w:rPr>
            </w:pPr>
            <w:r>
              <w:rPr>
                <w:noProof/>
              </w:rPr>
              <w:t>Undertecknande av förvaltningskontraktet för byggandet av sjukhuset i östra Lissabon</w:t>
            </w:r>
          </w:p>
        </w:tc>
      </w:tr>
      <w:tr w:rsidR="00E040FD" w14:paraId="4B53C6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F687469" w14:textId="77777777" w:rsidR="00E040FD" w:rsidRDefault="00740D64">
            <w:pPr>
              <w:pStyle w:val="P68B1DB1-Normal23"/>
              <w:spacing w:after="0"/>
              <w:jc w:val="center"/>
              <w:rPr>
                <w:rFonts w:eastAsia="Calibri" w:cs="Calibri"/>
                <w:noProof/>
              </w:rPr>
            </w:pPr>
            <w:r>
              <w:rPr>
                <w:noProof/>
              </w:rPr>
              <w:t>1.41</w:t>
            </w:r>
          </w:p>
        </w:tc>
        <w:tc>
          <w:tcPr>
            <w:tcW w:w="1760" w:type="dxa"/>
            <w:tcBorders>
              <w:top w:val="nil"/>
              <w:left w:val="nil"/>
              <w:bottom w:val="single" w:sz="4" w:space="0" w:color="auto"/>
              <w:right w:val="single" w:sz="4" w:space="0" w:color="auto"/>
            </w:tcBorders>
            <w:shd w:val="clear" w:color="auto" w:fill="C4EFCE"/>
            <w:vAlign w:val="center"/>
            <w:hideMark/>
          </w:tcPr>
          <w:p w14:paraId="6546CF09" w14:textId="77777777" w:rsidR="00E040FD" w:rsidRDefault="00740D64">
            <w:pPr>
              <w:pStyle w:val="P68B1DB1-Normal23"/>
              <w:spacing w:after="0"/>
              <w:jc w:val="center"/>
              <w:rPr>
                <w:rFonts w:eastAsia="Calibri" w:cs="Calibri"/>
                <w:noProof/>
              </w:rPr>
            </w:pPr>
            <w:r>
              <w:rPr>
                <w:noProof/>
              </w:rPr>
              <w:t>RE-C01-i10</w:t>
            </w:r>
          </w:p>
        </w:tc>
        <w:tc>
          <w:tcPr>
            <w:tcW w:w="1520" w:type="dxa"/>
            <w:tcBorders>
              <w:top w:val="nil"/>
              <w:left w:val="nil"/>
              <w:bottom w:val="single" w:sz="4" w:space="0" w:color="auto"/>
              <w:right w:val="single" w:sz="4" w:space="0" w:color="auto"/>
            </w:tcBorders>
            <w:shd w:val="clear" w:color="auto" w:fill="C4EFCE"/>
            <w:vAlign w:val="center"/>
            <w:hideMark/>
          </w:tcPr>
          <w:p w14:paraId="688185E0"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BF9DB02" w14:textId="77777777" w:rsidR="00E040FD" w:rsidRDefault="00740D64">
            <w:pPr>
              <w:pStyle w:val="P68B1DB1-Normal23"/>
              <w:spacing w:after="0"/>
              <w:jc w:val="both"/>
              <w:rPr>
                <w:rFonts w:eastAsia="Calibri" w:cs="Calibri"/>
                <w:noProof/>
              </w:rPr>
            </w:pPr>
            <w:r>
              <w:rPr>
                <w:noProof/>
              </w:rPr>
              <w:t>Godkännande av rapporten om NHS behov av tung medicinsk utrustning</w:t>
            </w:r>
          </w:p>
        </w:tc>
      </w:tr>
      <w:tr w:rsidR="00E040FD" w14:paraId="370C58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F2F01E" w14:textId="77777777" w:rsidR="00E040FD" w:rsidRDefault="00740D64">
            <w:pPr>
              <w:pStyle w:val="P68B1DB1-Normal23"/>
              <w:spacing w:after="0"/>
              <w:jc w:val="center"/>
              <w:rPr>
                <w:rFonts w:eastAsia="Calibri" w:cs="Calibri"/>
                <w:noProof/>
              </w:rPr>
            </w:pPr>
            <w:r>
              <w:rPr>
                <w:noProof/>
              </w:rPr>
              <w:t>2.2</w:t>
            </w:r>
          </w:p>
        </w:tc>
        <w:tc>
          <w:tcPr>
            <w:tcW w:w="1760" w:type="dxa"/>
            <w:tcBorders>
              <w:top w:val="nil"/>
              <w:left w:val="nil"/>
              <w:bottom w:val="single" w:sz="4" w:space="0" w:color="auto"/>
              <w:right w:val="single" w:sz="4" w:space="0" w:color="auto"/>
            </w:tcBorders>
            <w:shd w:val="clear" w:color="auto" w:fill="C4EFCE"/>
            <w:vAlign w:val="center"/>
            <w:hideMark/>
          </w:tcPr>
          <w:p w14:paraId="6DF2A402" w14:textId="77777777" w:rsidR="00E040FD" w:rsidRDefault="00740D64">
            <w:pPr>
              <w:pStyle w:val="P68B1DB1-Normal23"/>
              <w:spacing w:after="0"/>
              <w:jc w:val="center"/>
              <w:rPr>
                <w:rFonts w:eastAsia="Calibri" w:cs="Calibri"/>
                <w:noProof/>
              </w:rPr>
            </w:pPr>
            <w:r>
              <w:rPr>
                <w:noProof/>
              </w:rPr>
              <w:t>RE-C01-i10</w:t>
            </w:r>
          </w:p>
        </w:tc>
        <w:tc>
          <w:tcPr>
            <w:tcW w:w="1520" w:type="dxa"/>
            <w:tcBorders>
              <w:top w:val="nil"/>
              <w:left w:val="nil"/>
              <w:bottom w:val="single" w:sz="4" w:space="0" w:color="auto"/>
              <w:right w:val="single" w:sz="4" w:space="0" w:color="auto"/>
            </w:tcBorders>
            <w:shd w:val="clear" w:color="auto" w:fill="C4EFCE"/>
            <w:vAlign w:val="center"/>
            <w:hideMark/>
          </w:tcPr>
          <w:p w14:paraId="108ADD4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57029F" w14:textId="77777777" w:rsidR="00E040FD" w:rsidRDefault="00740D64">
            <w:pPr>
              <w:pStyle w:val="P68B1DB1-Normal23"/>
              <w:spacing w:after="0"/>
              <w:jc w:val="both"/>
              <w:rPr>
                <w:rFonts w:eastAsia="Calibri" w:cs="Calibri"/>
                <w:noProof/>
              </w:rPr>
            </w:pPr>
            <w:r>
              <w:rPr>
                <w:noProof/>
              </w:rPr>
              <w:t>Stödprogram för tillgång till bostäder – inköpta, byggda (hög energieffektivitet) eller renoverade (med förbättrad energiprestanda) bostäder som tillhandahålls hushållen</w:t>
            </w:r>
          </w:p>
        </w:tc>
      </w:tr>
      <w:tr w:rsidR="00E040FD" w14:paraId="3DE77A0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B90A17" w14:textId="77777777" w:rsidR="00E040FD" w:rsidRDefault="00740D64">
            <w:pPr>
              <w:pStyle w:val="P68B1DB1-Normal23"/>
              <w:spacing w:after="0"/>
              <w:jc w:val="center"/>
              <w:rPr>
                <w:rFonts w:eastAsia="Calibri" w:cs="Calibri"/>
                <w:noProof/>
              </w:rPr>
            </w:pPr>
            <w:r>
              <w:rPr>
                <w:noProof/>
              </w:rPr>
              <w:t>2.6</w:t>
            </w:r>
          </w:p>
        </w:tc>
        <w:tc>
          <w:tcPr>
            <w:tcW w:w="1760" w:type="dxa"/>
            <w:tcBorders>
              <w:top w:val="nil"/>
              <w:left w:val="nil"/>
              <w:bottom w:val="single" w:sz="4" w:space="0" w:color="auto"/>
              <w:right w:val="single" w:sz="4" w:space="0" w:color="auto"/>
            </w:tcBorders>
            <w:shd w:val="clear" w:color="auto" w:fill="C4EFCE"/>
            <w:vAlign w:val="center"/>
            <w:hideMark/>
          </w:tcPr>
          <w:p w14:paraId="28C51A54" w14:textId="77777777" w:rsidR="00E040FD" w:rsidRDefault="00740D64">
            <w:pPr>
              <w:pStyle w:val="P68B1DB1-Normal23"/>
              <w:spacing w:after="0"/>
              <w:jc w:val="center"/>
              <w:rPr>
                <w:rFonts w:eastAsia="Calibri" w:cs="Calibri"/>
                <w:noProof/>
              </w:rPr>
            </w:pPr>
            <w:r>
              <w:rPr>
                <w:noProof/>
              </w:rPr>
              <w:t xml:space="preserve">RE-C02-i01  </w:t>
            </w:r>
          </w:p>
        </w:tc>
        <w:tc>
          <w:tcPr>
            <w:tcW w:w="1520" w:type="dxa"/>
            <w:tcBorders>
              <w:top w:val="nil"/>
              <w:left w:val="nil"/>
              <w:bottom w:val="single" w:sz="4" w:space="0" w:color="auto"/>
              <w:right w:val="single" w:sz="4" w:space="0" w:color="auto"/>
            </w:tcBorders>
            <w:shd w:val="clear" w:color="auto" w:fill="C4EFCE"/>
            <w:vAlign w:val="center"/>
            <w:hideMark/>
          </w:tcPr>
          <w:p w14:paraId="2C8FD9A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9E1DBC" w14:textId="04B7C21A" w:rsidR="00E040FD" w:rsidRDefault="00740D64">
            <w:pPr>
              <w:pStyle w:val="P68B1DB1-Normal23"/>
              <w:spacing w:after="0"/>
              <w:jc w:val="both"/>
              <w:rPr>
                <w:rFonts w:eastAsia="Calibri" w:cs="Calibri"/>
                <w:noProof/>
              </w:rPr>
            </w:pPr>
            <w:r>
              <w:rPr>
                <w:noProof/>
              </w:rPr>
              <w:t>Nationellt nödboende och tillfälligt bostadsbidrag – Anläggningar med byggnadsarbeten som påbörjats eller köpts in för nödbostäder och övergångsboenden (som ska byggas eller köpas med energieffektivitetsnorm eller renoveras med förbättrad energiprestanda) under uppförande</w:t>
            </w:r>
          </w:p>
        </w:tc>
      </w:tr>
      <w:tr w:rsidR="00E040FD" w14:paraId="1443E2D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44067DB" w14:textId="77777777" w:rsidR="00E040FD" w:rsidRDefault="00740D64">
            <w:pPr>
              <w:pStyle w:val="P68B1DB1-Normal23"/>
              <w:spacing w:after="0"/>
              <w:jc w:val="center"/>
              <w:rPr>
                <w:rFonts w:eastAsia="Calibri" w:cs="Calibri"/>
                <w:noProof/>
              </w:rPr>
            </w:pPr>
            <w:r>
              <w:rPr>
                <w:noProof/>
              </w:rPr>
              <w:t>2.16</w:t>
            </w:r>
          </w:p>
        </w:tc>
        <w:tc>
          <w:tcPr>
            <w:tcW w:w="1760" w:type="dxa"/>
            <w:tcBorders>
              <w:top w:val="nil"/>
              <w:left w:val="nil"/>
              <w:bottom w:val="single" w:sz="4" w:space="0" w:color="auto"/>
              <w:right w:val="single" w:sz="4" w:space="0" w:color="auto"/>
            </w:tcBorders>
            <w:shd w:val="clear" w:color="auto" w:fill="C4EFCE"/>
            <w:vAlign w:val="center"/>
            <w:hideMark/>
          </w:tcPr>
          <w:p w14:paraId="65DD212F" w14:textId="77777777" w:rsidR="00E040FD" w:rsidRDefault="00740D64">
            <w:pPr>
              <w:pStyle w:val="P68B1DB1-Normal23"/>
              <w:spacing w:after="0"/>
              <w:jc w:val="center"/>
              <w:rPr>
                <w:rFonts w:eastAsia="Calibri" w:cs="Calibri"/>
                <w:noProof/>
              </w:rPr>
            </w:pPr>
            <w:r>
              <w:rPr>
                <w:noProof/>
              </w:rPr>
              <w:t xml:space="preserve">RE-C02-i04-RAA  </w:t>
            </w:r>
          </w:p>
        </w:tc>
        <w:tc>
          <w:tcPr>
            <w:tcW w:w="1520" w:type="dxa"/>
            <w:tcBorders>
              <w:top w:val="nil"/>
              <w:left w:val="nil"/>
              <w:bottom w:val="single" w:sz="4" w:space="0" w:color="auto"/>
              <w:right w:val="single" w:sz="4" w:space="0" w:color="auto"/>
            </w:tcBorders>
            <w:shd w:val="clear" w:color="auto" w:fill="C4EFCE"/>
            <w:vAlign w:val="center"/>
            <w:hideMark/>
          </w:tcPr>
          <w:p w14:paraId="6F4F062D"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5ACE116" w14:textId="77777777" w:rsidR="00E040FD" w:rsidRDefault="00740D64">
            <w:pPr>
              <w:pStyle w:val="P68B1DB1-Normal23"/>
              <w:spacing w:after="0"/>
              <w:jc w:val="both"/>
              <w:rPr>
                <w:rFonts w:eastAsia="Calibri" w:cs="Calibri"/>
                <w:noProof/>
              </w:rPr>
            </w:pPr>
            <w:r>
              <w:rPr>
                <w:noProof/>
              </w:rPr>
              <w:t>Insatser i det offentliga bostadsbeståndet i den autonoma regionen Azorerna – renovering</w:t>
            </w:r>
          </w:p>
        </w:tc>
      </w:tr>
      <w:tr w:rsidR="00E040FD" w14:paraId="3C8F60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B61D70E" w14:textId="77777777" w:rsidR="00E040FD" w:rsidRDefault="00740D64">
            <w:pPr>
              <w:pStyle w:val="P68B1DB1-Normal23"/>
              <w:spacing w:after="0"/>
              <w:jc w:val="center"/>
              <w:rPr>
                <w:rFonts w:eastAsia="Calibri" w:cs="Calibri"/>
                <w:noProof/>
              </w:rPr>
            </w:pPr>
            <w:r>
              <w:rPr>
                <w:noProof/>
              </w:rPr>
              <w:t>4.7</w:t>
            </w:r>
          </w:p>
        </w:tc>
        <w:tc>
          <w:tcPr>
            <w:tcW w:w="1760" w:type="dxa"/>
            <w:tcBorders>
              <w:top w:val="nil"/>
              <w:left w:val="nil"/>
              <w:bottom w:val="single" w:sz="4" w:space="0" w:color="auto"/>
              <w:right w:val="single" w:sz="4" w:space="0" w:color="auto"/>
            </w:tcBorders>
            <w:shd w:val="clear" w:color="auto" w:fill="C4EFCE"/>
            <w:vAlign w:val="center"/>
          </w:tcPr>
          <w:p w14:paraId="4383E71D" w14:textId="77777777" w:rsidR="00E040FD" w:rsidRDefault="00740D64">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tcPr>
          <w:p w14:paraId="364611C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39243198" w14:textId="77777777" w:rsidR="00E040FD" w:rsidRDefault="00740D64">
            <w:pPr>
              <w:pStyle w:val="P68B1DB1-Normal23"/>
              <w:spacing w:after="0"/>
              <w:jc w:val="both"/>
              <w:rPr>
                <w:rFonts w:eastAsia="Calibri" w:cs="Calibri"/>
                <w:noProof/>
              </w:rPr>
            </w:pPr>
            <w:r>
              <w:rPr>
                <w:noProof/>
              </w:rPr>
              <w:t>Undertecknade kontrakt för återställande och bevarande av kulturarvsbyggnader och nationella teatrar</w:t>
            </w:r>
          </w:p>
        </w:tc>
      </w:tr>
      <w:tr w:rsidR="00E040FD" w14:paraId="0E46631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36A3F0B" w14:textId="77777777" w:rsidR="00E040FD" w:rsidRDefault="00740D64">
            <w:pPr>
              <w:pStyle w:val="P68B1DB1-Normal23"/>
              <w:spacing w:after="0"/>
              <w:jc w:val="center"/>
              <w:rPr>
                <w:rFonts w:eastAsia="Calibri" w:cs="Calibri"/>
                <w:noProof/>
              </w:rPr>
            </w:pPr>
            <w:r>
              <w:rPr>
                <w:noProof/>
              </w:rPr>
              <w:t>4.9</w:t>
            </w:r>
          </w:p>
        </w:tc>
        <w:tc>
          <w:tcPr>
            <w:tcW w:w="1760" w:type="dxa"/>
            <w:tcBorders>
              <w:top w:val="nil"/>
              <w:left w:val="nil"/>
              <w:bottom w:val="single" w:sz="4" w:space="0" w:color="auto"/>
              <w:right w:val="single" w:sz="4" w:space="0" w:color="auto"/>
            </w:tcBorders>
            <w:shd w:val="clear" w:color="auto" w:fill="C4EFCE"/>
            <w:vAlign w:val="center"/>
            <w:hideMark/>
          </w:tcPr>
          <w:p w14:paraId="7E0183E0" w14:textId="77777777" w:rsidR="00E040FD" w:rsidRDefault="00740D64">
            <w:pPr>
              <w:pStyle w:val="P68B1DB1-Normal23"/>
              <w:spacing w:after="0"/>
              <w:jc w:val="center"/>
              <w:rPr>
                <w:rFonts w:eastAsia="Calibri" w:cs="Calibri"/>
                <w:noProof/>
              </w:rPr>
            </w:pPr>
            <w:r>
              <w:rPr>
                <w:noProof/>
              </w:rPr>
              <w:t xml:space="preserve">RE-C04-i01  </w:t>
            </w:r>
          </w:p>
        </w:tc>
        <w:tc>
          <w:tcPr>
            <w:tcW w:w="1520" w:type="dxa"/>
            <w:tcBorders>
              <w:top w:val="nil"/>
              <w:left w:val="nil"/>
              <w:bottom w:val="single" w:sz="4" w:space="0" w:color="auto"/>
              <w:right w:val="single" w:sz="4" w:space="0" w:color="auto"/>
            </w:tcBorders>
            <w:shd w:val="clear" w:color="auto" w:fill="C4EFCE"/>
            <w:vAlign w:val="center"/>
            <w:hideMark/>
          </w:tcPr>
          <w:p w14:paraId="1B2D2462"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DD98EC2" w14:textId="77777777" w:rsidR="00E040FD" w:rsidRDefault="00740D64">
            <w:pPr>
              <w:pStyle w:val="P68B1DB1-Normal23"/>
              <w:spacing w:after="0"/>
              <w:jc w:val="both"/>
              <w:rPr>
                <w:rFonts w:eastAsia="Calibri" w:cs="Calibri"/>
                <w:noProof/>
              </w:rPr>
            </w:pPr>
            <w:r>
              <w:rPr>
                <w:noProof/>
              </w:rPr>
              <w:t>Teknisk modernisering av ANIM – National Archive of Moving Images</w:t>
            </w:r>
          </w:p>
        </w:tc>
      </w:tr>
      <w:tr w:rsidR="00E040FD" w14:paraId="11D11A0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D538507" w14:textId="77777777" w:rsidR="00E040FD" w:rsidRDefault="00740D64">
            <w:pPr>
              <w:pStyle w:val="P68B1DB1-Normal23"/>
              <w:spacing w:after="0"/>
              <w:jc w:val="center"/>
              <w:rPr>
                <w:rFonts w:eastAsia="Calibri" w:cs="Calibri"/>
                <w:noProof/>
              </w:rPr>
            </w:pPr>
            <w:r>
              <w:rPr>
                <w:noProof/>
              </w:rPr>
              <w:t>6.3</w:t>
            </w:r>
          </w:p>
        </w:tc>
        <w:tc>
          <w:tcPr>
            <w:tcW w:w="1760" w:type="dxa"/>
            <w:tcBorders>
              <w:top w:val="nil"/>
              <w:left w:val="nil"/>
              <w:bottom w:val="single" w:sz="4" w:space="0" w:color="auto"/>
              <w:right w:val="single" w:sz="4" w:space="0" w:color="auto"/>
            </w:tcBorders>
            <w:shd w:val="clear" w:color="auto" w:fill="C4EFCE"/>
            <w:vAlign w:val="center"/>
            <w:hideMark/>
          </w:tcPr>
          <w:p w14:paraId="48232F11" w14:textId="77777777" w:rsidR="00E040FD" w:rsidRDefault="00740D64">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08D16AA2"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4F478F4" w14:textId="77777777" w:rsidR="00E040FD" w:rsidRDefault="00740D64">
            <w:pPr>
              <w:pStyle w:val="P68B1DB1-Normal23"/>
              <w:spacing w:after="0"/>
              <w:jc w:val="both"/>
              <w:rPr>
                <w:rFonts w:eastAsia="Calibri" w:cs="Calibri"/>
                <w:noProof/>
              </w:rPr>
            </w:pPr>
            <w:r>
              <w:rPr>
                <w:noProof/>
              </w:rPr>
              <w:t>Uppgraderade utbildningsstationer</w:t>
            </w:r>
          </w:p>
        </w:tc>
      </w:tr>
      <w:tr w:rsidR="00E040FD" w14:paraId="11B5A5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DDF91C0" w14:textId="77777777" w:rsidR="00E040FD" w:rsidRDefault="00740D64">
            <w:pPr>
              <w:pStyle w:val="P68B1DB1-Normal23"/>
              <w:spacing w:after="0"/>
              <w:jc w:val="center"/>
              <w:rPr>
                <w:rFonts w:eastAsia="Calibri" w:cs="Calibri"/>
                <w:noProof/>
              </w:rPr>
            </w:pPr>
            <w:r>
              <w:rPr>
                <w:noProof/>
              </w:rPr>
              <w:t>7.14</w:t>
            </w:r>
          </w:p>
        </w:tc>
        <w:tc>
          <w:tcPr>
            <w:tcW w:w="1760" w:type="dxa"/>
            <w:tcBorders>
              <w:top w:val="nil"/>
              <w:left w:val="nil"/>
              <w:bottom w:val="single" w:sz="4" w:space="0" w:color="auto"/>
              <w:right w:val="single" w:sz="4" w:space="0" w:color="auto"/>
            </w:tcBorders>
            <w:shd w:val="clear" w:color="auto" w:fill="C4EFCE"/>
            <w:vAlign w:val="center"/>
            <w:hideMark/>
          </w:tcPr>
          <w:p w14:paraId="24E7301E" w14:textId="77777777" w:rsidR="00E040FD" w:rsidRDefault="00740D64">
            <w:pPr>
              <w:pStyle w:val="P68B1DB1-Normal23"/>
              <w:spacing w:after="0"/>
              <w:jc w:val="center"/>
              <w:rPr>
                <w:rFonts w:eastAsia="Calibri" w:cs="Calibri"/>
                <w:noProof/>
              </w:rPr>
            </w:pPr>
            <w:r>
              <w:rPr>
                <w:noProof/>
              </w:rPr>
              <w:t>RE-C07-i05-RAA</w:t>
            </w:r>
          </w:p>
        </w:tc>
        <w:tc>
          <w:tcPr>
            <w:tcW w:w="1520" w:type="dxa"/>
            <w:tcBorders>
              <w:top w:val="nil"/>
              <w:left w:val="nil"/>
              <w:bottom w:val="single" w:sz="4" w:space="0" w:color="auto"/>
              <w:right w:val="single" w:sz="4" w:space="0" w:color="auto"/>
            </w:tcBorders>
            <w:shd w:val="clear" w:color="auto" w:fill="C4EFCE"/>
            <w:vAlign w:val="center"/>
            <w:hideMark/>
          </w:tcPr>
          <w:p w14:paraId="542DBFAC"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A1EFBFA" w14:textId="77777777" w:rsidR="00E040FD" w:rsidRDefault="00740D64">
            <w:pPr>
              <w:pStyle w:val="P68B1DB1-Normal23"/>
              <w:spacing w:after="0"/>
              <w:jc w:val="both"/>
              <w:rPr>
                <w:rFonts w:eastAsia="Calibri" w:cs="Calibri"/>
                <w:noProof/>
              </w:rPr>
            </w:pPr>
            <w:r>
              <w:rPr>
                <w:noProof/>
              </w:rPr>
              <w:t>Kontrakt undertecknat för 8 vägprojekt</w:t>
            </w:r>
          </w:p>
        </w:tc>
      </w:tr>
      <w:tr w:rsidR="00E040FD" w14:paraId="0D73086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9AE6C3" w14:textId="77777777" w:rsidR="00E040FD" w:rsidRDefault="00740D64">
            <w:pPr>
              <w:pStyle w:val="P68B1DB1-Normal23"/>
              <w:spacing w:after="0"/>
              <w:jc w:val="center"/>
              <w:rPr>
                <w:rFonts w:eastAsia="Calibri" w:cs="Calibri"/>
                <w:noProof/>
              </w:rPr>
            </w:pPr>
            <w:r>
              <w:rPr>
                <w:noProof/>
              </w:rPr>
              <w:t>8.5</w:t>
            </w:r>
          </w:p>
        </w:tc>
        <w:tc>
          <w:tcPr>
            <w:tcW w:w="1760" w:type="dxa"/>
            <w:tcBorders>
              <w:top w:val="nil"/>
              <w:left w:val="nil"/>
              <w:bottom w:val="single" w:sz="4" w:space="0" w:color="auto"/>
              <w:right w:val="single" w:sz="4" w:space="0" w:color="auto"/>
            </w:tcBorders>
            <w:shd w:val="clear" w:color="auto" w:fill="C4EFCE"/>
            <w:vAlign w:val="center"/>
            <w:hideMark/>
          </w:tcPr>
          <w:p w14:paraId="51937059" w14:textId="77777777" w:rsidR="00E040FD" w:rsidRDefault="00740D64">
            <w:pPr>
              <w:pStyle w:val="P68B1DB1-Normal23"/>
              <w:spacing w:after="0"/>
              <w:jc w:val="center"/>
              <w:rPr>
                <w:rFonts w:eastAsia="Calibri" w:cs="Calibri"/>
                <w:noProof/>
              </w:rPr>
            </w:pPr>
            <w:r>
              <w:rPr>
                <w:noProof/>
              </w:rPr>
              <w:t>RE-C08-i02</w:t>
            </w:r>
          </w:p>
        </w:tc>
        <w:tc>
          <w:tcPr>
            <w:tcW w:w="1520" w:type="dxa"/>
            <w:tcBorders>
              <w:top w:val="nil"/>
              <w:left w:val="nil"/>
              <w:bottom w:val="single" w:sz="4" w:space="0" w:color="auto"/>
              <w:right w:val="single" w:sz="4" w:space="0" w:color="auto"/>
            </w:tcBorders>
            <w:shd w:val="clear" w:color="auto" w:fill="C4EFCE"/>
            <w:vAlign w:val="center"/>
            <w:hideMark/>
          </w:tcPr>
          <w:p w14:paraId="2049F84D"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0C76B7A" w14:textId="77777777" w:rsidR="00E040FD" w:rsidRDefault="00740D64">
            <w:pPr>
              <w:pStyle w:val="P68B1DB1-Normal23"/>
              <w:spacing w:after="0"/>
              <w:jc w:val="both"/>
              <w:rPr>
                <w:rFonts w:eastAsia="Calibri" w:cs="Calibri"/>
                <w:noProof/>
              </w:rPr>
            </w:pPr>
            <w:r>
              <w:rPr>
                <w:noProof/>
              </w:rPr>
              <w:t>Utbildning om BUPi</w:t>
            </w:r>
          </w:p>
        </w:tc>
      </w:tr>
      <w:tr w:rsidR="00E040FD" w14:paraId="674B7DE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172706" w14:textId="77777777" w:rsidR="00E040FD" w:rsidRDefault="00740D64">
            <w:pPr>
              <w:pStyle w:val="P68B1DB1-Normal23"/>
              <w:spacing w:after="0"/>
              <w:jc w:val="center"/>
              <w:rPr>
                <w:rFonts w:eastAsia="Calibri" w:cs="Calibri"/>
                <w:noProof/>
              </w:rPr>
            </w:pPr>
            <w:r>
              <w:rPr>
                <w:noProof/>
              </w:rPr>
              <w:t>8.12</w:t>
            </w:r>
          </w:p>
        </w:tc>
        <w:tc>
          <w:tcPr>
            <w:tcW w:w="1760" w:type="dxa"/>
            <w:tcBorders>
              <w:top w:val="nil"/>
              <w:left w:val="nil"/>
              <w:bottom w:val="single" w:sz="4" w:space="0" w:color="auto"/>
              <w:right w:val="single" w:sz="4" w:space="0" w:color="auto"/>
            </w:tcBorders>
            <w:shd w:val="clear" w:color="auto" w:fill="C4EFCE"/>
            <w:vAlign w:val="center"/>
            <w:hideMark/>
          </w:tcPr>
          <w:p w14:paraId="4040DA76" w14:textId="77777777" w:rsidR="00E040FD" w:rsidRDefault="00740D64">
            <w:pPr>
              <w:pStyle w:val="P68B1DB1-Normal23"/>
              <w:spacing w:after="0"/>
              <w:jc w:val="center"/>
              <w:rPr>
                <w:rFonts w:eastAsia="Calibri" w:cs="Calibri"/>
                <w:noProof/>
              </w:rPr>
            </w:pPr>
            <w:r>
              <w:rPr>
                <w:noProof/>
              </w:rPr>
              <w:t>RE-C08-i04</w:t>
            </w:r>
          </w:p>
        </w:tc>
        <w:tc>
          <w:tcPr>
            <w:tcW w:w="1520" w:type="dxa"/>
            <w:tcBorders>
              <w:top w:val="nil"/>
              <w:left w:val="nil"/>
              <w:bottom w:val="single" w:sz="4" w:space="0" w:color="auto"/>
              <w:right w:val="single" w:sz="4" w:space="0" w:color="auto"/>
            </w:tcBorders>
            <w:shd w:val="clear" w:color="auto" w:fill="C4EFCE"/>
            <w:vAlign w:val="center"/>
            <w:hideMark/>
          </w:tcPr>
          <w:p w14:paraId="1309AD1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415AF6" w14:textId="77777777" w:rsidR="00E040FD" w:rsidRDefault="00740D64">
            <w:pPr>
              <w:pStyle w:val="P68B1DB1-Normal23"/>
              <w:spacing w:after="0"/>
              <w:jc w:val="both"/>
              <w:rPr>
                <w:rFonts w:eastAsia="Calibri" w:cs="Calibri"/>
                <w:noProof/>
              </w:rPr>
            </w:pPr>
            <w:r>
              <w:rPr>
                <w:noProof/>
              </w:rPr>
              <w:t>Installation av dubbla polariseringsradar</w:t>
            </w:r>
          </w:p>
        </w:tc>
      </w:tr>
      <w:tr w:rsidR="00E040FD" w14:paraId="6B5640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629444E" w14:textId="77777777" w:rsidR="00E040FD" w:rsidRDefault="00740D64">
            <w:pPr>
              <w:pStyle w:val="P68B1DB1-Normal23"/>
              <w:spacing w:after="0"/>
              <w:jc w:val="center"/>
              <w:rPr>
                <w:rFonts w:eastAsia="Calibri" w:cs="Calibri"/>
                <w:noProof/>
              </w:rPr>
            </w:pPr>
            <w:r>
              <w:rPr>
                <w:noProof/>
              </w:rPr>
              <w:t>10.8</w:t>
            </w:r>
          </w:p>
        </w:tc>
        <w:tc>
          <w:tcPr>
            <w:tcW w:w="1760" w:type="dxa"/>
            <w:tcBorders>
              <w:top w:val="nil"/>
              <w:left w:val="nil"/>
              <w:bottom w:val="single" w:sz="4" w:space="0" w:color="auto"/>
              <w:right w:val="single" w:sz="4" w:space="0" w:color="auto"/>
            </w:tcBorders>
            <w:shd w:val="clear" w:color="auto" w:fill="C4EFCE"/>
            <w:vAlign w:val="center"/>
            <w:hideMark/>
          </w:tcPr>
          <w:p w14:paraId="082E522F" w14:textId="77777777" w:rsidR="00E040FD" w:rsidRDefault="00740D64">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7413937D"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E0E0804" w14:textId="77777777" w:rsidR="00E040FD" w:rsidRDefault="00740D64">
            <w:pPr>
              <w:pStyle w:val="P68B1DB1-Normal23"/>
              <w:spacing w:after="0"/>
              <w:jc w:val="both"/>
              <w:rPr>
                <w:rFonts w:eastAsia="Calibri" w:cs="Calibri"/>
                <w:noProof/>
              </w:rPr>
            </w:pPr>
            <w:r>
              <w:rPr>
                <w:noProof/>
              </w:rPr>
              <w:t>Inledande av avtal om offentliga bygg- och anläggningsarbeten för det tekniska centrumet MARTEC</w:t>
            </w:r>
          </w:p>
        </w:tc>
      </w:tr>
      <w:tr w:rsidR="00E040FD" w14:paraId="17B7232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6F9CBF5" w14:textId="77777777" w:rsidR="00E040FD" w:rsidRDefault="00740D64">
            <w:pPr>
              <w:pStyle w:val="P68B1DB1-Normal23"/>
              <w:spacing w:after="0"/>
              <w:jc w:val="center"/>
              <w:rPr>
                <w:rFonts w:eastAsia="Calibri" w:cs="Calibri"/>
                <w:noProof/>
              </w:rPr>
            </w:pPr>
            <w:r>
              <w:rPr>
                <w:noProof/>
              </w:rPr>
              <w:t>11.2</w:t>
            </w:r>
          </w:p>
        </w:tc>
        <w:tc>
          <w:tcPr>
            <w:tcW w:w="1760" w:type="dxa"/>
            <w:tcBorders>
              <w:top w:val="nil"/>
              <w:left w:val="nil"/>
              <w:bottom w:val="single" w:sz="4" w:space="0" w:color="auto"/>
              <w:right w:val="single" w:sz="4" w:space="0" w:color="auto"/>
            </w:tcBorders>
            <w:shd w:val="clear" w:color="auto" w:fill="C4EFCE"/>
            <w:vAlign w:val="center"/>
            <w:hideMark/>
          </w:tcPr>
          <w:p w14:paraId="181258D6" w14:textId="77777777" w:rsidR="00E040FD" w:rsidRDefault="00740D64">
            <w:pPr>
              <w:pStyle w:val="P68B1DB1-Normal23"/>
              <w:spacing w:after="0"/>
              <w:jc w:val="center"/>
              <w:rPr>
                <w:rFonts w:eastAsia="Calibri" w:cs="Calibri"/>
                <w:noProof/>
              </w:rPr>
            </w:pPr>
            <w:r>
              <w:rPr>
                <w:noProof/>
              </w:rPr>
              <w:t>TC-C11-I01</w:t>
            </w:r>
          </w:p>
        </w:tc>
        <w:tc>
          <w:tcPr>
            <w:tcW w:w="1520" w:type="dxa"/>
            <w:tcBorders>
              <w:top w:val="nil"/>
              <w:left w:val="nil"/>
              <w:bottom w:val="single" w:sz="4" w:space="0" w:color="auto"/>
              <w:right w:val="single" w:sz="4" w:space="0" w:color="auto"/>
            </w:tcBorders>
            <w:shd w:val="clear" w:color="auto" w:fill="C4EFCE"/>
            <w:vAlign w:val="center"/>
            <w:hideMark/>
          </w:tcPr>
          <w:p w14:paraId="12E6D3A0"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C515859" w14:textId="77777777" w:rsidR="00E040FD" w:rsidRDefault="00740D64">
            <w:pPr>
              <w:pStyle w:val="P68B1DB1-Normal23"/>
              <w:spacing w:after="0"/>
              <w:jc w:val="both"/>
              <w:rPr>
                <w:rFonts w:eastAsia="Calibri" w:cs="Calibri"/>
                <w:noProof/>
              </w:rPr>
            </w:pPr>
            <w:r>
              <w:rPr>
                <w:noProof/>
              </w:rPr>
              <w:t>Undertecknande av kontrakt om tilldelning av ekonomiskt stöd</w:t>
            </w:r>
          </w:p>
        </w:tc>
      </w:tr>
      <w:tr w:rsidR="00E040FD" w14:paraId="5A90F30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CC5A52" w14:textId="77777777" w:rsidR="00E040FD" w:rsidRDefault="00740D64">
            <w:pPr>
              <w:pStyle w:val="P68B1DB1-Normal23"/>
              <w:spacing w:after="0"/>
              <w:jc w:val="center"/>
              <w:rPr>
                <w:rFonts w:eastAsia="Calibri" w:cs="Calibri"/>
                <w:noProof/>
              </w:rPr>
            </w:pPr>
            <w:r>
              <w:rPr>
                <w:noProof/>
              </w:rPr>
              <w:t>12.7</w:t>
            </w:r>
          </w:p>
        </w:tc>
        <w:tc>
          <w:tcPr>
            <w:tcW w:w="1760" w:type="dxa"/>
            <w:tcBorders>
              <w:top w:val="nil"/>
              <w:left w:val="nil"/>
              <w:bottom w:val="single" w:sz="4" w:space="0" w:color="auto"/>
              <w:right w:val="single" w:sz="4" w:space="0" w:color="auto"/>
            </w:tcBorders>
            <w:shd w:val="clear" w:color="auto" w:fill="C4EFCE"/>
            <w:vAlign w:val="center"/>
            <w:hideMark/>
          </w:tcPr>
          <w:p w14:paraId="25B1DCC0" w14:textId="77777777" w:rsidR="00E040FD" w:rsidRDefault="00740D64">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336E66E0"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D6D70E6" w14:textId="77777777" w:rsidR="00E040FD" w:rsidRDefault="00740D64">
            <w:pPr>
              <w:pStyle w:val="P68B1DB1-Normal23"/>
              <w:spacing w:after="0"/>
              <w:jc w:val="both"/>
              <w:rPr>
                <w:rFonts w:eastAsia="Calibri" w:cs="Calibri"/>
                <w:noProof/>
              </w:rPr>
            </w:pPr>
            <w:r>
              <w:rPr>
                <w:noProof/>
              </w:rPr>
              <w:t>Ikraftträdande av den harmoniserade definitionen av kriterier för miljöanpassning</w:t>
            </w:r>
          </w:p>
        </w:tc>
      </w:tr>
      <w:tr w:rsidR="00E040FD" w14:paraId="7D943D7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C76A33" w14:textId="77777777" w:rsidR="00E040FD" w:rsidRDefault="00740D64">
            <w:pPr>
              <w:pStyle w:val="P68B1DB1-Normal23"/>
              <w:spacing w:after="0"/>
              <w:jc w:val="center"/>
              <w:rPr>
                <w:rFonts w:eastAsia="Calibri" w:cs="Calibri"/>
                <w:noProof/>
              </w:rPr>
            </w:pPr>
            <w:r>
              <w:rPr>
                <w:noProof/>
              </w:rPr>
              <w:t>12.8</w:t>
            </w:r>
          </w:p>
        </w:tc>
        <w:tc>
          <w:tcPr>
            <w:tcW w:w="1760" w:type="dxa"/>
            <w:tcBorders>
              <w:top w:val="nil"/>
              <w:left w:val="nil"/>
              <w:bottom w:val="single" w:sz="4" w:space="0" w:color="auto"/>
              <w:right w:val="single" w:sz="4" w:space="0" w:color="auto"/>
            </w:tcBorders>
            <w:shd w:val="clear" w:color="auto" w:fill="C4EFCE"/>
            <w:vAlign w:val="center"/>
            <w:hideMark/>
          </w:tcPr>
          <w:p w14:paraId="4E41CB2B" w14:textId="77777777" w:rsidR="00E040FD" w:rsidRDefault="00740D64">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4D1C03A4"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6C48E4F" w14:textId="77777777" w:rsidR="00E040FD" w:rsidRDefault="00740D64">
            <w:pPr>
              <w:pStyle w:val="P68B1DB1-Normal23"/>
              <w:spacing w:after="0"/>
              <w:jc w:val="both"/>
              <w:rPr>
                <w:rFonts w:eastAsia="Calibri" w:cs="Calibri"/>
                <w:noProof/>
              </w:rPr>
            </w:pPr>
            <w:r>
              <w:rPr>
                <w:noProof/>
              </w:rPr>
              <w:t>Incitamentssystem för återvinning (pant- och återbetalningssystem) för icke-återanvändbara plastflaskor, järnmetaller och aluminium</w:t>
            </w:r>
          </w:p>
        </w:tc>
      </w:tr>
      <w:tr w:rsidR="00E040FD" w14:paraId="4A314B4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071D74" w14:textId="77777777" w:rsidR="00E040FD" w:rsidRDefault="00740D64">
            <w:pPr>
              <w:pStyle w:val="P68B1DB1-Normal23"/>
              <w:spacing w:after="0"/>
              <w:jc w:val="center"/>
              <w:rPr>
                <w:rFonts w:eastAsia="Calibri" w:cs="Calibri"/>
                <w:noProof/>
              </w:rPr>
            </w:pPr>
            <w:r>
              <w:rPr>
                <w:noProof/>
              </w:rPr>
              <w:t>15.1</w:t>
            </w:r>
          </w:p>
        </w:tc>
        <w:tc>
          <w:tcPr>
            <w:tcW w:w="1760" w:type="dxa"/>
            <w:tcBorders>
              <w:top w:val="nil"/>
              <w:left w:val="nil"/>
              <w:bottom w:val="single" w:sz="4" w:space="0" w:color="auto"/>
              <w:right w:val="single" w:sz="4" w:space="0" w:color="auto"/>
            </w:tcBorders>
            <w:shd w:val="clear" w:color="auto" w:fill="C4EFCE"/>
            <w:vAlign w:val="center"/>
            <w:hideMark/>
          </w:tcPr>
          <w:p w14:paraId="1B01C488" w14:textId="77777777" w:rsidR="00E040FD" w:rsidRDefault="00740D64">
            <w:pPr>
              <w:pStyle w:val="P68B1DB1-Normal23"/>
              <w:spacing w:after="0"/>
              <w:jc w:val="center"/>
              <w:rPr>
                <w:rFonts w:eastAsia="Calibri" w:cs="Calibri"/>
                <w:noProof/>
              </w:rPr>
            </w:pPr>
            <w:r>
              <w:rPr>
                <w:noProof/>
              </w:rPr>
              <w:t>TC-C15-I01</w:t>
            </w:r>
          </w:p>
        </w:tc>
        <w:tc>
          <w:tcPr>
            <w:tcW w:w="1520" w:type="dxa"/>
            <w:tcBorders>
              <w:top w:val="nil"/>
              <w:left w:val="nil"/>
              <w:bottom w:val="single" w:sz="4" w:space="0" w:color="auto"/>
              <w:right w:val="single" w:sz="4" w:space="0" w:color="auto"/>
            </w:tcBorders>
            <w:shd w:val="clear" w:color="auto" w:fill="C4EFCE"/>
            <w:vAlign w:val="center"/>
            <w:hideMark/>
          </w:tcPr>
          <w:p w14:paraId="2DDD63A2"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144099B" w14:textId="77777777" w:rsidR="00E040FD" w:rsidRDefault="00740D64">
            <w:pPr>
              <w:pStyle w:val="P68B1DB1-Normal23"/>
              <w:spacing w:after="0"/>
              <w:jc w:val="both"/>
              <w:rPr>
                <w:rFonts w:eastAsia="Calibri" w:cs="Calibri"/>
                <w:noProof/>
              </w:rPr>
            </w:pPr>
            <w:r>
              <w:rPr>
                <w:noProof/>
              </w:rPr>
              <w:t>Undertecknande av avtalet om utbyggnad av Lissabons tunnelbanenät</w:t>
            </w:r>
          </w:p>
        </w:tc>
      </w:tr>
      <w:tr w:rsidR="00E040FD" w14:paraId="36710B7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221066" w14:textId="77777777" w:rsidR="00E040FD" w:rsidRDefault="00740D64">
            <w:pPr>
              <w:pStyle w:val="P68B1DB1-Normal23"/>
              <w:spacing w:after="0"/>
              <w:jc w:val="center"/>
              <w:rPr>
                <w:rFonts w:eastAsia="Calibri" w:cs="Calibri"/>
                <w:noProof/>
              </w:rPr>
            </w:pPr>
            <w:r>
              <w:rPr>
                <w:noProof/>
              </w:rPr>
              <w:t>15.4</w:t>
            </w:r>
          </w:p>
        </w:tc>
        <w:tc>
          <w:tcPr>
            <w:tcW w:w="1760" w:type="dxa"/>
            <w:tcBorders>
              <w:top w:val="nil"/>
              <w:left w:val="nil"/>
              <w:bottom w:val="single" w:sz="4" w:space="0" w:color="auto"/>
              <w:right w:val="single" w:sz="4" w:space="0" w:color="auto"/>
            </w:tcBorders>
            <w:shd w:val="clear" w:color="auto" w:fill="C4EFCE"/>
            <w:vAlign w:val="center"/>
            <w:hideMark/>
          </w:tcPr>
          <w:p w14:paraId="15DC13F1" w14:textId="77777777" w:rsidR="00E040FD" w:rsidRDefault="00740D64">
            <w:pPr>
              <w:pStyle w:val="P68B1DB1-Normal23"/>
              <w:spacing w:after="0"/>
              <w:jc w:val="center"/>
              <w:rPr>
                <w:rFonts w:eastAsia="Calibri" w:cs="Calibri"/>
                <w:noProof/>
              </w:rPr>
            </w:pPr>
            <w:r>
              <w:rPr>
                <w:noProof/>
              </w:rPr>
              <w:t>TC-C15-I02</w:t>
            </w:r>
          </w:p>
        </w:tc>
        <w:tc>
          <w:tcPr>
            <w:tcW w:w="1520" w:type="dxa"/>
            <w:tcBorders>
              <w:top w:val="nil"/>
              <w:left w:val="nil"/>
              <w:bottom w:val="single" w:sz="4" w:space="0" w:color="auto"/>
              <w:right w:val="single" w:sz="4" w:space="0" w:color="auto"/>
            </w:tcBorders>
            <w:shd w:val="clear" w:color="auto" w:fill="C4EFCE"/>
            <w:vAlign w:val="center"/>
            <w:hideMark/>
          </w:tcPr>
          <w:p w14:paraId="36F5B3D5"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B00BD76" w14:textId="77777777" w:rsidR="00E040FD" w:rsidRDefault="00740D64">
            <w:pPr>
              <w:pStyle w:val="P68B1DB1-Normal23"/>
              <w:spacing w:after="0"/>
              <w:jc w:val="both"/>
              <w:rPr>
                <w:rFonts w:eastAsia="Calibri" w:cs="Calibri"/>
                <w:noProof/>
              </w:rPr>
            </w:pPr>
            <w:r>
              <w:rPr>
                <w:noProof/>
              </w:rPr>
              <w:t>Undertecknande av avtalet om utbyggnad av Portotunnelbanenätet</w:t>
            </w:r>
          </w:p>
        </w:tc>
      </w:tr>
      <w:tr w:rsidR="00E040FD" w14:paraId="66F49B4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9D2C062" w14:textId="77777777" w:rsidR="00E040FD" w:rsidRDefault="00740D64">
            <w:pPr>
              <w:pStyle w:val="P68B1DB1-Normal23"/>
              <w:spacing w:after="0"/>
              <w:jc w:val="center"/>
              <w:rPr>
                <w:rFonts w:eastAsia="Calibri" w:cs="Calibri"/>
                <w:noProof/>
              </w:rPr>
            </w:pPr>
            <w:r>
              <w:rPr>
                <w:noProof/>
              </w:rPr>
              <w:t>15.13</w:t>
            </w:r>
          </w:p>
        </w:tc>
        <w:tc>
          <w:tcPr>
            <w:tcW w:w="1760" w:type="dxa"/>
            <w:tcBorders>
              <w:top w:val="nil"/>
              <w:left w:val="nil"/>
              <w:bottom w:val="single" w:sz="4" w:space="0" w:color="auto"/>
              <w:right w:val="single" w:sz="4" w:space="0" w:color="auto"/>
            </w:tcBorders>
            <w:shd w:val="clear" w:color="auto" w:fill="C4EFCE"/>
            <w:vAlign w:val="center"/>
            <w:hideMark/>
          </w:tcPr>
          <w:p w14:paraId="152B40C0" w14:textId="77777777" w:rsidR="00E040FD" w:rsidRDefault="00740D64">
            <w:pPr>
              <w:pStyle w:val="P68B1DB1-Normal23"/>
              <w:spacing w:after="0"/>
              <w:jc w:val="center"/>
              <w:rPr>
                <w:rFonts w:eastAsia="Calibri" w:cs="Calibri"/>
                <w:noProof/>
              </w:rPr>
            </w:pPr>
            <w:r>
              <w:rPr>
                <w:noProof/>
              </w:rPr>
              <w:t xml:space="preserve">TC-C15-I05  </w:t>
            </w:r>
          </w:p>
        </w:tc>
        <w:tc>
          <w:tcPr>
            <w:tcW w:w="1520" w:type="dxa"/>
            <w:tcBorders>
              <w:top w:val="nil"/>
              <w:left w:val="nil"/>
              <w:bottom w:val="single" w:sz="4" w:space="0" w:color="auto"/>
              <w:right w:val="single" w:sz="4" w:space="0" w:color="auto"/>
            </w:tcBorders>
            <w:shd w:val="clear" w:color="auto" w:fill="C4EFCE"/>
            <w:vAlign w:val="center"/>
            <w:hideMark/>
          </w:tcPr>
          <w:p w14:paraId="375FD4B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70A847" w14:textId="77777777" w:rsidR="00E040FD" w:rsidRDefault="00740D64">
            <w:pPr>
              <w:pStyle w:val="P68B1DB1-Normal23"/>
              <w:spacing w:after="0"/>
              <w:jc w:val="both"/>
              <w:rPr>
                <w:rFonts w:eastAsia="Calibri" w:cs="Calibri"/>
                <w:noProof/>
              </w:rPr>
            </w:pPr>
            <w:r>
              <w:rPr>
                <w:noProof/>
              </w:rPr>
              <w:t>Inköp av nya utsläppsfria bussar (el- eller vätgasbussar) som används för kollektivtrafik</w:t>
            </w:r>
          </w:p>
        </w:tc>
      </w:tr>
      <w:tr w:rsidR="00E040FD" w14:paraId="716C2B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F62426" w14:textId="77777777" w:rsidR="00E040FD" w:rsidRDefault="00740D64">
            <w:pPr>
              <w:pStyle w:val="P68B1DB1-Normal23"/>
              <w:spacing w:after="0"/>
              <w:jc w:val="center"/>
              <w:rPr>
                <w:rFonts w:eastAsia="Calibri" w:cs="Calibri"/>
                <w:noProof/>
              </w:rPr>
            </w:pPr>
            <w:r>
              <w:rPr>
                <w:noProof/>
              </w:rPr>
              <w:t>15.14</w:t>
            </w:r>
          </w:p>
        </w:tc>
        <w:tc>
          <w:tcPr>
            <w:tcW w:w="1760" w:type="dxa"/>
            <w:tcBorders>
              <w:top w:val="nil"/>
              <w:left w:val="nil"/>
              <w:bottom w:val="single" w:sz="4" w:space="0" w:color="auto"/>
              <w:right w:val="single" w:sz="4" w:space="0" w:color="auto"/>
            </w:tcBorders>
            <w:shd w:val="clear" w:color="auto" w:fill="C4EFCE"/>
            <w:vAlign w:val="center"/>
            <w:hideMark/>
          </w:tcPr>
          <w:p w14:paraId="0DD59D79" w14:textId="77777777" w:rsidR="00E040FD" w:rsidRDefault="00740D64">
            <w:pPr>
              <w:pStyle w:val="P68B1DB1-Normal23"/>
              <w:spacing w:after="0"/>
              <w:jc w:val="center"/>
              <w:rPr>
                <w:rFonts w:eastAsia="Calibri" w:cs="Calibri"/>
                <w:noProof/>
              </w:rPr>
            </w:pPr>
            <w:r>
              <w:rPr>
                <w:noProof/>
              </w:rPr>
              <w:t xml:space="preserve">TC-C15-r30  </w:t>
            </w:r>
          </w:p>
        </w:tc>
        <w:tc>
          <w:tcPr>
            <w:tcW w:w="1520" w:type="dxa"/>
            <w:tcBorders>
              <w:top w:val="nil"/>
              <w:left w:val="nil"/>
              <w:bottom w:val="single" w:sz="4" w:space="0" w:color="auto"/>
              <w:right w:val="single" w:sz="4" w:space="0" w:color="auto"/>
            </w:tcBorders>
            <w:shd w:val="clear" w:color="auto" w:fill="C4EFCE"/>
            <w:vAlign w:val="center"/>
            <w:hideMark/>
          </w:tcPr>
          <w:p w14:paraId="5706F25D"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8CB798" w14:textId="77777777" w:rsidR="00E040FD" w:rsidRDefault="00740D64">
            <w:pPr>
              <w:pStyle w:val="P68B1DB1-Normal23"/>
              <w:spacing w:after="0"/>
              <w:jc w:val="both"/>
              <w:rPr>
                <w:rFonts w:eastAsia="Calibri" w:cs="Calibri"/>
                <w:noProof/>
              </w:rPr>
            </w:pPr>
            <w:r>
              <w:rPr>
                <w:noProof/>
              </w:rPr>
              <w:t>Ingångna avtal om kollektivtrafik i storstadsområden och interkommunala samhällen</w:t>
            </w:r>
          </w:p>
        </w:tc>
      </w:tr>
      <w:tr w:rsidR="00E040FD" w14:paraId="1F86FB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0" w:type="dxa"/>
            <w:shd w:val="clear" w:color="auto" w:fill="C4EFCE"/>
            <w:vAlign w:val="center"/>
            <w:hideMark/>
          </w:tcPr>
          <w:p w14:paraId="5DDEA1B4" w14:textId="77777777" w:rsidR="00E040FD" w:rsidRDefault="00740D64">
            <w:pPr>
              <w:pStyle w:val="P68B1DB1-Normal23"/>
              <w:spacing w:after="0"/>
              <w:jc w:val="center"/>
              <w:rPr>
                <w:noProof/>
              </w:rPr>
            </w:pPr>
            <w:r>
              <w:rPr>
                <w:noProof/>
              </w:rPr>
              <w:t>16.14</w:t>
            </w:r>
          </w:p>
        </w:tc>
        <w:tc>
          <w:tcPr>
            <w:tcW w:w="1760" w:type="dxa"/>
            <w:shd w:val="clear" w:color="auto" w:fill="C4EFCE"/>
            <w:vAlign w:val="center"/>
            <w:hideMark/>
          </w:tcPr>
          <w:p w14:paraId="40EE589F" w14:textId="77777777" w:rsidR="00E040FD" w:rsidRDefault="00740D64">
            <w:pPr>
              <w:pStyle w:val="P68B1DB1-Normal23"/>
              <w:spacing w:after="0"/>
              <w:jc w:val="center"/>
              <w:rPr>
                <w:noProof/>
              </w:rPr>
            </w:pPr>
            <w:r>
              <w:rPr>
                <w:noProof/>
              </w:rPr>
              <w:t xml:space="preserve">TD-C16-i03 </w:t>
            </w:r>
          </w:p>
        </w:tc>
        <w:tc>
          <w:tcPr>
            <w:tcW w:w="1520" w:type="dxa"/>
            <w:shd w:val="clear" w:color="auto" w:fill="C4EFCE"/>
            <w:vAlign w:val="center"/>
            <w:hideMark/>
          </w:tcPr>
          <w:p w14:paraId="12CAAAA0"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4006DF5" w14:textId="3316D69D" w:rsidR="00E040FD" w:rsidRDefault="00740D64">
            <w:pPr>
              <w:pStyle w:val="P68B1DB1-Normal23"/>
              <w:spacing w:after="0"/>
              <w:jc w:val="both"/>
              <w:rPr>
                <w:rFonts w:eastAsia="Calibri" w:cs="Calibri"/>
                <w:noProof/>
              </w:rPr>
            </w:pPr>
            <w:r>
              <w:rPr>
                <w:noProof/>
              </w:rPr>
              <w:t>Inrättande av tjänster för att skicka digitala fakturor och cybersäkerhet, integritet, användbarhet och hållbarhetscertifiering</w:t>
            </w:r>
          </w:p>
        </w:tc>
      </w:tr>
      <w:tr w:rsidR="00E040FD" w14:paraId="09C48AE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869C532" w14:textId="77777777" w:rsidR="00E040FD" w:rsidRDefault="00740D64">
            <w:pPr>
              <w:pStyle w:val="P68B1DB1-Normal23"/>
              <w:spacing w:after="0"/>
              <w:jc w:val="center"/>
              <w:rPr>
                <w:rFonts w:eastAsia="Calibri" w:cs="Calibri"/>
                <w:noProof/>
              </w:rPr>
            </w:pPr>
            <w:r>
              <w:rPr>
                <w:noProof/>
              </w:rPr>
              <w:t>16.16</w:t>
            </w:r>
          </w:p>
        </w:tc>
        <w:tc>
          <w:tcPr>
            <w:tcW w:w="1760" w:type="dxa"/>
            <w:tcBorders>
              <w:top w:val="nil"/>
              <w:left w:val="nil"/>
              <w:bottom w:val="single" w:sz="4" w:space="0" w:color="auto"/>
              <w:right w:val="single" w:sz="4" w:space="0" w:color="auto"/>
            </w:tcBorders>
            <w:shd w:val="clear" w:color="auto" w:fill="C4EFCE"/>
            <w:vAlign w:val="center"/>
            <w:hideMark/>
          </w:tcPr>
          <w:p w14:paraId="2CBED526" w14:textId="77777777" w:rsidR="00E040FD" w:rsidRDefault="00740D64">
            <w:pPr>
              <w:pStyle w:val="P68B1DB1-Normal23"/>
              <w:spacing w:after="0"/>
              <w:jc w:val="center"/>
              <w:rPr>
                <w:rFonts w:eastAsia="Calibri" w:cs="Calibri"/>
                <w:noProof/>
              </w:rPr>
            </w:pPr>
            <w:r>
              <w:rPr>
                <w:noProof/>
              </w:rPr>
              <w:t>TD-C16-i04</w:t>
            </w:r>
          </w:p>
        </w:tc>
        <w:tc>
          <w:tcPr>
            <w:tcW w:w="1520" w:type="dxa"/>
            <w:tcBorders>
              <w:top w:val="nil"/>
              <w:left w:val="nil"/>
              <w:bottom w:val="single" w:sz="4" w:space="0" w:color="auto"/>
              <w:right w:val="single" w:sz="4" w:space="0" w:color="auto"/>
            </w:tcBorders>
            <w:shd w:val="clear" w:color="auto" w:fill="C4EFCE"/>
            <w:vAlign w:val="center"/>
            <w:hideMark/>
          </w:tcPr>
          <w:p w14:paraId="3003DF4F"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F9A9EA3" w14:textId="77777777" w:rsidR="00E040FD" w:rsidRDefault="00740D64">
            <w:pPr>
              <w:pStyle w:val="P68B1DB1-Normal23"/>
              <w:spacing w:after="0"/>
              <w:jc w:val="both"/>
              <w:rPr>
                <w:rFonts w:eastAsia="Calibri" w:cs="Calibri"/>
                <w:noProof/>
              </w:rPr>
            </w:pPr>
            <w:r>
              <w:rPr>
                <w:noProof/>
              </w:rPr>
              <w:t>Urval av projekt inom Industri 4.0</w:t>
            </w:r>
          </w:p>
        </w:tc>
      </w:tr>
      <w:tr w:rsidR="00E040FD" w14:paraId="0EE345A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10FEBB" w14:textId="77777777" w:rsidR="00E040FD" w:rsidRDefault="00740D64">
            <w:pPr>
              <w:pStyle w:val="P68B1DB1-Normal23"/>
              <w:spacing w:after="0"/>
              <w:jc w:val="center"/>
              <w:rPr>
                <w:rFonts w:eastAsia="Calibri" w:cs="Calibri"/>
                <w:noProof/>
              </w:rPr>
            </w:pPr>
            <w:r>
              <w:rPr>
                <w:noProof/>
              </w:rPr>
              <w:t>17.21</w:t>
            </w:r>
          </w:p>
        </w:tc>
        <w:tc>
          <w:tcPr>
            <w:tcW w:w="1760" w:type="dxa"/>
            <w:tcBorders>
              <w:top w:val="nil"/>
              <w:left w:val="nil"/>
              <w:bottom w:val="single" w:sz="4" w:space="0" w:color="auto"/>
              <w:right w:val="single" w:sz="4" w:space="0" w:color="auto"/>
            </w:tcBorders>
            <w:shd w:val="clear" w:color="auto" w:fill="C4EFCE"/>
            <w:vAlign w:val="center"/>
            <w:hideMark/>
          </w:tcPr>
          <w:p w14:paraId="2B0924BA" w14:textId="77777777" w:rsidR="00E040FD" w:rsidRDefault="00740D64">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18D2B06A"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5C698DD" w14:textId="77777777" w:rsidR="00E040FD" w:rsidRDefault="00740D64">
            <w:pPr>
              <w:pStyle w:val="P68B1DB1-Normal23"/>
              <w:spacing w:after="0"/>
              <w:jc w:val="both"/>
              <w:rPr>
                <w:rFonts w:eastAsia="Calibri" w:cs="Calibri"/>
                <w:noProof/>
              </w:rPr>
            </w:pPr>
            <w:r>
              <w:rPr>
                <w:noProof/>
              </w:rPr>
              <w:t>Slutföra genomförandet av den särskilda transaktion som omfattas av stämpelskatten.</w:t>
            </w:r>
          </w:p>
        </w:tc>
      </w:tr>
      <w:tr w:rsidR="00E040FD" w14:paraId="7D6C04E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F3082E" w14:textId="77777777" w:rsidR="00E040FD" w:rsidRDefault="00740D64">
            <w:pPr>
              <w:pStyle w:val="P68B1DB1-Normal23"/>
              <w:spacing w:after="0"/>
              <w:jc w:val="center"/>
              <w:rPr>
                <w:rFonts w:eastAsia="Calibri" w:cs="Calibri"/>
                <w:noProof/>
              </w:rPr>
            </w:pPr>
            <w:r>
              <w:rPr>
                <w:noProof/>
              </w:rPr>
              <w:t>17.23</w:t>
            </w:r>
          </w:p>
        </w:tc>
        <w:tc>
          <w:tcPr>
            <w:tcW w:w="1760" w:type="dxa"/>
            <w:tcBorders>
              <w:top w:val="nil"/>
              <w:left w:val="nil"/>
              <w:bottom w:val="single" w:sz="4" w:space="0" w:color="auto"/>
              <w:right w:val="single" w:sz="4" w:space="0" w:color="auto"/>
            </w:tcBorders>
            <w:shd w:val="clear" w:color="auto" w:fill="C4EFCE"/>
            <w:vAlign w:val="center"/>
            <w:hideMark/>
          </w:tcPr>
          <w:p w14:paraId="698DAC9E" w14:textId="665ACA7C" w:rsidR="00E040FD" w:rsidRDefault="00740D64">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7B24166A"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27CEBBA" w14:textId="77777777" w:rsidR="00E040FD" w:rsidRDefault="00740D64">
            <w:pPr>
              <w:pStyle w:val="P68B1DB1-Normal23"/>
              <w:spacing w:after="0"/>
              <w:jc w:val="both"/>
              <w:rPr>
                <w:rFonts w:eastAsia="Calibri" w:cs="Calibri"/>
                <w:noProof/>
              </w:rPr>
            </w:pPr>
            <w:r>
              <w:rPr>
                <w:noProof/>
              </w:rPr>
              <w:t>Ikraftträdande av rättsakten om inrättande av den permanenta enheten för teknisk skattepolitik Unidade Técnica de Avaliação Tributária e Aduaneira (U-TAX)</w:t>
            </w:r>
          </w:p>
        </w:tc>
      </w:tr>
      <w:tr w:rsidR="00E040FD" w14:paraId="1B7657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405E771" w14:textId="77777777" w:rsidR="00E040FD" w:rsidRDefault="00740D64">
            <w:pPr>
              <w:pStyle w:val="P68B1DB1-Normal23"/>
              <w:spacing w:after="0"/>
              <w:jc w:val="center"/>
              <w:rPr>
                <w:rFonts w:eastAsia="Calibri" w:cs="Calibri"/>
                <w:noProof/>
              </w:rPr>
            </w:pPr>
            <w:r>
              <w:rPr>
                <w:noProof/>
              </w:rPr>
              <w:t>18.5</w:t>
            </w:r>
          </w:p>
        </w:tc>
        <w:tc>
          <w:tcPr>
            <w:tcW w:w="1760" w:type="dxa"/>
            <w:tcBorders>
              <w:top w:val="nil"/>
              <w:left w:val="nil"/>
              <w:bottom w:val="single" w:sz="4" w:space="0" w:color="auto"/>
              <w:right w:val="single" w:sz="4" w:space="0" w:color="auto"/>
            </w:tcBorders>
            <w:shd w:val="clear" w:color="auto" w:fill="C4EFCE"/>
            <w:vAlign w:val="center"/>
            <w:hideMark/>
          </w:tcPr>
          <w:p w14:paraId="618CB0E4" w14:textId="77777777" w:rsidR="00E040FD" w:rsidRDefault="00740D64">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D6B08AC"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E389343" w14:textId="77777777" w:rsidR="00E040FD" w:rsidRDefault="00740D64">
            <w:pPr>
              <w:pStyle w:val="P68B1DB1-Normal23"/>
              <w:spacing w:after="0"/>
              <w:jc w:val="both"/>
              <w:rPr>
                <w:rFonts w:eastAsia="Calibri" w:cs="Calibri"/>
                <w:noProof/>
              </w:rPr>
            </w:pPr>
            <w:r>
              <w:rPr>
                <w:noProof/>
              </w:rPr>
              <w:t>Moderniserat it-system för brottsutredningar</w:t>
            </w:r>
          </w:p>
        </w:tc>
      </w:tr>
      <w:tr w:rsidR="00E040FD" w14:paraId="1F76A1E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F520F4" w14:textId="77777777" w:rsidR="00E040FD" w:rsidRDefault="00740D64">
            <w:pPr>
              <w:pStyle w:val="P68B1DB1-Normal23"/>
              <w:spacing w:after="0"/>
              <w:jc w:val="center"/>
              <w:rPr>
                <w:rFonts w:eastAsia="Calibri" w:cs="Calibri"/>
                <w:noProof/>
              </w:rPr>
            </w:pPr>
            <w:r>
              <w:rPr>
                <w:noProof/>
              </w:rPr>
              <w:t>19.12</w:t>
            </w:r>
          </w:p>
        </w:tc>
        <w:tc>
          <w:tcPr>
            <w:tcW w:w="1760" w:type="dxa"/>
            <w:tcBorders>
              <w:top w:val="nil"/>
              <w:left w:val="nil"/>
              <w:bottom w:val="single" w:sz="4" w:space="0" w:color="auto"/>
              <w:right w:val="single" w:sz="4" w:space="0" w:color="auto"/>
            </w:tcBorders>
            <w:shd w:val="clear" w:color="auto" w:fill="C4EFCE"/>
            <w:vAlign w:val="center"/>
            <w:hideMark/>
          </w:tcPr>
          <w:p w14:paraId="47FDE4B7" w14:textId="77777777" w:rsidR="00E040FD" w:rsidRDefault="00740D64">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723C2388"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82C1D8F" w14:textId="77777777" w:rsidR="00E040FD" w:rsidRDefault="00740D64">
            <w:pPr>
              <w:pStyle w:val="P68B1DB1-Normal23"/>
              <w:spacing w:after="0"/>
              <w:jc w:val="both"/>
              <w:rPr>
                <w:rFonts w:eastAsia="Calibri" w:cs="Calibri"/>
                <w:noProof/>
              </w:rPr>
            </w:pPr>
            <w:r>
              <w:rPr>
                <w:noProof/>
              </w:rPr>
              <w:t>Slutförande av uppgraderingar av kritisk digital infrastruktur</w:t>
            </w:r>
          </w:p>
        </w:tc>
      </w:tr>
      <w:tr w:rsidR="00E040FD" w14:paraId="68EBFC9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2D3804" w14:textId="77777777" w:rsidR="00E040FD" w:rsidRDefault="00740D64">
            <w:pPr>
              <w:pStyle w:val="P68B1DB1-Normal23"/>
              <w:spacing w:after="0"/>
              <w:jc w:val="center"/>
              <w:rPr>
                <w:rFonts w:eastAsia="Calibri" w:cs="Calibri"/>
                <w:noProof/>
              </w:rPr>
            </w:pPr>
            <w:r>
              <w:rPr>
                <w:noProof/>
              </w:rPr>
              <w:t>19.19</w:t>
            </w:r>
          </w:p>
        </w:tc>
        <w:tc>
          <w:tcPr>
            <w:tcW w:w="1760" w:type="dxa"/>
            <w:tcBorders>
              <w:top w:val="nil"/>
              <w:left w:val="nil"/>
              <w:bottom w:val="single" w:sz="4" w:space="0" w:color="auto"/>
              <w:right w:val="single" w:sz="4" w:space="0" w:color="auto"/>
            </w:tcBorders>
            <w:shd w:val="clear" w:color="auto" w:fill="C4EFCE"/>
            <w:vAlign w:val="center"/>
            <w:hideMark/>
          </w:tcPr>
          <w:p w14:paraId="52CAADEB" w14:textId="77777777" w:rsidR="00E040FD" w:rsidRDefault="00740D64">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447F009D"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47649F" w14:textId="77777777" w:rsidR="00E040FD" w:rsidRDefault="00740D64">
            <w:pPr>
              <w:pStyle w:val="P68B1DB1-Normal23"/>
              <w:spacing w:after="0"/>
              <w:jc w:val="both"/>
              <w:rPr>
                <w:rFonts w:eastAsia="Calibri" w:cs="Calibri"/>
                <w:noProof/>
              </w:rPr>
            </w:pPr>
            <w:r>
              <w:rPr>
                <w:noProof/>
              </w:rPr>
              <w:t>Praktikprogram för utexaminerade</w:t>
            </w:r>
          </w:p>
        </w:tc>
      </w:tr>
      <w:tr w:rsidR="00E040FD" w14:paraId="0EEF05D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45AB48" w14:textId="77777777" w:rsidR="00E040FD" w:rsidRDefault="00740D64">
            <w:pPr>
              <w:pStyle w:val="P68B1DB1-Normal23"/>
              <w:spacing w:after="0"/>
              <w:jc w:val="center"/>
              <w:rPr>
                <w:rFonts w:eastAsia="Calibri" w:cs="Calibri"/>
                <w:noProof/>
              </w:rPr>
            </w:pPr>
            <w:r>
              <w:rPr>
                <w:noProof/>
              </w:rPr>
              <w:t>19.20</w:t>
            </w:r>
          </w:p>
        </w:tc>
        <w:tc>
          <w:tcPr>
            <w:tcW w:w="1760" w:type="dxa"/>
            <w:tcBorders>
              <w:top w:val="nil"/>
              <w:left w:val="nil"/>
              <w:bottom w:val="single" w:sz="4" w:space="0" w:color="auto"/>
              <w:right w:val="single" w:sz="4" w:space="0" w:color="auto"/>
            </w:tcBorders>
            <w:shd w:val="clear" w:color="auto" w:fill="C4EFCE"/>
            <w:vAlign w:val="center"/>
            <w:hideMark/>
          </w:tcPr>
          <w:p w14:paraId="4BC8CA1D" w14:textId="77777777" w:rsidR="00E040FD" w:rsidRDefault="00740D64">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70FE960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1CE35B3" w14:textId="77777777" w:rsidR="00E040FD" w:rsidRDefault="00740D64">
            <w:pPr>
              <w:pStyle w:val="P68B1DB1-Normal23"/>
              <w:spacing w:after="0"/>
              <w:jc w:val="both"/>
              <w:rPr>
                <w:rFonts w:eastAsia="Calibri" w:cs="Calibri"/>
                <w:noProof/>
              </w:rPr>
            </w:pPr>
            <w:r>
              <w:rPr>
                <w:noProof/>
              </w:rPr>
              <w:t>Offentliganställda som arbetar på distans</w:t>
            </w:r>
          </w:p>
        </w:tc>
      </w:tr>
      <w:tr w:rsidR="00E040FD" w14:paraId="3C0825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C00604" w14:textId="77777777" w:rsidR="00E040FD" w:rsidRDefault="00740D64">
            <w:pPr>
              <w:pStyle w:val="P68B1DB1-Normal23"/>
              <w:spacing w:after="0"/>
              <w:jc w:val="center"/>
              <w:rPr>
                <w:rFonts w:eastAsia="Calibri" w:cs="Calibri"/>
                <w:noProof/>
              </w:rPr>
            </w:pPr>
            <w:r>
              <w:rPr>
                <w:noProof/>
              </w:rPr>
              <w:t>19.23</w:t>
            </w:r>
          </w:p>
        </w:tc>
        <w:tc>
          <w:tcPr>
            <w:tcW w:w="1760" w:type="dxa"/>
            <w:tcBorders>
              <w:top w:val="nil"/>
              <w:left w:val="nil"/>
              <w:bottom w:val="single" w:sz="4" w:space="0" w:color="auto"/>
              <w:right w:val="single" w:sz="4" w:space="0" w:color="auto"/>
            </w:tcBorders>
            <w:shd w:val="clear" w:color="auto" w:fill="C4EFCE"/>
            <w:vAlign w:val="center"/>
            <w:hideMark/>
          </w:tcPr>
          <w:p w14:paraId="1BB37310" w14:textId="77777777" w:rsidR="00E040FD" w:rsidRDefault="00740D64">
            <w:pPr>
              <w:pStyle w:val="P68B1DB1-Normal23"/>
              <w:spacing w:after="0"/>
              <w:jc w:val="center"/>
              <w:rPr>
                <w:rFonts w:eastAsia="Calibri" w:cs="Calibri"/>
                <w:noProof/>
              </w:rPr>
            </w:pPr>
            <w:r>
              <w:rPr>
                <w:noProof/>
              </w:rPr>
              <w:t>TD-C19-r35</w:t>
            </w:r>
          </w:p>
        </w:tc>
        <w:tc>
          <w:tcPr>
            <w:tcW w:w="1520" w:type="dxa"/>
            <w:tcBorders>
              <w:top w:val="nil"/>
              <w:left w:val="nil"/>
              <w:bottom w:val="single" w:sz="4" w:space="0" w:color="auto"/>
              <w:right w:val="single" w:sz="4" w:space="0" w:color="auto"/>
            </w:tcBorders>
            <w:shd w:val="clear" w:color="auto" w:fill="C4EFCE"/>
            <w:vAlign w:val="center"/>
            <w:hideMark/>
          </w:tcPr>
          <w:p w14:paraId="4E51FBB7"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A32703A" w14:textId="77777777" w:rsidR="00E040FD" w:rsidRDefault="00740D64">
            <w:pPr>
              <w:pStyle w:val="P68B1DB1-Normal23"/>
              <w:spacing w:after="0"/>
              <w:jc w:val="both"/>
              <w:rPr>
                <w:rFonts w:eastAsia="Calibri" w:cs="Calibri"/>
                <w:noProof/>
              </w:rPr>
            </w:pPr>
            <w:r>
              <w:rPr>
                <w:noProof/>
              </w:rPr>
              <w:t>Ikraftträdande av lagstiftningspaketet för omorganisation av den offentliga förvaltningen</w:t>
            </w:r>
          </w:p>
        </w:tc>
      </w:tr>
      <w:tr w:rsidR="00E040FD" w14:paraId="742A12B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8A13B2" w14:textId="77777777" w:rsidR="00E040FD" w:rsidRDefault="00740D64">
            <w:pPr>
              <w:pStyle w:val="P68B1DB1-Normal23"/>
              <w:spacing w:after="0"/>
              <w:jc w:val="center"/>
              <w:rPr>
                <w:rFonts w:eastAsia="Calibri" w:cs="Calibri"/>
                <w:noProof/>
              </w:rPr>
            </w:pPr>
            <w:r>
              <w:rPr>
                <w:noProof/>
              </w:rPr>
              <w:t>21.7</w:t>
            </w:r>
          </w:p>
        </w:tc>
        <w:tc>
          <w:tcPr>
            <w:tcW w:w="1760" w:type="dxa"/>
            <w:tcBorders>
              <w:top w:val="nil"/>
              <w:left w:val="nil"/>
              <w:bottom w:val="single" w:sz="4" w:space="0" w:color="auto"/>
              <w:right w:val="single" w:sz="4" w:space="0" w:color="auto"/>
            </w:tcBorders>
            <w:shd w:val="clear" w:color="auto" w:fill="C4EFCE"/>
            <w:vAlign w:val="center"/>
            <w:hideMark/>
          </w:tcPr>
          <w:p w14:paraId="0F22486B" w14:textId="690F2EF9" w:rsidR="00E040FD" w:rsidRDefault="00740D64">
            <w:pPr>
              <w:pStyle w:val="P68B1DB1-Normal23"/>
              <w:spacing w:after="0"/>
              <w:jc w:val="center"/>
              <w:rPr>
                <w:rFonts w:eastAsia="Calibri" w:cs="Calibri"/>
                <w:noProof/>
              </w:rPr>
            </w:pPr>
            <w:r>
              <w:rPr>
                <w:noProof/>
              </w:rPr>
              <w:t>RP-C21-r43</w:t>
            </w:r>
          </w:p>
        </w:tc>
        <w:tc>
          <w:tcPr>
            <w:tcW w:w="1520" w:type="dxa"/>
            <w:tcBorders>
              <w:top w:val="nil"/>
              <w:left w:val="nil"/>
              <w:bottom w:val="single" w:sz="4" w:space="0" w:color="auto"/>
              <w:right w:val="single" w:sz="4" w:space="0" w:color="auto"/>
            </w:tcBorders>
            <w:shd w:val="clear" w:color="auto" w:fill="C4EFCE"/>
            <w:vAlign w:val="center"/>
            <w:hideMark/>
          </w:tcPr>
          <w:p w14:paraId="3140DF8D"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0CD0448" w14:textId="77777777" w:rsidR="00E040FD" w:rsidRDefault="00740D64">
            <w:pPr>
              <w:pStyle w:val="P68B1DB1-Normal23"/>
              <w:spacing w:after="0"/>
              <w:jc w:val="both"/>
              <w:rPr>
                <w:rFonts w:eastAsia="Calibri" w:cs="Calibri"/>
                <w:noProof/>
              </w:rPr>
            </w:pPr>
            <w:r>
              <w:rPr>
                <w:noProof/>
              </w:rPr>
              <w:t>Ikraftträdande av lagstiftning om inrättande av en nationell observationsgrupp för energifattigdom (ONPE)</w:t>
            </w:r>
          </w:p>
        </w:tc>
      </w:tr>
      <w:tr w:rsidR="00E040FD" w14:paraId="144F24A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1E2C5D" w14:textId="77777777" w:rsidR="00E040FD" w:rsidRDefault="00740D64">
            <w:pPr>
              <w:pStyle w:val="P68B1DB1-Normal23"/>
              <w:spacing w:after="0"/>
              <w:jc w:val="center"/>
              <w:rPr>
                <w:rFonts w:eastAsia="Calibri" w:cs="Calibri"/>
                <w:noProof/>
              </w:rPr>
            </w:pPr>
            <w:r>
              <w:rPr>
                <w:noProof/>
              </w:rPr>
              <w:t>21.9</w:t>
            </w:r>
          </w:p>
        </w:tc>
        <w:tc>
          <w:tcPr>
            <w:tcW w:w="1760" w:type="dxa"/>
            <w:tcBorders>
              <w:top w:val="nil"/>
              <w:left w:val="nil"/>
              <w:bottom w:val="single" w:sz="4" w:space="0" w:color="auto"/>
              <w:right w:val="single" w:sz="4" w:space="0" w:color="auto"/>
            </w:tcBorders>
            <w:shd w:val="clear" w:color="auto" w:fill="C4EFCE"/>
            <w:vAlign w:val="center"/>
            <w:hideMark/>
          </w:tcPr>
          <w:p w14:paraId="5998B2BE" w14:textId="7C8A24E2" w:rsidR="00E040FD" w:rsidRDefault="00740D64">
            <w:pPr>
              <w:pStyle w:val="P68B1DB1-Normal23"/>
              <w:spacing w:after="0"/>
              <w:jc w:val="center"/>
              <w:rPr>
                <w:rFonts w:eastAsia="Calibri" w:cs="Calibri"/>
                <w:noProof/>
              </w:rPr>
            </w:pPr>
            <w:r>
              <w:rPr>
                <w:noProof/>
              </w:rPr>
              <w:t>RP-C21-r44</w:t>
            </w:r>
          </w:p>
        </w:tc>
        <w:tc>
          <w:tcPr>
            <w:tcW w:w="1520" w:type="dxa"/>
            <w:tcBorders>
              <w:top w:val="nil"/>
              <w:left w:val="nil"/>
              <w:bottom w:val="single" w:sz="4" w:space="0" w:color="auto"/>
              <w:right w:val="single" w:sz="4" w:space="0" w:color="auto"/>
            </w:tcBorders>
            <w:shd w:val="clear" w:color="auto" w:fill="C4EFCE"/>
            <w:vAlign w:val="center"/>
            <w:hideMark/>
          </w:tcPr>
          <w:p w14:paraId="520DFD63"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DBE9B0C" w14:textId="77777777" w:rsidR="00E040FD" w:rsidRDefault="00740D64">
            <w:pPr>
              <w:pStyle w:val="P68B1DB1-Normal23"/>
              <w:spacing w:after="0"/>
              <w:jc w:val="both"/>
              <w:rPr>
                <w:rFonts w:eastAsia="Calibri" w:cs="Calibri"/>
                <w:noProof/>
              </w:rPr>
            </w:pPr>
            <w:r>
              <w:rPr>
                <w:noProof/>
              </w:rPr>
              <w:t>Undertecknande av samarbetsprotokoll</w:t>
            </w:r>
          </w:p>
        </w:tc>
      </w:tr>
      <w:tr w:rsidR="00E040FD" w14:paraId="470BD8F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3D0556" w14:textId="77777777" w:rsidR="00E040FD" w:rsidRDefault="00740D64">
            <w:pPr>
              <w:pStyle w:val="P68B1DB1-Normal23"/>
              <w:spacing w:after="0"/>
              <w:jc w:val="center"/>
              <w:rPr>
                <w:rFonts w:eastAsia="Calibri" w:cs="Calibri"/>
                <w:noProof/>
              </w:rPr>
            </w:pPr>
            <w:r>
              <w:rPr>
                <w:noProof/>
              </w:rPr>
              <w:t>21.16</w:t>
            </w:r>
          </w:p>
        </w:tc>
        <w:tc>
          <w:tcPr>
            <w:tcW w:w="1760" w:type="dxa"/>
            <w:tcBorders>
              <w:top w:val="nil"/>
              <w:left w:val="nil"/>
              <w:bottom w:val="single" w:sz="4" w:space="0" w:color="auto"/>
              <w:right w:val="single" w:sz="4" w:space="0" w:color="auto"/>
            </w:tcBorders>
            <w:shd w:val="clear" w:color="auto" w:fill="C4EFCE"/>
            <w:vAlign w:val="center"/>
            <w:hideMark/>
          </w:tcPr>
          <w:p w14:paraId="2F028DB5" w14:textId="57F1A9AD" w:rsidR="00E040FD" w:rsidRDefault="00740D64">
            <w:pPr>
              <w:pStyle w:val="P68B1DB1-Normal23"/>
              <w:spacing w:after="0"/>
              <w:jc w:val="center"/>
              <w:rPr>
                <w:rFonts w:eastAsia="Calibri" w:cs="Calibri"/>
                <w:noProof/>
              </w:rPr>
            </w:pPr>
            <w:r>
              <w:rPr>
                <w:noProof/>
              </w:rPr>
              <w:t>RP-C21-r46</w:t>
            </w:r>
          </w:p>
        </w:tc>
        <w:tc>
          <w:tcPr>
            <w:tcW w:w="1520" w:type="dxa"/>
            <w:tcBorders>
              <w:top w:val="nil"/>
              <w:left w:val="nil"/>
              <w:bottom w:val="single" w:sz="4" w:space="0" w:color="auto"/>
              <w:right w:val="single" w:sz="4" w:space="0" w:color="auto"/>
            </w:tcBorders>
            <w:shd w:val="clear" w:color="auto" w:fill="C4EFCE"/>
            <w:vAlign w:val="center"/>
            <w:hideMark/>
          </w:tcPr>
          <w:p w14:paraId="10032DF3"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5068AE8" w14:textId="77777777" w:rsidR="00E040FD" w:rsidRDefault="00740D64">
            <w:pPr>
              <w:pStyle w:val="P68B1DB1-Normal23"/>
              <w:spacing w:after="0"/>
              <w:jc w:val="both"/>
              <w:rPr>
                <w:rFonts w:eastAsia="Calibri" w:cs="Calibri"/>
                <w:noProof/>
              </w:rPr>
            </w:pPr>
            <w:r>
              <w:rPr>
                <w:noProof/>
              </w:rPr>
              <w:t>Regeringsförordningen om förnybar vätgas träder i kraft</w:t>
            </w:r>
          </w:p>
        </w:tc>
      </w:tr>
      <w:tr w:rsidR="00E040FD" w14:paraId="1D045A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C908C00" w14:textId="77777777" w:rsidR="00E040FD" w:rsidRDefault="00740D64">
            <w:pPr>
              <w:pStyle w:val="P68B1DB1-Normal23"/>
              <w:spacing w:after="0"/>
              <w:jc w:val="center"/>
              <w:rPr>
                <w:rFonts w:eastAsia="Calibri" w:cs="Calibri"/>
                <w:noProof/>
              </w:rPr>
            </w:pPr>
            <w:r>
              <w:rPr>
                <w:noProof/>
              </w:rPr>
              <w:t>21.18</w:t>
            </w:r>
          </w:p>
        </w:tc>
        <w:tc>
          <w:tcPr>
            <w:tcW w:w="1760" w:type="dxa"/>
            <w:tcBorders>
              <w:top w:val="nil"/>
              <w:left w:val="nil"/>
              <w:bottom w:val="single" w:sz="4" w:space="0" w:color="auto"/>
              <w:right w:val="single" w:sz="4" w:space="0" w:color="auto"/>
            </w:tcBorders>
            <w:shd w:val="clear" w:color="auto" w:fill="C4EFCE"/>
            <w:vAlign w:val="center"/>
            <w:hideMark/>
          </w:tcPr>
          <w:p w14:paraId="40579BEA" w14:textId="1D5A61F1" w:rsidR="00E040FD" w:rsidRDefault="00740D64">
            <w:pPr>
              <w:pStyle w:val="P68B1DB1-Normal23"/>
              <w:spacing w:after="0"/>
              <w:jc w:val="center"/>
              <w:rPr>
                <w:rFonts w:eastAsia="Calibri" w:cs="Calibri"/>
                <w:noProof/>
              </w:rPr>
            </w:pPr>
            <w:r>
              <w:rPr>
                <w:noProof/>
              </w:rPr>
              <w:t>RP-C21-r47</w:t>
            </w:r>
          </w:p>
        </w:tc>
        <w:tc>
          <w:tcPr>
            <w:tcW w:w="1520" w:type="dxa"/>
            <w:tcBorders>
              <w:top w:val="nil"/>
              <w:left w:val="nil"/>
              <w:bottom w:val="single" w:sz="4" w:space="0" w:color="auto"/>
              <w:right w:val="single" w:sz="4" w:space="0" w:color="auto"/>
            </w:tcBorders>
            <w:shd w:val="clear" w:color="auto" w:fill="C4EFCE"/>
            <w:vAlign w:val="center"/>
            <w:hideMark/>
          </w:tcPr>
          <w:p w14:paraId="7C053785"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F2FEF83" w14:textId="77777777" w:rsidR="00E040FD" w:rsidRDefault="00740D64">
            <w:pPr>
              <w:pStyle w:val="P68B1DB1-Normal23"/>
              <w:spacing w:after="0"/>
              <w:jc w:val="both"/>
              <w:rPr>
                <w:rFonts w:eastAsia="Calibri" w:cs="Calibri"/>
                <w:noProof/>
              </w:rPr>
            </w:pPr>
            <w:r>
              <w:rPr>
                <w:noProof/>
              </w:rPr>
              <w:t>Inledande av den första auktionen för centraliserade inköp av hållbar biometan</w:t>
            </w:r>
          </w:p>
        </w:tc>
      </w:tr>
      <w:tr w:rsidR="00E040FD" w14:paraId="08D90CD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190E7F" w14:textId="77777777" w:rsidR="00E040FD" w:rsidRDefault="00740D64">
            <w:pPr>
              <w:pStyle w:val="P68B1DB1-Normal23"/>
              <w:spacing w:after="0"/>
              <w:jc w:val="center"/>
              <w:rPr>
                <w:rFonts w:eastAsia="Calibri" w:cs="Calibri"/>
                <w:noProof/>
              </w:rPr>
            </w:pPr>
            <w:r>
              <w:rPr>
                <w:noProof/>
              </w:rPr>
              <w:t>21.20</w:t>
            </w:r>
          </w:p>
        </w:tc>
        <w:tc>
          <w:tcPr>
            <w:tcW w:w="1760" w:type="dxa"/>
            <w:tcBorders>
              <w:top w:val="nil"/>
              <w:left w:val="nil"/>
              <w:bottom w:val="single" w:sz="4" w:space="0" w:color="auto"/>
              <w:right w:val="single" w:sz="4" w:space="0" w:color="auto"/>
            </w:tcBorders>
            <w:shd w:val="clear" w:color="auto" w:fill="C4EFCE"/>
            <w:vAlign w:val="center"/>
            <w:hideMark/>
          </w:tcPr>
          <w:p w14:paraId="1B4E0D2F" w14:textId="42ABC8CD" w:rsidR="00E040FD" w:rsidRDefault="00740D64">
            <w:pPr>
              <w:pStyle w:val="P68B1DB1-Normal23"/>
              <w:spacing w:after="0"/>
              <w:jc w:val="center"/>
              <w:rPr>
                <w:rFonts w:eastAsia="Calibri" w:cs="Calibri"/>
                <w:noProof/>
              </w:rPr>
            </w:pPr>
            <w:r>
              <w:rPr>
                <w:noProof/>
              </w:rPr>
              <w:t>RP-C21-r48</w:t>
            </w:r>
          </w:p>
        </w:tc>
        <w:tc>
          <w:tcPr>
            <w:tcW w:w="1520" w:type="dxa"/>
            <w:tcBorders>
              <w:top w:val="nil"/>
              <w:left w:val="nil"/>
              <w:bottom w:val="single" w:sz="4" w:space="0" w:color="auto"/>
              <w:right w:val="single" w:sz="4" w:space="0" w:color="auto"/>
            </w:tcBorders>
            <w:shd w:val="clear" w:color="auto" w:fill="C4EFCE"/>
            <w:vAlign w:val="center"/>
            <w:hideMark/>
          </w:tcPr>
          <w:p w14:paraId="1C5C7EE5"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37CE139" w14:textId="77777777" w:rsidR="00E040FD" w:rsidRDefault="00740D64">
            <w:pPr>
              <w:pStyle w:val="P68B1DB1-Normal23"/>
              <w:spacing w:after="0"/>
              <w:jc w:val="both"/>
              <w:rPr>
                <w:rFonts w:eastAsia="Calibri" w:cs="Calibri"/>
                <w:noProof/>
              </w:rPr>
            </w:pPr>
            <w:r>
              <w:rPr>
                <w:noProof/>
              </w:rPr>
              <w:t>Inrättande av umer 2030</w:t>
            </w:r>
          </w:p>
        </w:tc>
      </w:tr>
      <w:tr w:rsidR="00E040FD" w14:paraId="4DEAB17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9CF6D3B" w14:textId="77777777" w:rsidR="00E040FD" w:rsidRDefault="00740D64">
            <w:pPr>
              <w:pStyle w:val="P68B1DB1-Normal23"/>
              <w:spacing w:after="0"/>
              <w:jc w:val="center"/>
              <w:rPr>
                <w:rFonts w:eastAsia="Calibri" w:cs="Calibri"/>
                <w:noProof/>
              </w:rPr>
            </w:pPr>
            <w:r>
              <w:rPr>
                <w:noProof/>
              </w:rPr>
              <w:t>21.21</w:t>
            </w:r>
          </w:p>
        </w:tc>
        <w:tc>
          <w:tcPr>
            <w:tcW w:w="1760" w:type="dxa"/>
            <w:tcBorders>
              <w:top w:val="nil"/>
              <w:left w:val="nil"/>
              <w:bottom w:val="single" w:sz="4" w:space="0" w:color="auto"/>
              <w:right w:val="single" w:sz="4" w:space="0" w:color="auto"/>
            </w:tcBorders>
            <w:shd w:val="clear" w:color="auto" w:fill="C4EFCE"/>
            <w:vAlign w:val="center"/>
            <w:hideMark/>
          </w:tcPr>
          <w:p w14:paraId="759E15F8" w14:textId="0BC1ACC6" w:rsidR="00E040FD" w:rsidRDefault="00740D64">
            <w:pPr>
              <w:pStyle w:val="P68B1DB1-Normal23"/>
              <w:spacing w:after="0"/>
              <w:jc w:val="center"/>
              <w:rPr>
                <w:rFonts w:eastAsia="Calibri" w:cs="Calibri"/>
                <w:noProof/>
              </w:rPr>
            </w:pPr>
            <w:r>
              <w:rPr>
                <w:noProof/>
              </w:rPr>
              <w:t>RP-C21-r48</w:t>
            </w:r>
          </w:p>
        </w:tc>
        <w:tc>
          <w:tcPr>
            <w:tcW w:w="1520" w:type="dxa"/>
            <w:tcBorders>
              <w:top w:val="nil"/>
              <w:left w:val="nil"/>
              <w:bottom w:val="single" w:sz="4" w:space="0" w:color="auto"/>
              <w:right w:val="single" w:sz="4" w:space="0" w:color="auto"/>
            </w:tcBorders>
            <w:shd w:val="clear" w:color="auto" w:fill="C4EFCE"/>
            <w:vAlign w:val="center"/>
            <w:hideMark/>
          </w:tcPr>
          <w:p w14:paraId="4CBDCB5F"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2FD427" w14:textId="77777777" w:rsidR="00E040FD" w:rsidRDefault="00740D64">
            <w:pPr>
              <w:pStyle w:val="P68B1DB1-Normal23"/>
              <w:spacing w:after="0"/>
              <w:jc w:val="both"/>
              <w:rPr>
                <w:rFonts w:eastAsia="Calibri" w:cs="Calibri"/>
                <w:noProof/>
              </w:rPr>
            </w:pPr>
            <w:r>
              <w:rPr>
                <w:noProof/>
              </w:rPr>
              <w:t>Ikraftträdande av förordningen om kommunal licensiering av projekt för förnybar energi och lagring</w:t>
            </w:r>
          </w:p>
        </w:tc>
      </w:tr>
      <w:tr w:rsidR="00E040FD" w14:paraId="544DFB9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A5E44A" w14:textId="77777777" w:rsidR="00E040FD" w:rsidRDefault="00740D64">
            <w:pPr>
              <w:pStyle w:val="P68B1DB1-Normal23"/>
              <w:spacing w:after="0"/>
              <w:jc w:val="center"/>
              <w:rPr>
                <w:rFonts w:eastAsia="Calibri" w:cs="Calibri"/>
                <w:noProof/>
              </w:rPr>
            </w:pPr>
            <w:r>
              <w:rPr>
                <w:noProof/>
              </w:rPr>
              <w:t>21.24</w:t>
            </w:r>
          </w:p>
        </w:tc>
        <w:tc>
          <w:tcPr>
            <w:tcW w:w="1760" w:type="dxa"/>
            <w:tcBorders>
              <w:top w:val="nil"/>
              <w:left w:val="nil"/>
              <w:bottom w:val="single" w:sz="4" w:space="0" w:color="auto"/>
              <w:right w:val="single" w:sz="4" w:space="0" w:color="auto"/>
            </w:tcBorders>
            <w:shd w:val="clear" w:color="auto" w:fill="C4EFCE"/>
            <w:vAlign w:val="center"/>
            <w:hideMark/>
          </w:tcPr>
          <w:p w14:paraId="5A33B31D" w14:textId="1FC01E9E" w:rsidR="00E040FD" w:rsidRDefault="00740D64">
            <w:pPr>
              <w:pStyle w:val="P68B1DB1-Normal23"/>
              <w:spacing w:after="0"/>
              <w:jc w:val="center"/>
              <w:rPr>
                <w:rFonts w:eastAsia="Calibri" w:cs="Calibri"/>
                <w:noProof/>
              </w:rPr>
            </w:pPr>
            <w:r>
              <w:rPr>
                <w:noProof/>
              </w:rPr>
              <w:t>RP-C21-i06</w:t>
            </w:r>
          </w:p>
        </w:tc>
        <w:tc>
          <w:tcPr>
            <w:tcW w:w="1520" w:type="dxa"/>
            <w:tcBorders>
              <w:top w:val="nil"/>
              <w:left w:val="nil"/>
              <w:bottom w:val="single" w:sz="4" w:space="0" w:color="auto"/>
              <w:right w:val="single" w:sz="4" w:space="0" w:color="auto"/>
            </w:tcBorders>
            <w:shd w:val="clear" w:color="auto" w:fill="C4EFCE"/>
            <w:vAlign w:val="center"/>
            <w:hideMark/>
          </w:tcPr>
          <w:p w14:paraId="0C6B3D46"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91A62D3" w14:textId="77777777" w:rsidR="00E040FD" w:rsidRDefault="00740D64">
            <w:pPr>
              <w:pStyle w:val="P68B1DB1-Normal23"/>
              <w:spacing w:after="0"/>
              <w:jc w:val="both"/>
              <w:rPr>
                <w:rFonts w:eastAsia="Calibri" w:cs="Calibri"/>
                <w:noProof/>
              </w:rPr>
            </w:pPr>
            <w:r>
              <w:rPr>
                <w:noProof/>
              </w:rPr>
              <w:t>Anbudsinfordran för projekt för produktion av förnybar gas</w:t>
            </w:r>
          </w:p>
        </w:tc>
      </w:tr>
      <w:tr w:rsidR="00E040FD" w14:paraId="449FA24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EB8A505" w14:textId="77777777" w:rsidR="00E040FD" w:rsidRDefault="00740D64">
            <w:pPr>
              <w:pStyle w:val="P68B1DB1-Normal23"/>
              <w:spacing w:after="0"/>
              <w:jc w:val="center"/>
              <w:rPr>
                <w:rFonts w:eastAsia="Calibri" w:cs="Calibri"/>
                <w:noProof/>
              </w:rPr>
            </w:pPr>
            <w:r>
              <w:rPr>
                <w:noProof/>
              </w:rPr>
              <w:t xml:space="preserve"> </w:t>
            </w:r>
          </w:p>
        </w:tc>
        <w:tc>
          <w:tcPr>
            <w:tcW w:w="1760" w:type="dxa"/>
            <w:tcBorders>
              <w:top w:val="nil"/>
              <w:left w:val="nil"/>
              <w:bottom w:val="single" w:sz="4" w:space="0" w:color="auto"/>
              <w:right w:val="single" w:sz="4" w:space="0" w:color="auto"/>
            </w:tcBorders>
            <w:shd w:val="clear" w:color="auto" w:fill="C4EFCE"/>
            <w:vAlign w:val="center"/>
            <w:hideMark/>
          </w:tcPr>
          <w:p w14:paraId="1C9F8543" w14:textId="77777777" w:rsidR="00E040FD" w:rsidRDefault="00740D64">
            <w:pPr>
              <w:pStyle w:val="P68B1DB1-Normal23"/>
              <w:spacing w:after="0"/>
              <w:jc w:val="center"/>
              <w:rPr>
                <w:rFonts w:eastAsia="Calibri" w:cs="Calibri"/>
                <w:noProof/>
              </w:rPr>
            </w:pPr>
            <w:r>
              <w:rPr>
                <w:noProof/>
              </w:rPr>
              <w:t xml:space="preserve">  </w:t>
            </w:r>
          </w:p>
        </w:tc>
        <w:tc>
          <w:tcPr>
            <w:tcW w:w="1520" w:type="dxa"/>
            <w:tcBorders>
              <w:top w:val="nil"/>
              <w:left w:val="nil"/>
              <w:bottom w:val="single" w:sz="4" w:space="0" w:color="auto"/>
              <w:right w:val="single" w:sz="4" w:space="0" w:color="auto"/>
            </w:tcBorders>
            <w:shd w:val="clear" w:color="auto" w:fill="C4EFCE"/>
            <w:vAlign w:val="center"/>
            <w:hideMark/>
          </w:tcPr>
          <w:p w14:paraId="2EC82A04" w14:textId="77777777" w:rsidR="00E040FD" w:rsidRDefault="00740D64">
            <w:pPr>
              <w:pStyle w:val="P68B1DB1-Normal23"/>
              <w:spacing w:after="0"/>
              <w:jc w:val="center"/>
              <w:rPr>
                <w:rFonts w:eastAsia="Calibri" w:cs="Calibri"/>
                <w:noProof/>
              </w:rPr>
            </w:pPr>
            <w:r>
              <w:rPr>
                <w:noProof/>
              </w:rPr>
              <w:t xml:space="preserve">Delbetalning, belopp </w:t>
            </w:r>
          </w:p>
        </w:tc>
        <w:tc>
          <w:tcPr>
            <w:tcW w:w="5060" w:type="dxa"/>
            <w:tcBorders>
              <w:top w:val="nil"/>
              <w:left w:val="nil"/>
              <w:bottom w:val="single" w:sz="4" w:space="0" w:color="auto"/>
              <w:right w:val="single" w:sz="4" w:space="0" w:color="auto"/>
            </w:tcBorders>
            <w:shd w:val="clear" w:color="auto" w:fill="C4EFCE"/>
            <w:vAlign w:val="center"/>
            <w:hideMark/>
          </w:tcPr>
          <w:p w14:paraId="5000AAA7" w14:textId="4A9A28C1" w:rsidR="00E040FD" w:rsidRDefault="00740D64">
            <w:pPr>
              <w:pStyle w:val="P68B1DB1-Normal25"/>
              <w:spacing w:after="0"/>
              <w:jc w:val="center"/>
              <w:rPr>
                <w:rFonts w:eastAsia="Calibri" w:cs="Calibri"/>
                <w:noProof/>
                <w:sz w:val="18"/>
              </w:rPr>
            </w:pPr>
            <w:r>
              <w:rPr>
                <w:noProof/>
              </w:rPr>
              <w:t xml:space="preserve">1 877 616 715 EUR </w:t>
            </w:r>
          </w:p>
        </w:tc>
      </w:tr>
    </w:tbl>
    <w:p w14:paraId="3B218749" w14:textId="77777777" w:rsidR="00E040FD" w:rsidRDefault="00E040FD">
      <w:pPr>
        <w:rPr>
          <w:noProof/>
          <w:sz w:val="18"/>
        </w:rPr>
      </w:pPr>
    </w:p>
    <w:p w14:paraId="104FE146"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Sjätte betalningsansökan (icke återbetalningspliktigt stöd): </w:t>
      </w:r>
    </w:p>
    <w:p w14:paraId="63820787" w14:textId="77777777" w:rsidR="00E040FD" w:rsidRDefault="00E040FD">
      <w:pPr>
        <w:keepNext/>
        <w:spacing w:before="40" w:after="160" w:line="259" w:lineRule="auto"/>
        <w:contextualSpacing/>
        <w:jc w:val="both"/>
        <w:rPr>
          <w:rFonts w:ascii="Times New Roman" w:eastAsiaTheme="minorEastAsia" w:hAnsi="Times New Roman" w:cs="Times New Roman"/>
          <w:noProof/>
          <w:sz w:val="18"/>
        </w:rPr>
      </w:pPr>
    </w:p>
    <w:tbl>
      <w:tblPr>
        <w:tblW w:w="9540" w:type="dxa"/>
        <w:tblInd w:w="113" w:type="dxa"/>
        <w:tblLook w:val="04A0" w:firstRow="1" w:lastRow="0" w:firstColumn="1" w:lastColumn="0" w:noHBand="0" w:noVBand="1"/>
      </w:tblPr>
      <w:tblGrid>
        <w:gridCol w:w="1187"/>
        <w:gridCol w:w="1729"/>
        <w:gridCol w:w="1490"/>
        <w:gridCol w:w="4912"/>
        <w:gridCol w:w="222"/>
      </w:tblGrid>
      <w:tr w:rsidR="00E040FD" w14:paraId="5C1078BA" w14:textId="77777777">
        <w:trPr>
          <w:trHeight w:val="1065"/>
          <w:tblHeader/>
        </w:trPr>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0E67C2BA" w14:textId="77777777" w:rsidR="00E040FD" w:rsidRDefault="00740D64">
            <w:pPr>
              <w:pStyle w:val="P68B1DB1-Normal6"/>
              <w:spacing w:after="0" w:line="240" w:lineRule="auto"/>
              <w:jc w:val="center"/>
              <w:rPr>
                <w:rFonts w:eastAsia="Times New Roman" w:cs="Times New Roman"/>
                <w:noProof/>
              </w:rPr>
            </w:pPr>
            <w:r>
              <w:rPr>
                <w:noProof/>
              </w:rPr>
              <w:t>Löpnummer</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3DA616A3" w14:textId="77777777" w:rsidR="00E040FD" w:rsidRDefault="00740D64">
            <w:pPr>
              <w:pStyle w:val="P68B1DB1-Normal6"/>
              <w:spacing w:after="0" w:line="240" w:lineRule="auto"/>
              <w:jc w:val="center"/>
              <w:rPr>
                <w:rFonts w:eastAsia="Times New Roman" w:cs="Times New Roman"/>
                <w:noProof/>
              </w:rPr>
            </w:pPr>
            <w:r>
              <w:rPr>
                <w:noProof/>
              </w:rPr>
              <w:t>Berörd åtgärd (reform eller investering)</w:t>
            </w:r>
          </w:p>
        </w:tc>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27BF467B" w14:textId="77777777" w:rsidR="00E040FD" w:rsidRDefault="00740D64">
            <w:pPr>
              <w:pStyle w:val="P68B1DB1-Normal6"/>
              <w:spacing w:after="0" w:line="240" w:lineRule="auto"/>
              <w:jc w:val="center"/>
              <w:rPr>
                <w:rFonts w:eastAsia="Times New Roman" w:cs="Times New Roman"/>
                <w:noProof/>
              </w:rPr>
            </w:pPr>
            <w:r>
              <w:rPr>
                <w:noProof/>
              </w:rPr>
              <w:t>Delmål/mål</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6FFF994C" w14:textId="77777777" w:rsidR="00E040FD" w:rsidRDefault="00740D64">
            <w:pPr>
              <w:pStyle w:val="P68B1DB1-Normal6"/>
              <w:spacing w:after="0" w:line="240" w:lineRule="auto"/>
              <w:jc w:val="center"/>
              <w:rPr>
                <w:rFonts w:eastAsia="Times New Roman" w:cs="Times New Roman"/>
                <w:noProof/>
              </w:rPr>
            </w:pPr>
            <w:r>
              <w:rPr>
                <w:noProof/>
              </w:rPr>
              <w:t>Namn</w:t>
            </w:r>
          </w:p>
        </w:tc>
        <w:tc>
          <w:tcPr>
            <w:tcW w:w="0" w:type="auto"/>
          </w:tcPr>
          <w:p w14:paraId="3BA8F6CA" w14:textId="77777777" w:rsidR="00E040FD" w:rsidRDefault="00E040FD">
            <w:pPr>
              <w:spacing w:after="0" w:line="240" w:lineRule="auto"/>
              <w:rPr>
                <w:noProof/>
                <w:sz w:val="18"/>
              </w:rPr>
            </w:pPr>
          </w:p>
        </w:tc>
      </w:tr>
      <w:tr w:rsidR="00E040FD" w14:paraId="40A55A26"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7EF44D23" w14:textId="77777777" w:rsidR="00E040FD" w:rsidRDefault="00740D64">
            <w:pPr>
              <w:pStyle w:val="P68B1DB1-Normal23"/>
              <w:spacing w:after="0"/>
              <w:jc w:val="center"/>
              <w:rPr>
                <w:rFonts w:eastAsia="Calibri" w:cs="Calibri"/>
                <w:noProof/>
              </w:rPr>
            </w:pPr>
            <w:r>
              <w:rPr>
                <w:noProof/>
              </w:rPr>
              <w:t>1.7</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7D40222F" w14:textId="77777777" w:rsidR="00E040FD" w:rsidRDefault="00740D64">
            <w:pPr>
              <w:pStyle w:val="P68B1DB1-Normal23"/>
              <w:spacing w:after="0"/>
              <w:jc w:val="center"/>
              <w:rPr>
                <w:rFonts w:eastAsia="Calibri" w:cs="Calibri"/>
                <w:noProof/>
              </w:rPr>
            </w:pPr>
            <w:r>
              <w:rPr>
                <w:noProof/>
              </w:rPr>
              <w:t xml:space="preserve">RE-C01-r03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206C69A0"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7A1CDF09" w14:textId="77777777" w:rsidR="00E040FD" w:rsidRDefault="00740D64">
            <w:pPr>
              <w:pStyle w:val="P68B1DB1-Normal23"/>
              <w:spacing w:after="0"/>
              <w:jc w:val="both"/>
              <w:rPr>
                <w:rFonts w:eastAsia="Calibri" w:cs="Calibri"/>
                <w:noProof/>
              </w:rPr>
            </w:pPr>
            <w:r>
              <w:rPr>
                <w:noProof/>
              </w:rPr>
              <w:t>Ikraftträdande av den nya förvaltningsplanen för den nationella hälso- och sjukvården</w:t>
            </w:r>
          </w:p>
        </w:tc>
      </w:tr>
      <w:tr w:rsidR="00E040FD" w14:paraId="66751B46" w14:textId="77777777">
        <w:trPr>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228043A4" w14:textId="77777777" w:rsidR="00E040FD" w:rsidRDefault="00740D64">
            <w:pPr>
              <w:pStyle w:val="P68B1DB1-Normal23"/>
              <w:spacing w:after="0"/>
              <w:jc w:val="center"/>
              <w:rPr>
                <w:rFonts w:eastAsia="Calibri" w:cs="Calibri"/>
                <w:noProof/>
              </w:rPr>
            </w:pPr>
            <w:r>
              <w:rPr>
                <w:noProof/>
              </w:rPr>
              <w:t>1.11</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2DAFAA45" w14:textId="77777777" w:rsidR="00E040FD" w:rsidRDefault="00740D64">
            <w:pPr>
              <w:pStyle w:val="P68B1DB1-Normal23"/>
              <w:spacing w:after="0"/>
              <w:jc w:val="center"/>
              <w:rPr>
                <w:rFonts w:eastAsia="Calibri" w:cs="Calibri"/>
                <w:noProof/>
              </w:rPr>
            </w:pPr>
            <w:r>
              <w:rPr>
                <w:noProof/>
              </w:rPr>
              <w:t xml:space="preserve">RE-C01-r03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4723DBAD"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45AF680B" w14:textId="77777777" w:rsidR="00E040FD" w:rsidRDefault="00740D64">
            <w:pPr>
              <w:pStyle w:val="P68B1DB1-Normal23"/>
              <w:spacing w:after="0"/>
              <w:jc w:val="both"/>
              <w:rPr>
                <w:rFonts w:eastAsia="Calibri" w:cs="Calibri"/>
                <w:noProof/>
              </w:rPr>
            </w:pPr>
            <w:r>
              <w:rPr>
                <w:noProof/>
              </w:rPr>
              <w:t>Ikraftträdande av handlingsplanen för att stärka centraliserade inköpsmekanismer för läkemedel</w:t>
            </w:r>
          </w:p>
        </w:tc>
        <w:tc>
          <w:tcPr>
            <w:tcW w:w="0" w:type="auto"/>
          </w:tcPr>
          <w:p w14:paraId="753752EC" w14:textId="77777777" w:rsidR="00E040FD" w:rsidRDefault="00E040FD">
            <w:pPr>
              <w:spacing w:after="0" w:line="240" w:lineRule="auto"/>
              <w:rPr>
                <w:noProof/>
                <w:sz w:val="18"/>
              </w:rPr>
            </w:pPr>
          </w:p>
        </w:tc>
      </w:tr>
      <w:tr w:rsidR="00E040FD" w14:paraId="1808919D"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35A429DE" w14:textId="77777777" w:rsidR="00E040FD" w:rsidRDefault="00740D64">
            <w:pPr>
              <w:pStyle w:val="P68B1DB1-Normal23"/>
              <w:spacing w:after="0"/>
              <w:jc w:val="center"/>
              <w:rPr>
                <w:rFonts w:eastAsia="Calibri" w:cs="Calibri"/>
                <w:noProof/>
              </w:rPr>
            </w:pPr>
            <w:r>
              <w:rPr>
                <w:noProof/>
              </w:rPr>
              <w:t>1.22</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75E6F087" w14:textId="77777777" w:rsidR="00E040FD" w:rsidRDefault="00740D64">
            <w:pPr>
              <w:pStyle w:val="P68B1DB1-Normal23"/>
              <w:spacing w:after="0"/>
              <w:jc w:val="center"/>
              <w:rPr>
                <w:rFonts w:eastAsia="Calibri" w:cs="Calibri"/>
                <w:noProof/>
              </w:rPr>
            </w:pPr>
            <w:r>
              <w:rPr>
                <w:noProof/>
              </w:rPr>
              <w:t>RE-C01-i02</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37A664CD" w14:textId="77777777" w:rsidR="00E040FD" w:rsidRDefault="00740D64">
            <w:pPr>
              <w:pStyle w:val="P68B1DB1-Normal23"/>
              <w:spacing w:after="0"/>
              <w:jc w:val="center"/>
              <w:rPr>
                <w:rFonts w:eastAsia="Calibri" w:cs="Calibri"/>
                <w:noProof/>
              </w:rPr>
            </w:pPr>
            <w:r>
              <w:rPr>
                <w:noProof/>
              </w:rPr>
              <w:t>T</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0575ECC2" w14:textId="77777777" w:rsidR="00E040FD" w:rsidRDefault="00740D64">
            <w:pPr>
              <w:pStyle w:val="P68B1DB1-Normal23"/>
              <w:spacing w:after="0"/>
              <w:jc w:val="both"/>
              <w:rPr>
                <w:rFonts w:eastAsia="Calibri" w:cs="Calibri"/>
                <w:noProof/>
              </w:rPr>
            </w:pPr>
            <w:r>
              <w:rPr>
                <w:noProof/>
              </w:rPr>
              <w:t>Stärka insatskapaciteten hos de nationella nätverken för integrerad fortsatt vård och palliativ vård i hemmet</w:t>
            </w:r>
          </w:p>
        </w:tc>
      </w:tr>
      <w:tr w:rsidR="00E040FD" w14:paraId="40001357"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1BC70449" w14:textId="77777777" w:rsidR="00E040FD" w:rsidRDefault="00740D64">
            <w:pPr>
              <w:pStyle w:val="P68B1DB1-Normal23"/>
              <w:spacing w:after="0"/>
              <w:jc w:val="center"/>
              <w:rPr>
                <w:rFonts w:eastAsia="Calibri" w:cs="Calibri"/>
                <w:noProof/>
              </w:rPr>
            </w:pPr>
            <w:r>
              <w:rPr>
                <w:noProof/>
              </w:rPr>
              <w:t>3.6</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3CFC2C9A" w14:textId="77777777" w:rsidR="00E040FD" w:rsidRDefault="00740D64">
            <w:pPr>
              <w:pStyle w:val="P68B1DB1-Normal23"/>
              <w:spacing w:after="0"/>
              <w:jc w:val="center"/>
              <w:rPr>
                <w:rFonts w:eastAsia="Calibri" w:cs="Calibri"/>
                <w:noProof/>
              </w:rPr>
            </w:pPr>
            <w:r>
              <w:rPr>
                <w:noProof/>
              </w:rPr>
              <w:t xml:space="preserve">RE-C01-i02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3147DFBF" w14:textId="77777777" w:rsidR="00E040FD" w:rsidRDefault="00740D64">
            <w:pPr>
              <w:pStyle w:val="P68B1DB1-Normal23"/>
              <w:spacing w:after="0"/>
              <w:jc w:val="center"/>
              <w:rPr>
                <w:rFonts w:eastAsia="Calibri" w:cs="Calibri"/>
                <w:noProof/>
              </w:rPr>
            </w:pPr>
            <w:r>
              <w:rPr>
                <w:noProof/>
              </w:rPr>
              <w:t>T</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2D5F6706" w14:textId="77777777" w:rsidR="00E040FD" w:rsidRDefault="00740D64">
            <w:pPr>
              <w:pStyle w:val="P68B1DB1-Normal23"/>
              <w:spacing w:after="0"/>
              <w:jc w:val="both"/>
              <w:rPr>
                <w:rFonts w:eastAsia="Calibri" w:cs="Calibri"/>
                <w:noProof/>
              </w:rPr>
            </w:pPr>
            <w:r>
              <w:rPr>
                <w:noProof/>
              </w:rPr>
              <w:t>Bostäder med förbättrad tillgänglighet för personer med nedsatt rörlighet</w:t>
            </w:r>
          </w:p>
        </w:tc>
      </w:tr>
      <w:tr w:rsidR="00E040FD" w14:paraId="6146DE32"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5DF2D95B" w14:textId="77777777" w:rsidR="00E040FD" w:rsidRDefault="00740D64">
            <w:pPr>
              <w:pStyle w:val="P68B1DB1-Normal23"/>
              <w:spacing w:after="0"/>
              <w:jc w:val="center"/>
              <w:rPr>
                <w:rFonts w:eastAsia="Calibri" w:cs="Calibri"/>
                <w:noProof/>
              </w:rPr>
            </w:pPr>
            <w:r>
              <w:rPr>
                <w:noProof/>
              </w:rPr>
              <w:t>3.25</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48894F5A" w14:textId="77777777" w:rsidR="00E040FD" w:rsidRDefault="00740D64">
            <w:pPr>
              <w:pStyle w:val="P68B1DB1-Normal23"/>
              <w:spacing w:after="0"/>
              <w:jc w:val="center"/>
              <w:rPr>
                <w:rFonts w:eastAsia="Calibri" w:cs="Calibri"/>
                <w:noProof/>
              </w:rPr>
            </w:pPr>
            <w:r>
              <w:rPr>
                <w:noProof/>
              </w:rPr>
              <w:t>RE-C01-i06</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56B5FA9F"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1E5C982E" w14:textId="77777777" w:rsidR="00E040FD" w:rsidRDefault="00740D64">
            <w:pPr>
              <w:pStyle w:val="P68B1DB1-Normal23"/>
              <w:spacing w:after="0"/>
              <w:jc w:val="both"/>
              <w:rPr>
                <w:rFonts w:eastAsia="Calibri" w:cs="Calibri"/>
                <w:noProof/>
              </w:rPr>
            </w:pPr>
            <w:r>
              <w:rPr>
                <w:noProof/>
              </w:rPr>
              <w:t>Offentliggörande av en övervakningsrapport från storstadsområdena Porto och Lissabon om de åtgärder som vidtagits i vart och ett av de 12 insatsområdena.</w:t>
            </w:r>
          </w:p>
        </w:tc>
      </w:tr>
      <w:tr w:rsidR="00E040FD" w14:paraId="0020D0F3"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6C71AEC" w14:textId="77777777" w:rsidR="00E040FD" w:rsidRDefault="00740D64">
            <w:pPr>
              <w:pStyle w:val="P68B1DB1-Normal23"/>
              <w:spacing w:after="0"/>
              <w:jc w:val="center"/>
              <w:rPr>
                <w:rFonts w:eastAsia="Calibri" w:cs="Calibri"/>
                <w:noProof/>
              </w:rPr>
            </w:pPr>
            <w:r>
              <w:rPr>
                <w:noProof/>
              </w:rPr>
              <w:t>5.33</w:t>
            </w:r>
          </w:p>
        </w:tc>
        <w:tc>
          <w:tcPr>
            <w:tcW w:w="1731" w:type="dxa"/>
            <w:tcBorders>
              <w:top w:val="nil"/>
              <w:left w:val="nil"/>
              <w:bottom w:val="single" w:sz="4" w:space="0" w:color="auto"/>
              <w:right w:val="single" w:sz="4" w:space="0" w:color="auto"/>
            </w:tcBorders>
            <w:shd w:val="clear" w:color="auto" w:fill="C4EFCE"/>
            <w:vAlign w:val="center"/>
            <w:hideMark/>
          </w:tcPr>
          <w:p w14:paraId="4F60CC1D" w14:textId="6EDC4274" w:rsidR="00E040FD" w:rsidRDefault="00740D64">
            <w:pPr>
              <w:pStyle w:val="P68B1DB1-Normal23"/>
              <w:spacing w:after="0"/>
              <w:jc w:val="center"/>
              <w:rPr>
                <w:rFonts w:eastAsia="Calibri" w:cs="Calibri"/>
                <w:noProof/>
              </w:rPr>
            </w:pPr>
            <w:r>
              <w:rPr>
                <w:noProof/>
              </w:rPr>
              <w:t xml:space="preserve">RE-C05-i07-RAM </w:t>
            </w:r>
          </w:p>
        </w:tc>
        <w:tc>
          <w:tcPr>
            <w:tcW w:w="1491" w:type="dxa"/>
            <w:tcBorders>
              <w:top w:val="nil"/>
              <w:left w:val="nil"/>
              <w:bottom w:val="single" w:sz="4" w:space="0" w:color="auto"/>
              <w:right w:val="single" w:sz="4" w:space="0" w:color="auto"/>
            </w:tcBorders>
            <w:shd w:val="clear" w:color="auto" w:fill="C4EFCE"/>
            <w:vAlign w:val="center"/>
            <w:hideMark/>
          </w:tcPr>
          <w:p w14:paraId="4F836274"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E64E7E2" w14:textId="77777777" w:rsidR="00E040FD" w:rsidRDefault="00740D64">
            <w:pPr>
              <w:pStyle w:val="P68B1DB1-Normal23"/>
              <w:spacing w:after="0"/>
              <w:jc w:val="both"/>
              <w:rPr>
                <w:rFonts w:eastAsia="Calibri" w:cs="Calibri"/>
                <w:noProof/>
              </w:rPr>
            </w:pPr>
            <w:r>
              <w:rPr>
                <w:noProof/>
              </w:rPr>
              <w:t>Undertecknande av genomförandeavtalet (protokollet) mellan Banco Português de Fomento, Instituto de Desenvolvimento Empresarial och utvalda finansiella intermediärer</w:t>
            </w:r>
          </w:p>
        </w:tc>
      </w:tr>
      <w:tr w:rsidR="00E040FD" w14:paraId="30129324"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05FCB9E5" w14:textId="77777777" w:rsidR="00E040FD" w:rsidRDefault="00740D64">
            <w:pPr>
              <w:pStyle w:val="P68B1DB1-Normal23"/>
              <w:spacing w:after="0"/>
              <w:jc w:val="center"/>
              <w:rPr>
                <w:rFonts w:eastAsia="Calibri" w:cs="Calibri"/>
                <w:noProof/>
              </w:rPr>
            </w:pPr>
            <w:r>
              <w:rPr>
                <w:noProof/>
              </w:rPr>
              <w:t>8.21</w:t>
            </w:r>
          </w:p>
        </w:tc>
        <w:tc>
          <w:tcPr>
            <w:tcW w:w="1731" w:type="dxa"/>
            <w:tcBorders>
              <w:top w:val="nil"/>
              <w:left w:val="nil"/>
              <w:bottom w:val="single" w:sz="4" w:space="0" w:color="auto"/>
              <w:right w:val="single" w:sz="4" w:space="0" w:color="auto"/>
            </w:tcBorders>
            <w:shd w:val="clear" w:color="auto" w:fill="C4EFCE"/>
            <w:vAlign w:val="center"/>
            <w:hideMark/>
          </w:tcPr>
          <w:p w14:paraId="4B7441D6" w14:textId="77777777" w:rsidR="00E040FD" w:rsidRDefault="00740D64">
            <w:pPr>
              <w:pStyle w:val="P68B1DB1-Normal23"/>
              <w:spacing w:after="0"/>
              <w:jc w:val="center"/>
              <w:rPr>
                <w:rFonts w:eastAsia="Calibri" w:cs="Calibri"/>
                <w:noProof/>
              </w:rPr>
            </w:pPr>
            <w:r>
              <w:rPr>
                <w:noProof/>
              </w:rPr>
              <w:t>RE-C08-i05</w:t>
            </w:r>
          </w:p>
        </w:tc>
        <w:tc>
          <w:tcPr>
            <w:tcW w:w="1491" w:type="dxa"/>
            <w:tcBorders>
              <w:top w:val="nil"/>
              <w:left w:val="nil"/>
              <w:bottom w:val="single" w:sz="4" w:space="0" w:color="auto"/>
              <w:right w:val="single" w:sz="4" w:space="0" w:color="auto"/>
            </w:tcBorders>
            <w:shd w:val="clear" w:color="auto" w:fill="C4EFCE"/>
            <w:vAlign w:val="center"/>
            <w:hideMark/>
          </w:tcPr>
          <w:p w14:paraId="460E8712"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6608672" w14:textId="77777777" w:rsidR="00E040FD" w:rsidRDefault="00740D64">
            <w:pPr>
              <w:pStyle w:val="P68B1DB1-Normal23"/>
              <w:spacing w:after="0"/>
              <w:jc w:val="both"/>
              <w:rPr>
                <w:rFonts w:eastAsia="Calibri" w:cs="Calibri"/>
                <w:noProof/>
              </w:rPr>
            </w:pPr>
            <w:r>
              <w:rPr>
                <w:noProof/>
              </w:rPr>
              <w:t>Utveckling av medvetandehöjande kampanjer för att förebygga riskfyllda beteenden</w:t>
            </w:r>
          </w:p>
        </w:tc>
      </w:tr>
      <w:tr w:rsidR="00E040FD" w14:paraId="143CDEBF"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53A389BE" w14:textId="77777777" w:rsidR="00E040FD" w:rsidRDefault="00740D64">
            <w:pPr>
              <w:pStyle w:val="P68B1DB1-Normal23"/>
              <w:spacing w:after="0"/>
              <w:jc w:val="center"/>
              <w:rPr>
                <w:rFonts w:eastAsia="Calibri" w:cs="Calibri"/>
                <w:noProof/>
              </w:rPr>
            </w:pPr>
            <w:r>
              <w:rPr>
                <w:noProof/>
              </w:rPr>
              <w:t>10.13</w:t>
            </w:r>
          </w:p>
        </w:tc>
        <w:tc>
          <w:tcPr>
            <w:tcW w:w="1731" w:type="dxa"/>
            <w:tcBorders>
              <w:top w:val="nil"/>
              <w:left w:val="nil"/>
              <w:bottom w:val="single" w:sz="4" w:space="0" w:color="auto"/>
              <w:right w:val="single" w:sz="4" w:space="0" w:color="auto"/>
            </w:tcBorders>
            <w:shd w:val="clear" w:color="auto" w:fill="C4EFCE"/>
            <w:vAlign w:val="center"/>
            <w:hideMark/>
          </w:tcPr>
          <w:p w14:paraId="43E82AAB" w14:textId="5D3C7004" w:rsidR="00E040FD" w:rsidRDefault="00740D64">
            <w:pPr>
              <w:pStyle w:val="P68B1DB1-Normal23"/>
              <w:spacing w:after="0"/>
              <w:jc w:val="center"/>
              <w:rPr>
                <w:rFonts w:eastAsia="Calibri" w:cs="Calibri"/>
                <w:noProof/>
              </w:rPr>
            </w:pPr>
            <w:r>
              <w:rPr>
                <w:noProof/>
              </w:rPr>
              <w:t xml:space="preserve">TC-C10-i06-RAM </w:t>
            </w:r>
          </w:p>
        </w:tc>
        <w:tc>
          <w:tcPr>
            <w:tcW w:w="1491" w:type="dxa"/>
            <w:tcBorders>
              <w:top w:val="nil"/>
              <w:left w:val="nil"/>
              <w:bottom w:val="single" w:sz="4" w:space="0" w:color="auto"/>
              <w:right w:val="single" w:sz="4" w:space="0" w:color="auto"/>
            </w:tcBorders>
            <w:shd w:val="clear" w:color="auto" w:fill="C4EFCE"/>
            <w:vAlign w:val="center"/>
            <w:hideMark/>
          </w:tcPr>
          <w:p w14:paraId="3CB9CA7F"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E9A44F3" w14:textId="77777777" w:rsidR="00E040FD" w:rsidRDefault="00740D64">
            <w:pPr>
              <w:pStyle w:val="P68B1DB1-Normal23"/>
              <w:spacing w:after="0"/>
              <w:jc w:val="both"/>
              <w:rPr>
                <w:rFonts w:eastAsia="Calibri" w:cs="Calibri"/>
                <w:noProof/>
              </w:rPr>
            </w:pPr>
            <w:r>
              <w:rPr>
                <w:noProof/>
              </w:rPr>
              <w:t>Undertecknande av kontrakt för forskningsfartyg för flera ändamål</w:t>
            </w:r>
          </w:p>
        </w:tc>
        <w:tc>
          <w:tcPr>
            <w:tcW w:w="0" w:type="auto"/>
          </w:tcPr>
          <w:p w14:paraId="3F53FDD0" w14:textId="77777777" w:rsidR="00E040FD" w:rsidRDefault="00E040FD">
            <w:pPr>
              <w:spacing w:after="0" w:line="240" w:lineRule="auto"/>
              <w:rPr>
                <w:noProof/>
                <w:sz w:val="18"/>
              </w:rPr>
            </w:pPr>
          </w:p>
        </w:tc>
      </w:tr>
      <w:tr w:rsidR="00E040FD" w14:paraId="1B11DFC4"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E39F21E" w14:textId="77777777" w:rsidR="00E040FD" w:rsidRDefault="00740D64">
            <w:pPr>
              <w:pStyle w:val="P68B1DB1-Normal23"/>
              <w:spacing w:after="0"/>
              <w:jc w:val="center"/>
              <w:rPr>
                <w:rFonts w:eastAsia="Calibri" w:cs="Calibri"/>
                <w:noProof/>
              </w:rPr>
            </w:pPr>
            <w:r>
              <w:rPr>
                <w:noProof/>
              </w:rPr>
              <w:t>13.1</w:t>
            </w:r>
          </w:p>
        </w:tc>
        <w:tc>
          <w:tcPr>
            <w:tcW w:w="1731" w:type="dxa"/>
            <w:tcBorders>
              <w:top w:val="nil"/>
              <w:left w:val="nil"/>
              <w:bottom w:val="single" w:sz="4" w:space="0" w:color="auto"/>
              <w:right w:val="single" w:sz="4" w:space="0" w:color="auto"/>
            </w:tcBorders>
            <w:shd w:val="clear" w:color="auto" w:fill="C4EFCE"/>
            <w:vAlign w:val="center"/>
            <w:hideMark/>
          </w:tcPr>
          <w:p w14:paraId="100A5399" w14:textId="77777777" w:rsidR="00E040FD" w:rsidRDefault="00740D64">
            <w:pPr>
              <w:pStyle w:val="P68B1DB1-Normal23"/>
              <w:spacing w:after="0"/>
              <w:jc w:val="center"/>
              <w:rPr>
                <w:rFonts w:eastAsia="Calibri" w:cs="Calibri"/>
                <w:noProof/>
              </w:rPr>
            </w:pPr>
            <w:r>
              <w:rPr>
                <w:noProof/>
              </w:rPr>
              <w:t xml:space="preserve">TC-C13-I01  </w:t>
            </w:r>
          </w:p>
        </w:tc>
        <w:tc>
          <w:tcPr>
            <w:tcW w:w="1491" w:type="dxa"/>
            <w:tcBorders>
              <w:top w:val="nil"/>
              <w:left w:val="nil"/>
              <w:bottom w:val="single" w:sz="4" w:space="0" w:color="auto"/>
              <w:right w:val="single" w:sz="4" w:space="0" w:color="auto"/>
            </w:tcBorders>
            <w:shd w:val="clear" w:color="auto" w:fill="C4EFCE"/>
            <w:vAlign w:val="center"/>
            <w:hideMark/>
          </w:tcPr>
          <w:p w14:paraId="7735E13B" w14:textId="77777777" w:rsidR="00E040FD" w:rsidRDefault="00740D6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690E8DAA" w14:textId="77777777" w:rsidR="00E040FD" w:rsidRDefault="00740D64">
            <w:pPr>
              <w:pStyle w:val="P68B1DB1-Normal23"/>
              <w:spacing w:after="0"/>
              <w:jc w:val="both"/>
              <w:rPr>
                <w:rFonts w:eastAsia="Calibri" w:cs="Calibri"/>
                <w:noProof/>
              </w:rPr>
            </w:pPr>
            <w:r>
              <w:rPr>
                <w:noProof/>
              </w:rPr>
              <w:t>Energieffektivitetsrenovering av privata bostadshus</w:t>
            </w:r>
          </w:p>
        </w:tc>
        <w:tc>
          <w:tcPr>
            <w:tcW w:w="0" w:type="auto"/>
          </w:tcPr>
          <w:p w14:paraId="6E5DAF10" w14:textId="77777777" w:rsidR="00E040FD" w:rsidRDefault="00E040FD">
            <w:pPr>
              <w:spacing w:after="0" w:line="240" w:lineRule="auto"/>
              <w:rPr>
                <w:noProof/>
                <w:sz w:val="18"/>
              </w:rPr>
            </w:pPr>
          </w:p>
        </w:tc>
      </w:tr>
      <w:tr w:rsidR="00E040FD" w14:paraId="04772B67"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17C22BDC" w14:textId="77777777" w:rsidR="00E040FD" w:rsidRDefault="00740D64">
            <w:pPr>
              <w:pStyle w:val="P68B1DB1-Normal23"/>
              <w:spacing w:after="0"/>
              <w:jc w:val="center"/>
              <w:rPr>
                <w:rFonts w:eastAsia="Calibri" w:cs="Calibri"/>
                <w:noProof/>
              </w:rPr>
            </w:pPr>
            <w:r>
              <w:rPr>
                <w:noProof/>
              </w:rPr>
              <w:t>14.12</w:t>
            </w:r>
          </w:p>
        </w:tc>
        <w:tc>
          <w:tcPr>
            <w:tcW w:w="1731" w:type="dxa"/>
            <w:tcBorders>
              <w:top w:val="nil"/>
              <w:left w:val="nil"/>
              <w:bottom w:val="single" w:sz="4" w:space="0" w:color="auto"/>
              <w:right w:val="single" w:sz="4" w:space="0" w:color="auto"/>
            </w:tcBorders>
            <w:shd w:val="clear" w:color="auto" w:fill="C4EFCE"/>
            <w:vAlign w:val="center"/>
            <w:hideMark/>
          </w:tcPr>
          <w:p w14:paraId="0F195F9B" w14:textId="77777777" w:rsidR="00E040FD" w:rsidRDefault="00740D64">
            <w:pPr>
              <w:pStyle w:val="P68B1DB1-Normal23"/>
              <w:spacing w:after="0"/>
              <w:jc w:val="center"/>
              <w:rPr>
                <w:rFonts w:eastAsia="Calibri" w:cs="Calibri"/>
                <w:noProof/>
              </w:rPr>
            </w:pPr>
            <w:r>
              <w:rPr>
                <w:noProof/>
              </w:rPr>
              <w:t>TC-C14-i03-RAA</w:t>
            </w:r>
          </w:p>
        </w:tc>
        <w:tc>
          <w:tcPr>
            <w:tcW w:w="1491" w:type="dxa"/>
            <w:tcBorders>
              <w:top w:val="nil"/>
              <w:left w:val="nil"/>
              <w:bottom w:val="single" w:sz="4" w:space="0" w:color="auto"/>
              <w:right w:val="single" w:sz="4" w:space="0" w:color="auto"/>
            </w:tcBorders>
            <w:shd w:val="clear" w:color="auto" w:fill="C4EFCE"/>
            <w:vAlign w:val="center"/>
            <w:hideMark/>
          </w:tcPr>
          <w:p w14:paraId="5B757820" w14:textId="77777777" w:rsidR="00E040FD" w:rsidRDefault="00740D6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448E5404" w14:textId="77777777" w:rsidR="00E040FD" w:rsidRDefault="00740D64">
            <w:pPr>
              <w:pStyle w:val="P68B1DB1-Normal23"/>
              <w:spacing w:after="0"/>
              <w:jc w:val="both"/>
              <w:rPr>
                <w:rFonts w:eastAsia="Calibri" w:cs="Calibri"/>
                <w:noProof/>
              </w:rPr>
            </w:pPr>
            <w:r>
              <w:rPr>
                <w:noProof/>
              </w:rPr>
              <w:t>Ytterligare produktion av förnybar el från Corvo</w:t>
            </w:r>
          </w:p>
        </w:tc>
        <w:tc>
          <w:tcPr>
            <w:tcW w:w="0" w:type="auto"/>
          </w:tcPr>
          <w:p w14:paraId="233A08FA" w14:textId="77777777" w:rsidR="00E040FD" w:rsidRDefault="00E040FD">
            <w:pPr>
              <w:spacing w:after="0" w:line="240" w:lineRule="auto"/>
              <w:rPr>
                <w:noProof/>
                <w:sz w:val="18"/>
              </w:rPr>
            </w:pPr>
          </w:p>
        </w:tc>
      </w:tr>
      <w:tr w:rsidR="00E040FD" w14:paraId="7BF50568"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AC8B3F4" w14:textId="77777777" w:rsidR="00E040FD" w:rsidRDefault="00740D64">
            <w:pPr>
              <w:pStyle w:val="P68B1DB1-Normal23"/>
              <w:spacing w:after="0"/>
              <w:jc w:val="center"/>
              <w:rPr>
                <w:rFonts w:eastAsia="Calibri" w:cs="Calibri"/>
                <w:noProof/>
              </w:rPr>
            </w:pPr>
            <w:r>
              <w:rPr>
                <w:noProof/>
              </w:rPr>
              <w:t>14.5</w:t>
            </w:r>
          </w:p>
        </w:tc>
        <w:tc>
          <w:tcPr>
            <w:tcW w:w="1731" w:type="dxa"/>
            <w:tcBorders>
              <w:top w:val="nil"/>
              <w:left w:val="nil"/>
              <w:bottom w:val="single" w:sz="4" w:space="0" w:color="auto"/>
              <w:right w:val="single" w:sz="4" w:space="0" w:color="auto"/>
            </w:tcBorders>
            <w:shd w:val="clear" w:color="auto" w:fill="C4EFCE"/>
            <w:vAlign w:val="center"/>
            <w:hideMark/>
          </w:tcPr>
          <w:p w14:paraId="30AC97EB" w14:textId="77777777" w:rsidR="00E040FD" w:rsidRDefault="00740D64">
            <w:pPr>
              <w:pStyle w:val="P68B1DB1-Normal23"/>
              <w:spacing w:after="0"/>
              <w:jc w:val="center"/>
              <w:rPr>
                <w:rFonts w:eastAsia="Calibri" w:cs="Calibri"/>
                <w:noProof/>
              </w:rPr>
            </w:pPr>
            <w:r>
              <w:rPr>
                <w:noProof/>
              </w:rPr>
              <w:t xml:space="preserve">TC-C14-Ci02-RAM </w:t>
            </w:r>
          </w:p>
        </w:tc>
        <w:tc>
          <w:tcPr>
            <w:tcW w:w="1491" w:type="dxa"/>
            <w:tcBorders>
              <w:top w:val="nil"/>
              <w:left w:val="nil"/>
              <w:bottom w:val="single" w:sz="4" w:space="0" w:color="auto"/>
              <w:right w:val="single" w:sz="4" w:space="0" w:color="auto"/>
            </w:tcBorders>
            <w:shd w:val="clear" w:color="auto" w:fill="C4EFCE"/>
            <w:vAlign w:val="center"/>
            <w:hideMark/>
          </w:tcPr>
          <w:p w14:paraId="684CEB02" w14:textId="77777777" w:rsidR="00E040FD" w:rsidRDefault="00740D6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69E0A75B" w14:textId="77777777" w:rsidR="00E040FD" w:rsidRDefault="00740D64">
            <w:pPr>
              <w:pStyle w:val="P68B1DB1-Normal23"/>
              <w:spacing w:after="0"/>
              <w:jc w:val="both"/>
              <w:rPr>
                <w:rFonts w:eastAsia="Calibri" w:cs="Calibri"/>
                <w:noProof/>
              </w:rPr>
            </w:pPr>
            <w:r>
              <w:rPr>
                <w:noProof/>
              </w:rPr>
              <w:t>Ytterligare installerad vattenkraftproduktionskapacitet</w:t>
            </w:r>
          </w:p>
        </w:tc>
        <w:tc>
          <w:tcPr>
            <w:tcW w:w="0" w:type="auto"/>
          </w:tcPr>
          <w:p w14:paraId="6A814305" w14:textId="77777777" w:rsidR="00E040FD" w:rsidRDefault="00E040FD">
            <w:pPr>
              <w:spacing w:after="0" w:line="240" w:lineRule="auto"/>
              <w:rPr>
                <w:noProof/>
                <w:sz w:val="18"/>
              </w:rPr>
            </w:pPr>
          </w:p>
        </w:tc>
      </w:tr>
      <w:tr w:rsidR="00E040FD" w14:paraId="2414C73E"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01DD6AE2" w14:textId="77777777" w:rsidR="00E040FD" w:rsidRDefault="00740D64">
            <w:pPr>
              <w:pStyle w:val="P68B1DB1-Normal23"/>
              <w:spacing w:after="0"/>
              <w:jc w:val="center"/>
              <w:rPr>
                <w:rFonts w:eastAsia="Calibri" w:cs="Calibri"/>
                <w:noProof/>
              </w:rPr>
            </w:pPr>
            <w:r>
              <w:rPr>
                <w:noProof/>
              </w:rPr>
              <w:t>15.2</w:t>
            </w:r>
          </w:p>
        </w:tc>
        <w:tc>
          <w:tcPr>
            <w:tcW w:w="1731" w:type="dxa"/>
            <w:tcBorders>
              <w:top w:val="nil"/>
              <w:left w:val="nil"/>
              <w:bottom w:val="single" w:sz="4" w:space="0" w:color="auto"/>
              <w:right w:val="single" w:sz="4" w:space="0" w:color="auto"/>
            </w:tcBorders>
            <w:shd w:val="clear" w:color="auto" w:fill="C4EFCE"/>
            <w:vAlign w:val="center"/>
            <w:hideMark/>
          </w:tcPr>
          <w:p w14:paraId="265A1C92" w14:textId="77777777" w:rsidR="00E040FD" w:rsidRDefault="00740D64">
            <w:pPr>
              <w:pStyle w:val="P68B1DB1-Normal23"/>
              <w:spacing w:after="0"/>
              <w:jc w:val="center"/>
              <w:rPr>
                <w:rFonts w:eastAsia="Calibri" w:cs="Calibri"/>
                <w:noProof/>
              </w:rPr>
            </w:pPr>
            <w:r>
              <w:rPr>
                <w:noProof/>
              </w:rPr>
              <w:t>TC-C15-I01</w:t>
            </w:r>
          </w:p>
        </w:tc>
        <w:tc>
          <w:tcPr>
            <w:tcW w:w="1491" w:type="dxa"/>
            <w:tcBorders>
              <w:top w:val="nil"/>
              <w:left w:val="nil"/>
              <w:bottom w:val="single" w:sz="4" w:space="0" w:color="auto"/>
              <w:right w:val="single" w:sz="4" w:space="0" w:color="auto"/>
            </w:tcBorders>
            <w:shd w:val="clear" w:color="auto" w:fill="C4EFCE"/>
            <w:vAlign w:val="center"/>
            <w:hideMark/>
          </w:tcPr>
          <w:p w14:paraId="6A06D6EB"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236FE9F6" w14:textId="77777777" w:rsidR="00E040FD" w:rsidRDefault="00740D64">
            <w:pPr>
              <w:pStyle w:val="P68B1DB1-Normal23"/>
              <w:spacing w:after="0"/>
              <w:jc w:val="both"/>
              <w:rPr>
                <w:rFonts w:eastAsia="Calibri" w:cs="Calibri"/>
                <w:noProof/>
              </w:rPr>
            </w:pPr>
            <w:r>
              <w:rPr>
                <w:noProof/>
              </w:rPr>
              <w:t>Lägesrapport om utbyggnaden av Lissabons tunnelbanenät</w:t>
            </w:r>
          </w:p>
        </w:tc>
        <w:tc>
          <w:tcPr>
            <w:tcW w:w="0" w:type="auto"/>
          </w:tcPr>
          <w:p w14:paraId="176F4E1F" w14:textId="77777777" w:rsidR="00E040FD" w:rsidRDefault="00E040FD">
            <w:pPr>
              <w:spacing w:after="0" w:line="240" w:lineRule="auto"/>
              <w:rPr>
                <w:noProof/>
                <w:sz w:val="18"/>
              </w:rPr>
            </w:pPr>
          </w:p>
        </w:tc>
      </w:tr>
      <w:tr w:rsidR="00E040FD" w14:paraId="1B841B36"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4C2C500B" w14:textId="77777777" w:rsidR="00E040FD" w:rsidRDefault="00740D64">
            <w:pPr>
              <w:pStyle w:val="P68B1DB1-Normal23"/>
              <w:spacing w:after="0"/>
              <w:jc w:val="center"/>
              <w:rPr>
                <w:rFonts w:eastAsia="Calibri" w:cs="Calibri"/>
                <w:noProof/>
              </w:rPr>
            </w:pPr>
            <w:r>
              <w:rPr>
                <w:noProof/>
              </w:rPr>
              <w:t>16.6</w:t>
            </w:r>
          </w:p>
        </w:tc>
        <w:tc>
          <w:tcPr>
            <w:tcW w:w="1731" w:type="dxa"/>
            <w:tcBorders>
              <w:top w:val="nil"/>
              <w:left w:val="nil"/>
              <w:bottom w:val="single" w:sz="4" w:space="0" w:color="auto"/>
              <w:right w:val="single" w:sz="4" w:space="0" w:color="auto"/>
            </w:tcBorders>
            <w:shd w:val="clear" w:color="auto" w:fill="C4EFCE"/>
            <w:vAlign w:val="center"/>
            <w:hideMark/>
          </w:tcPr>
          <w:p w14:paraId="5B078A84" w14:textId="77777777" w:rsidR="00E040FD" w:rsidRDefault="00740D64">
            <w:pPr>
              <w:pStyle w:val="P68B1DB1-Normal23"/>
              <w:spacing w:after="0"/>
              <w:jc w:val="center"/>
              <w:rPr>
                <w:rFonts w:eastAsia="Calibri" w:cs="Calibri"/>
                <w:noProof/>
              </w:rPr>
            </w:pPr>
            <w:r>
              <w:rPr>
                <w:noProof/>
              </w:rPr>
              <w:t>TD-C16-i02</w:t>
            </w:r>
          </w:p>
        </w:tc>
        <w:tc>
          <w:tcPr>
            <w:tcW w:w="1491" w:type="dxa"/>
            <w:tcBorders>
              <w:top w:val="nil"/>
              <w:left w:val="nil"/>
              <w:bottom w:val="single" w:sz="4" w:space="0" w:color="auto"/>
              <w:right w:val="single" w:sz="4" w:space="0" w:color="auto"/>
            </w:tcBorders>
            <w:shd w:val="clear" w:color="auto" w:fill="C4EFCE"/>
            <w:vAlign w:val="center"/>
            <w:hideMark/>
          </w:tcPr>
          <w:p w14:paraId="4B59BF99" w14:textId="77777777" w:rsidR="00E040FD" w:rsidRDefault="00740D6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4D181BA9" w14:textId="77777777" w:rsidR="00E040FD" w:rsidRDefault="00740D64">
            <w:pPr>
              <w:pStyle w:val="P68B1DB1-Normal23"/>
              <w:spacing w:after="0"/>
              <w:jc w:val="both"/>
              <w:rPr>
                <w:rFonts w:eastAsia="Calibri" w:cs="Calibri"/>
                <w:noProof/>
              </w:rPr>
            </w:pPr>
            <w:r>
              <w:rPr>
                <w:noProof/>
              </w:rPr>
              <w:t>Nationella pilotprodukter och pilottjänster för testbäddnätverket</w:t>
            </w:r>
          </w:p>
        </w:tc>
        <w:tc>
          <w:tcPr>
            <w:tcW w:w="0" w:type="auto"/>
          </w:tcPr>
          <w:p w14:paraId="30E9FC62" w14:textId="77777777" w:rsidR="00E040FD" w:rsidRDefault="00E040FD">
            <w:pPr>
              <w:spacing w:after="0" w:line="240" w:lineRule="auto"/>
              <w:rPr>
                <w:noProof/>
                <w:sz w:val="18"/>
              </w:rPr>
            </w:pPr>
          </w:p>
        </w:tc>
      </w:tr>
      <w:tr w:rsidR="00E040FD" w14:paraId="60F2EA6A"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3614B7C4" w14:textId="77777777" w:rsidR="00E040FD" w:rsidRDefault="00740D64">
            <w:pPr>
              <w:pStyle w:val="P68B1DB1-Normal23"/>
              <w:spacing w:after="0"/>
              <w:jc w:val="center"/>
              <w:rPr>
                <w:rFonts w:eastAsia="Calibri" w:cs="Calibri"/>
                <w:noProof/>
              </w:rPr>
            </w:pPr>
            <w:r>
              <w:rPr>
                <w:noProof/>
              </w:rPr>
              <w:t>17.9</w:t>
            </w:r>
          </w:p>
        </w:tc>
        <w:tc>
          <w:tcPr>
            <w:tcW w:w="1731" w:type="dxa"/>
            <w:tcBorders>
              <w:top w:val="nil"/>
              <w:left w:val="nil"/>
              <w:bottom w:val="single" w:sz="4" w:space="0" w:color="auto"/>
              <w:right w:val="single" w:sz="4" w:space="0" w:color="auto"/>
            </w:tcBorders>
            <w:shd w:val="clear" w:color="auto" w:fill="C4EFCE"/>
            <w:vAlign w:val="center"/>
            <w:hideMark/>
          </w:tcPr>
          <w:p w14:paraId="53DAA92D" w14:textId="77777777" w:rsidR="00E040FD" w:rsidRDefault="00740D64">
            <w:pPr>
              <w:pStyle w:val="P68B1DB1-Normal23"/>
              <w:spacing w:after="0"/>
              <w:jc w:val="center"/>
              <w:rPr>
                <w:rFonts w:eastAsia="Calibri" w:cs="Calibri"/>
                <w:noProof/>
              </w:rPr>
            </w:pPr>
            <w:r>
              <w:rPr>
                <w:noProof/>
              </w:rPr>
              <w:t xml:space="preserve">TD-C17-i01  </w:t>
            </w:r>
          </w:p>
        </w:tc>
        <w:tc>
          <w:tcPr>
            <w:tcW w:w="1491" w:type="dxa"/>
            <w:tcBorders>
              <w:top w:val="nil"/>
              <w:left w:val="nil"/>
              <w:bottom w:val="single" w:sz="4" w:space="0" w:color="auto"/>
              <w:right w:val="single" w:sz="4" w:space="0" w:color="auto"/>
            </w:tcBorders>
            <w:shd w:val="clear" w:color="auto" w:fill="C4EFCE"/>
            <w:vAlign w:val="center"/>
            <w:hideMark/>
          </w:tcPr>
          <w:p w14:paraId="06990E6D"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8CB0E5D" w14:textId="77777777" w:rsidR="00E040FD" w:rsidRDefault="00740D64">
            <w:pPr>
              <w:pStyle w:val="P68B1DB1-Normal23"/>
              <w:spacing w:after="0"/>
              <w:jc w:val="both"/>
              <w:rPr>
                <w:rFonts w:eastAsia="Calibri" w:cs="Calibri"/>
                <w:noProof/>
              </w:rPr>
            </w:pPr>
            <w:r>
              <w:rPr>
                <w:noProof/>
              </w:rPr>
              <w:t>Slutförande av genomförandet av den statliga redovisningsenheten</w:t>
            </w:r>
          </w:p>
        </w:tc>
      </w:tr>
      <w:tr w:rsidR="00E040FD" w14:paraId="52B41EA8"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217BC2C" w14:textId="77777777" w:rsidR="00E040FD" w:rsidRDefault="00740D64">
            <w:pPr>
              <w:pStyle w:val="P68B1DB1-Normal23"/>
              <w:spacing w:after="0"/>
              <w:jc w:val="center"/>
              <w:rPr>
                <w:rFonts w:eastAsia="Calibri" w:cs="Calibri"/>
                <w:noProof/>
              </w:rPr>
            </w:pPr>
            <w:r>
              <w:rPr>
                <w:noProof/>
              </w:rPr>
              <w:t>18.3</w:t>
            </w:r>
          </w:p>
        </w:tc>
        <w:tc>
          <w:tcPr>
            <w:tcW w:w="1731" w:type="dxa"/>
            <w:tcBorders>
              <w:top w:val="nil"/>
              <w:left w:val="nil"/>
              <w:bottom w:val="single" w:sz="4" w:space="0" w:color="auto"/>
              <w:right w:val="single" w:sz="4" w:space="0" w:color="auto"/>
            </w:tcBorders>
            <w:shd w:val="clear" w:color="auto" w:fill="C4EFCE"/>
            <w:vAlign w:val="center"/>
            <w:hideMark/>
          </w:tcPr>
          <w:p w14:paraId="439AD1C1" w14:textId="77777777" w:rsidR="00E040FD" w:rsidRDefault="00740D64">
            <w:pPr>
              <w:pStyle w:val="P68B1DB1-Normal23"/>
              <w:spacing w:after="0"/>
              <w:jc w:val="center"/>
              <w:rPr>
                <w:rFonts w:eastAsia="Calibri" w:cs="Calibri"/>
                <w:noProof/>
              </w:rPr>
            </w:pPr>
            <w:r>
              <w:rPr>
                <w:noProof/>
              </w:rPr>
              <w:t xml:space="preserve">TD-C18-r33  </w:t>
            </w:r>
          </w:p>
        </w:tc>
        <w:tc>
          <w:tcPr>
            <w:tcW w:w="1491" w:type="dxa"/>
            <w:tcBorders>
              <w:top w:val="nil"/>
              <w:left w:val="nil"/>
              <w:bottom w:val="single" w:sz="4" w:space="0" w:color="auto"/>
              <w:right w:val="single" w:sz="4" w:space="0" w:color="auto"/>
            </w:tcBorders>
            <w:shd w:val="clear" w:color="auto" w:fill="C4EFCE"/>
            <w:vAlign w:val="center"/>
            <w:hideMark/>
          </w:tcPr>
          <w:p w14:paraId="256DB6ED"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D0F6574" w14:textId="77777777" w:rsidR="00E040FD" w:rsidRDefault="00740D64">
            <w:pPr>
              <w:pStyle w:val="P68B1DB1-Normal23"/>
              <w:spacing w:after="0"/>
              <w:jc w:val="both"/>
              <w:rPr>
                <w:rFonts w:eastAsia="Calibri" w:cs="Calibri"/>
                <w:noProof/>
              </w:rPr>
            </w:pPr>
            <w:r>
              <w:rPr>
                <w:noProof/>
              </w:rPr>
              <w:t>Ikraftträdande av den reviderade rättsliga ramen för insolvens och återvinning</w:t>
            </w:r>
          </w:p>
        </w:tc>
      </w:tr>
      <w:tr w:rsidR="00E040FD" w14:paraId="6BA9A315"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308F543" w14:textId="77777777" w:rsidR="00E040FD" w:rsidRDefault="00740D64">
            <w:pPr>
              <w:pStyle w:val="P68B1DB1-Normal23"/>
              <w:spacing w:after="0"/>
              <w:jc w:val="center"/>
              <w:rPr>
                <w:rFonts w:eastAsia="Calibri" w:cs="Calibri"/>
                <w:noProof/>
              </w:rPr>
            </w:pPr>
            <w:r>
              <w:rPr>
                <w:noProof/>
              </w:rPr>
              <w:t>18.6</w:t>
            </w:r>
          </w:p>
        </w:tc>
        <w:tc>
          <w:tcPr>
            <w:tcW w:w="1731" w:type="dxa"/>
            <w:tcBorders>
              <w:top w:val="nil"/>
              <w:left w:val="nil"/>
              <w:bottom w:val="single" w:sz="4" w:space="0" w:color="auto"/>
              <w:right w:val="single" w:sz="4" w:space="0" w:color="auto"/>
            </w:tcBorders>
            <w:shd w:val="clear" w:color="auto" w:fill="C4EFCE"/>
            <w:vAlign w:val="center"/>
            <w:hideMark/>
          </w:tcPr>
          <w:p w14:paraId="69B5EA32" w14:textId="77777777" w:rsidR="00E040FD" w:rsidRDefault="00740D64">
            <w:pPr>
              <w:pStyle w:val="P68B1DB1-Normal23"/>
              <w:spacing w:after="0"/>
              <w:jc w:val="center"/>
              <w:rPr>
                <w:rFonts w:eastAsia="Calibri" w:cs="Calibri"/>
                <w:noProof/>
              </w:rPr>
            </w:pPr>
            <w:r>
              <w:rPr>
                <w:noProof/>
              </w:rPr>
              <w:t xml:space="preserve">TD-C18-i01  </w:t>
            </w:r>
          </w:p>
        </w:tc>
        <w:tc>
          <w:tcPr>
            <w:tcW w:w="1491" w:type="dxa"/>
            <w:tcBorders>
              <w:top w:val="nil"/>
              <w:left w:val="nil"/>
              <w:bottom w:val="single" w:sz="4" w:space="0" w:color="auto"/>
              <w:right w:val="single" w:sz="4" w:space="0" w:color="auto"/>
            </w:tcBorders>
            <w:shd w:val="clear" w:color="auto" w:fill="C4EFCE"/>
            <w:vAlign w:val="center"/>
            <w:hideMark/>
          </w:tcPr>
          <w:p w14:paraId="02E67EB9"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5F982AAA" w14:textId="77777777" w:rsidR="00E040FD" w:rsidRDefault="00740D64">
            <w:pPr>
              <w:pStyle w:val="P68B1DB1-Normal23"/>
              <w:spacing w:after="0"/>
              <w:jc w:val="both"/>
              <w:rPr>
                <w:rFonts w:eastAsia="Calibri" w:cs="Calibri"/>
                <w:noProof/>
              </w:rPr>
            </w:pPr>
            <w:r>
              <w:rPr>
                <w:noProof/>
              </w:rPr>
              <w:t>Informationssystem för företag 2.0</w:t>
            </w:r>
          </w:p>
        </w:tc>
      </w:tr>
      <w:tr w:rsidR="00E040FD" w14:paraId="066A4BCE"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8C5AC18" w14:textId="77777777" w:rsidR="00E040FD" w:rsidRDefault="00740D64">
            <w:pPr>
              <w:pStyle w:val="P68B1DB1-Normal23"/>
              <w:spacing w:after="0"/>
              <w:jc w:val="center"/>
              <w:rPr>
                <w:rFonts w:eastAsia="Calibri" w:cs="Calibri"/>
                <w:noProof/>
              </w:rPr>
            </w:pPr>
            <w:r>
              <w:rPr>
                <w:noProof/>
              </w:rPr>
              <w:t>20.6</w:t>
            </w:r>
          </w:p>
        </w:tc>
        <w:tc>
          <w:tcPr>
            <w:tcW w:w="1731" w:type="dxa"/>
            <w:tcBorders>
              <w:top w:val="nil"/>
              <w:left w:val="nil"/>
              <w:bottom w:val="single" w:sz="4" w:space="0" w:color="auto"/>
              <w:right w:val="single" w:sz="4" w:space="0" w:color="auto"/>
            </w:tcBorders>
            <w:shd w:val="clear" w:color="auto" w:fill="C4EFCE"/>
            <w:vAlign w:val="center"/>
            <w:hideMark/>
          </w:tcPr>
          <w:p w14:paraId="02680F3B" w14:textId="77777777" w:rsidR="00E040FD" w:rsidRDefault="00740D64">
            <w:pPr>
              <w:pStyle w:val="P68B1DB1-Normal23"/>
              <w:spacing w:after="0"/>
              <w:jc w:val="center"/>
              <w:rPr>
                <w:rFonts w:eastAsia="Calibri" w:cs="Calibri"/>
                <w:noProof/>
              </w:rPr>
            </w:pPr>
            <w:r>
              <w:rPr>
                <w:noProof/>
              </w:rPr>
              <w:t xml:space="preserve">TD-C20-i01  </w:t>
            </w:r>
          </w:p>
        </w:tc>
        <w:tc>
          <w:tcPr>
            <w:tcW w:w="1491" w:type="dxa"/>
            <w:tcBorders>
              <w:top w:val="nil"/>
              <w:left w:val="nil"/>
              <w:bottom w:val="single" w:sz="4" w:space="0" w:color="auto"/>
              <w:right w:val="single" w:sz="4" w:space="0" w:color="auto"/>
            </w:tcBorders>
            <w:shd w:val="clear" w:color="auto" w:fill="C4EFCE"/>
            <w:vAlign w:val="center"/>
            <w:hideMark/>
          </w:tcPr>
          <w:p w14:paraId="6D1CFD3C" w14:textId="77777777" w:rsidR="00E040FD" w:rsidRDefault="00740D6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0C2BC67C" w14:textId="77777777" w:rsidR="00E040FD" w:rsidRDefault="00740D64">
            <w:pPr>
              <w:pStyle w:val="P68B1DB1-Normal23"/>
              <w:spacing w:after="0"/>
              <w:jc w:val="both"/>
              <w:rPr>
                <w:rFonts w:eastAsia="Calibri" w:cs="Calibri"/>
                <w:noProof/>
              </w:rPr>
            </w:pPr>
            <w:r>
              <w:rPr>
                <w:noProof/>
              </w:rPr>
              <w:t>Klassrum med ny projektionsutrustning</w:t>
            </w:r>
          </w:p>
        </w:tc>
      </w:tr>
      <w:tr w:rsidR="00E040FD" w14:paraId="3F226733"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36EADFA0" w14:textId="77777777" w:rsidR="00E040FD" w:rsidRDefault="00740D64">
            <w:pPr>
              <w:pStyle w:val="P68B1DB1-Normal23"/>
              <w:spacing w:after="0"/>
              <w:jc w:val="center"/>
              <w:rPr>
                <w:rFonts w:eastAsia="Calibri" w:cs="Calibri"/>
                <w:noProof/>
              </w:rPr>
            </w:pPr>
            <w:r>
              <w:rPr>
                <w:noProof/>
              </w:rPr>
              <w:t>21.12</w:t>
            </w:r>
          </w:p>
        </w:tc>
        <w:tc>
          <w:tcPr>
            <w:tcW w:w="1731" w:type="dxa"/>
            <w:tcBorders>
              <w:top w:val="nil"/>
              <w:left w:val="nil"/>
              <w:bottom w:val="single" w:sz="4" w:space="0" w:color="auto"/>
              <w:right w:val="single" w:sz="4" w:space="0" w:color="auto"/>
            </w:tcBorders>
            <w:shd w:val="clear" w:color="auto" w:fill="C4EFCE"/>
            <w:vAlign w:val="center"/>
            <w:hideMark/>
          </w:tcPr>
          <w:p w14:paraId="6B91C308" w14:textId="77777777" w:rsidR="00E040FD" w:rsidRDefault="00740D64">
            <w:pPr>
              <w:pStyle w:val="P68B1DB1-Normal23"/>
              <w:spacing w:after="0"/>
              <w:jc w:val="center"/>
              <w:rPr>
                <w:rFonts w:eastAsia="Calibri" w:cs="Calibri"/>
                <w:noProof/>
              </w:rPr>
            </w:pPr>
            <w:r>
              <w:rPr>
                <w:noProof/>
              </w:rPr>
              <w:t>RP-C21-i05</w:t>
            </w:r>
          </w:p>
        </w:tc>
        <w:tc>
          <w:tcPr>
            <w:tcW w:w="1491" w:type="dxa"/>
            <w:tcBorders>
              <w:top w:val="nil"/>
              <w:left w:val="nil"/>
              <w:bottom w:val="single" w:sz="4" w:space="0" w:color="auto"/>
              <w:right w:val="single" w:sz="4" w:space="0" w:color="auto"/>
            </w:tcBorders>
            <w:shd w:val="clear" w:color="auto" w:fill="C4EFCE"/>
            <w:vAlign w:val="center"/>
            <w:hideMark/>
          </w:tcPr>
          <w:p w14:paraId="51F3F5CD"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1729A8E5" w14:textId="77777777" w:rsidR="00E040FD" w:rsidRDefault="00740D64">
            <w:pPr>
              <w:pStyle w:val="P68B1DB1-Normal23"/>
              <w:spacing w:after="0"/>
              <w:jc w:val="both"/>
              <w:rPr>
                <w:rFonts w:eastAsia="Calibri" w:cs="Calibri"/>
                <w:noProof/>
              </w:rPr>
            </w:pPr>
            <w:r>
              <w:rPr>
                <w:noProof/>
              </w:rPr>
              <w:t>Undertecknande av villkor för godkännande för genomförande av industriprojekt</w:t>
            </w:r>
          </w:p>
        </w:tc>
        <w:tc>
          <w:tcPr>
            <w:tcW w:w="0" w:type="auto"/>
          </w:tcPr>
          <w:p w14:paraId="3441107D" w14:textId="77777777" w:rsidR="00E040FD" w:rsidRDefault="00E040FD">
            <w:pPr>
              <w:spacing w:after="0" w:line="240" w:lineRule="auto"/>
              <w:rPr>
                <w:noProof/>
                <w:sz w:val="18"/>
              </w:rPr>
            </w:pPr>
          </w:p>
        </w:tc>
      </w:tr>
      <w:tr w:rsidR="00E040FD" w14:paraId="62CE6F8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5DDD690" w14:textId="77777777" w:rsidR="00E040FD" w:rsidRDefault="00740D64">
            <w:pPr>
              <w:pStyle w:val="P68B1DB1-Normal23"/>
              <w:spacing w:after="0"/>
              <w:jc w:val="center"/>
              <w:rPr>
                <w:rFonts w:eastAsia="Calibri" w:cs="Calibri"/>
                <w:noProof/>
              </w:rPr>
            </w:pPr>
            <w:r>
              <w:rPr>
                <w:noProof/>
              </w:rPr>
              <w:t>21.17</w:t>
            </w:r>
          </w:p>
        </w:tc>
        <w:tc>
          <w:tcPr>
            <w:tcW w:w="1731" w:type="dxa"/>
            <w:tcBorders>
              <w:top w:val="nil"/>
              <w:left w:val="nil"/>
              <w:bottom w:val="single" w:sz="4" w:space="0" w:color="auto"/>
              <w:right w:val="single" w:sz="4" w:space="0" w:color="auto"/>
            </w:tcBorders>
            <w:shd w:val="clear" w:color="auto" w:fill="C4EFCE"/>
            <w:vAlign w:val="center"/>
            <w:hideMark/>
          </w:tcPr>
          <w:p w14:paraId="4A7D0D48" w14:textId="6D14D617" w:rsidR="00E040FD" w:rsidRDefault="00740D64">
            <w:pPr>
              <w:pStyle w:val="P68B1DB1-Normal23"/>
              <w:spacing w:after="0"/>
              <w:jc w:val="center"/>
              <w:rPr>
                <w:rFonts w:eastAsia="Calibri" w:cs="Calibri"/>
                <w:noProof/>
              </w:rPr>
            </w:pPr>
            <w:r>
              <w:rPr>
                <w:noProof/>
              </w:rPr>
              <w:t>RP-C21-r46</w:t>
            </w:r>
          </w:p>
        </w:tc>
        <w:tc>
          <w:tcPr>
            <w:tcW w:w="1491" w:type="dxa"/>
            <w:tcBorders>
              <w:top w:val="nil"/>
              <w:left w:val="nil"/>
              <w:bottom w:val="single" w:sz="4" w:space="0" w:color="auto"/>
              <w:right w:val="single" w:sz="4" w:space="0" w:color="auto"/>
            </w:tcBorders>
            <w:shd w:val="clear" w:color="auto" w:fill="C4EFCE"/>
            <w:vAlign w:val="center"/>
            <w:hideMark/>
          </w:tcPr>
          <w:p w14:paraId="3A735B1F"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67B978A" w14:textId="77777777" w:rsidR="00E040FD" w:rsidRDefault="00740D64">
            <w:pPr>
              <w:pStyle w:val="P68B1DB1-Normal23"/>
              <w:spacing w:after="0"/>
              <w:jc w:val="both"/>
              <w:rPr>
                <w:rFonts w:eastAsia="Calibri" w:cs="Calibri"/>
                <w:noProof/>
              </w:rPr>
            </w:pPr>
            <w:r>
              <w:rPr>
                <w:noProof/>
              </w:rPr>
              <w:t>Ikraftträdande av den reviderade förordningen om nationella gasöverföringsnät och förordningen om nationella gasdistributionsnät</w:t>
            </w:r>
          </w:p>
        </w:tc>
        <w:tc>
          <w:tcPr>
            <w:tcW w:w="0" w:type="auto"/>
          </w:tcPr>
          <w:p w14:paraId="7E717CD2" w14:textId="77777777" w:rsidR="00E040FD" w:rsidRDefault="00E040FD">
            <w:pPr>
              <w:spacing w:after="0" w:line="240" w:lineRule="auto"/>
              <w:rPr>
                <w:noProof/>
                <w:sz w:val="18"/>
              </w:rPr>
            </w:pPr>
          </w:p>
        </w:tc>
      </w:tr>
      <w:tr w:rsidR="00E040FD" w14:paraId="04CE7036"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498CBBC" w14:textId="77777777" w:rsidR="00E040FD" w:rsidRDefault="00740D64">
            <w:pPr>
              <w:pStyle w:val="P68B1DB1-Normal23"/>
              <w:spacing w:after="0"/>
              <w:jc w:val="center"/>
              <w:rPr>
                <w:rFonts w:eastAsia="Calibri" w:cs="Calibri"/>
                <w:noProof/>
              </w:rPr>
            </w:pPr>
            <w:r>
              <w:rPr>
                <w:noProof/>
              </w:rPr>
              <w:t>21.19</w:t>
            </w:r>
          </w:p>
        </w:tc>
        <w:tc>
          <w:tcPr>
            <w:tcW w:w="1731" w:type="dxa"/>
            <w:tcBorders>
              <w:top w:val="nil"/>
              <w:left w:val="nil"/>
              <w:bottom w:val="single" w:sz="4" w:space="0" w:color="auto"/>
              <w:right w:val="single" w:sz="4" w:space="0" w:color="auto"/>
            </w:tcBorders>
            <w:shd w:val="clear" w:color="auto" w:fill="C4EFCE"/>
            <w:vAlign w:val="center"/>
            <w:hideMark/>
          </w:tcPr>
          <w:p w14:paraId="14CCA84B" w14:textId="452A7EC5" w:rsidR="00E040FD" w:rsidRDefault="00740D64">
            <w:pPr>
              <w:pStyle w:val="P68B1DB1-Normal23"/>
              <w:spacing w:after="0"/>
              <w:jc w:val="center"/>
              <w:rPr>
                <w:rFonts w:eastAsia="Calibri" w:cs="Calibri"/>
                <w:noProof/>
              </w:rPr>
            </w:pPr>
            <w:r>
              <w:rPr>
                <w:noProof/>
              </w:rPr>
              <w:t>RP-C21-r47</w:t>
            </w:r>
          </w:p>
        </w:tc>
        <w:tc>
          <w:tcPr>
            <w:tcW w:w="1491" w:type="dxa"/>
            <w:tcBorders>
              <w:top w:val="nil"/>
              <w:left w:val="nil"/>
              <w:bottom w:val="single" w:sz="4" w:space="0" w:color="auto"/>
              <w:right w:val="single" w:sz="4" w:space="0" w:color="auto"/>
            </w:tcBorders>
            <w:shd w:val="clear" w:color="auto" w:fill="C4EFCE"/>
            <w:vAlign w:val="center"/>
            <w:hideMark/>
          </w:tcPr>
          <w:p w14:paraId="0A60F32E"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45DEC73" w14:textId="77777777" w:rsidR="00E040FD" w:rsidRDefault="00740D64">
            <w:pPr>
              <w:pStyle w:val="P68B1DB1-Normal23"/>
              <w:spacing w:after="0"/>
              <w:jc w:val="both"/>
              <w:rPr>
                <w:rFonts w:eastAsia="Calibri" w:cs="Calibri"/>
                <w:noProof/>
              </w:rPr>
            </w:pPr>
            <w:r>
              <w:rPr>
                <w:noProof/>
              </w:rPr>
              <w:t>Antagande av handlingsplanen för biometan</w:t>
            </w:r>
          </w:p>
        </w:tc>
        <w:tc>
          <w:tcPr>
            <w:tcW w:w="0" w:type="auto"/>
          </w:tcPr>
          <w:p w14:paraId="6244CF38" w14:textId="77777777" w:rsidR="00E040FD" w:rsidRDefault="00E040FD">
            <w:pPr>
              <w:spacing w:after="0" w:line="240" w:lineRule="auto"/>
              <w:rPr>
                <w:noProof/>
                <w:sz w:val="18"/>
              </w:rPr>
            </w:pPr>
          </w:p>
        </w:tc>
      </w:tr>
      <w:tr w:rsidR="00E040FD" w14:paraId="614F83E7"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EB38B6C" w14:textId="77777777" w:rsidR="00E040FD" w:rsidRDefault="00740D64">
            <w:pPr>
              <w:pStyle w:val="P68B1DB1-Normal23"/>
              <w:spacing w:after="0"/>
              <w:jc w:val="center"/>
              <w:rPr>
                <w:rFonts w:eastAsia="Calibri" w:cs="Calibri"/>
                <w:noProof/>
              </w:rPr>
            </w:pPr>
            <w:r>
              <w:rPr>
                <w:noProof/>
              </w:rPr>
              <w:t>21.22</w:t>
            </w:r>
          </w:p>
        </w:tc>
        <w:tc>
          <w:tcPr>
            <w:tcW w:w="1731" w:type="dxa"/>
            <w:tcBorders>
              <w:top w:val="nil"/>
              <w:left w:val="nil"/>
              <w:bottom w:val="single" w:sz="4" w:space="0" w:color="auto"/>
              <w:right w:val="single" w:sz="4" w:space="0" w:color="auto"/>
            </w:tcBorders>
            <w:shd w:val="clear" w:color="auto" w:fill="C4EFCE"/>
            <w:vAlign w:val="center"/>
            <w:hideMark/>
          </w:tcPr>
          <w:p w14:paraId="48F8BD33" w14:textId="5060F7CF" w:rsidR="00E040FD" w:rsidRDefault="00740D64">
            <w:pPr>
              <w:pStyle w:val="P68B1DB1-Normal23"/>
              <w:spacing w:after="0"/>
              <w:jc w:val="center"/>
              <w:rPr>
                <w:rFonts w:eastAsia="Calibri" w:cs="Calibri"/>
                <w:noProof/>
              </w:rPr>
            </w:pPr>
            <w:r>
              <w:rPr>
                <w:noProof/>
              </w:rPr>
              <w:t>RP-C21-r48</w:t>
            </w:r>
          </w:p>
        </w:tc>
        <w:tc>
          <w:tcPr>
            <w:tcW w:w="1491" w:type="dxa"/>
            <w:tcBorders>
              <w:top w:val="nil"/>
              <w:left w:val="nil"/>
              <w:bottom w:val="single" w:sz="4" w:space="0" w:color="auto"/>
              <w:right w:val="single" w:sz="4" w:space="0" w:color="auto"/>
            </w:tcBorders>
            <w:shd w:val="clear" w:color="auto" w:fill="C4EFCE"/>
            <w:vAlign w:val="center"/>
            <w:hideMark/>
          </w:tcPr>
          <w:p w14:paraId="097F16E3"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6B9DAF45" w14:textId="77777777" w:rsidR="00E040FD" w:rsidRDefault="00740D64">
            <w:pPr>
              <w:pStyle w:val="P68B1DB1-Normal23"/>
              <w:spacing w:after="0"/>
              <w:jc w:val="both"/>
              <w:rPr>
                <w:rFonts w:eastAsia="Calibri" w:cs="Calibri"/>
                <w:noProof/>
              </w:rPr>
            </w:pPr>
            <w:r>
              <w:rPr>
                <w:noProof/>
              </w:rPr>
              <w:t>Utbildning av personal som deltar i tillståndsgivning för projekt för förnybar energi</w:t>
            </w:r>
          </w:p>
        </w:tc>
        <w:tc>
          <w:tcPr>
            <w:tcW w:w="0" w:type="auto"/>
          </w:tcPr>
          <w:p w14:paraId="1B59DBBC" w14:textId="77777777" w:rsidR="00E040FD" w:rsidRDefault="00E040FD">
            <w:pPr>
              <w:spacing w:after="0" w:line="240" w:lineRule="auto"/>
              <w:rPr>
                <w:noProof/>
                <w:sz w:val="18"/>
              </w:rPr>
            </w:pPr>
          </w:p>
        </w:tc>
      </w:tr>
      <w:tr w:rsidR="00E040FD" w14:paraId="1A789DEE"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42840F22" w14:textId="77777777" w:rsidR="00E040FD" w:rsidRDefault="00740D64">
            <w:pPr>
              <w:pStyle w:val="P68B1DB1-Normal23"/>
              <w:spacing w:after="0"/>
              <w:jc w:val="center"/>
              <w:rPr>
                <w:rFonts w:eastAsia="Calibri" w:cs="Calibri"/>
                <w:noProof/>
              </w:rPr>
            </w:pPr>
            <w:r>
              <w:rPr>
                <w:noProof/>
              </w:rPr>
              <w:t>21.23</w:t>
            </w:r>
          </w:p>
        </w:tc>
        <w:tc>
          <w:tcPr>
            <w:tcW w:w="1731" w:type="dxa"/>
            <w:tcBorders>
              <w:top w:val="nil"/>
              <w:left w:val="nil"/>
              <w:bottom w:val="single" w:sz="4" w:space="0" w:color="auto"/>
              <w:right w:val="single" w:sz="4" w:space="0" w:color="auto"/>
            </w:tcBorders>
            <w:shd w:val="clear" w:color="auto" w:fill="C4EFCE"/>
            <w:vAlign w:val="center"/>
            <w:hideMark/>
          </w:tcPr>
          <w:p w14:paraId="5F455980" w14:textId="7B09C91A" w:rsidR="00E040FD" w:rsidRDefault="00740D64">
            <w:pPr>
              <w:pStyle w:val="P68B1DB1-Normal23"/>
              <w:spacing w:after="0"/>
              <w:jc w:val="center"/>
              <w:rPr>
                <w:rFonts w:eastAsia="Calibri" w:cs="Calibri"/>
                <w:noProof/>
              </w:rPr>
            </w:pPr>
            <w:r>
              <w:rPr>
                <w:noProof/>
              </w:rPr>
              <w:t>RP-C21-r48</w:t>
            </w:r>
          </w:p>
        </w:tc>
        <w:tc>
          <w:tcPr>
            <w:tcW w:w="1491" w:type="dxa"/>
            <w:tcBorders>
              <w:top w:val="nil"/>
              <w:left w:val="nil"/>
              <w:bottom w:val="single" w:sz="4" w:space="0" w:color="auto"/>
              <w:right w:val="single" w:sz="4" w:space="0" w:color="auto"/>
            </w:tcBorders>
            <w:shd w:val="clear" w:color="auto" w:fill="C4EFCE"/>
            <w:vAlign w:val="center"/>
            <w:hideMark/>
          </w:tcPr>
          <w:p w14:paraId="02876EA7"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20ACA668" w14:textId="77777777" w:rsidR="00E040FD" w:rsidRDefault="00740D64">
            <w:pPr>
              <w:pStyle w:val="P68B1DB1-Normal23"/>
              <w:spacing w:after="0"/>
              <w:jc w:val="both"/>
              <w:rPr>
                <w:rFonts w:eastAsia="Calibri" w:cs="Calibri"/>
                <w:noProof/>
              </w:rPr>
            </w:pPr>
            <w:r>
              <w:rPr>
                <w:noProof/>
              </w:rPr>
              <w:t>Antagande av en tidsplan för tilldelning av ny kapacitet för förnybar energi, med särskilt fokus på de geografiska områden som följer av sektorsprogrammet ”Förnybara Go till – områden”</w:t>
            </w:r>
          </w:p>
        </w:tc>
      </w:tr>
      <w:tr w:rsidR="00E040FD" w14:paraId="06A277B8"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04F7C25" w14:textId="77777777" w:rsidR="00E040FD" w:rsidRDefault="00740D64">
            <w:pPr>
              <w:pStyle w:val="P68B1DB1-Normal23"/>
              <w:spacing w:after="0"/>
              <w:jc w:val="center"/>
              <w:rPr>
                <w:rFonts w:eastAsia="Calibri" w:cs="Calibri"/>
                <w:noProof/>
              </w:rPr>
            </w:pPr>
            <w:r>
              <w:rPr>
                <w:noProof/>
              </w:rPr>
              <w:t>21.26</w:t>
            </w:r>
          </w:p>
        </w:tc>
        <w:tc>
          <w:tcPr>
            <w:tcW w:w="1731" w:type="dxa"/>
            <w:tcBorders>
              <w:top w:val="nil"/>
              <w:left w:val="nil"/>
              <w:bottom w:val="single" w:sz="4" w:space="0" w:color="auto"/>
              <w:right w:val="single" w:sz="4" w:space="0" w:color="auto"/>
            </w:tcBorders>
            <w:shd w:val="clear" w:color="auto" w:fill="C4EFCE"/>
            <w:vAlign w:val="center"/>
            <w:hideMark/>
          </w:tcPr>
          <w:p w14:paraId="245A5243" w14:textId="32E9BC0F" w:rsidR="00E040FD" w:rsidRDefault="00740D64">
            <w:pPr>
              <w:pStyle w:val="P68B1DB1-Normal23"/>
              <w:spacing w:after="0"/>
              <w:jc w:val="center"/>
              <w:rPr>
                <w:rFonts w:eastAsia="Calibri" w:cs="Calibri"/>
                <w:noProof/>
              </w:rPr>
            </w:pPr>
            <w:r>
              <w:rPr>
                <w:noProof/>
              </w:rPr>
              <w:t>RP-C21-i07</w:t>
            </w:r>
          </w:p>
        </w:tc>
        <w:tc>
          <w:tcPr>
            <w:tcW w:w="1491" w:type="dxa"/>
            <w:tcBorders>
              <w:top w:val="nil"/>
              <w:left w:val="nil"/>
              <w:bottom w:val="single" w:sz="4" w:space="0" w:color="auto"/>
              <w:right w:val="single" w:sz="4" w:space="0" w:color="auto"/>
            </w:tcBorders>
            <w:shd w:val="clear" w:color="auto" w:fill="C4EFCE"/>
            <w:vAlign w:val="center"/>
            <w:hideMark/>
          </w:tcPr>
          <w:p w14:paraId="38129E5F"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D5267AC" w14:textId="77777777" w:rsidR="00E040FD" w:rsidRDefault="00740D64">
            <w:pPr>
              <w:pStyle w:val="P68B1DB1-Normal23"/>
              <w:spacing w:after="0"/>
              <w:jc w:val="both"/>
              <w:rPr>
                <w:rFonts w:eastAsia="Calibri" w:cs="Calibri"/>
                <w:noProof/>
              </w:rPr>
            </w:pPr>
            <w:r>
              <w:rPr>
                <w:noProof/>
              </w:rPr>
              <w:t>Undertecknande av kontrakt för tekniska studier till havs</w:t>
            </w:r>
          </w:p>
        </w:tc>
        <w:tc>
          <w:tcPr>
            <w:tcW w:w="0" w:type="auto"/>
          </w:tcPr>
          <w:p w14:paraId="1D5FFE10" w14:textId="77777777" w:rsidR="00E040FD" w:rsidRDefault="00E040FD">
            <w:pPr>
              <w:spacing w:after="0" w:line="240" w:lineRule="auto"/>
              <w:rPr>
                <w:noProof/>
                <w:sz w:val="18"/>
              </w:rPr>
            </w:pPr>
          </w:p>
        </w:tc>
      </w:tr>
      <w:tr w:rsidR="00E040FD" w14:paraId="74F928D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1D78166" w14:textId="77777777" w:rsidR="00E040FD" w:rsidRDefault="00740D64">
            <w:pPr>
              <w:pStyle w:val="P68B1DB1-Normal23"/>
              <w:spacing w:after="0"/>
              <w:jc w:val="center"/>
              <w:rPr>
                <w:rFonts w:eastAsia="Calibri" w:cs="Calibri"/>
                <w:noProof/>
              </w:rPr>
            </w:pPr>
            <w:r>
              <w:rPr>
                <w:noProof/>
              </w:rPr>
              <w:t>21.28</w:t>
            </w:r>
          </w:p>
        </w:tc>
        <w:tc>
          <w:tcPr>
            <w:tcW w:w="1731" w:type="dxa"/>
            <w:tcBorders>
              <w:top w:val="nil"/>
              <w:left w:val="nil"/>
              <w:bottom w:val="single" w:sz="4" w:space="0" w:color="auto"/>
              <w:right w:val="single" w:sz="4" w:space="0" w:color="auto"/>
            </w:tcBorders>
            <w:shd w:val="clear" w:color="auto" w:fill="C4EFCE"/>
            <w:vAlign w:val="center"/>
            <w:hideMark/>
          </w:tcPr>
          <w:p w14:paraId="638BD854" w14:textId="7CBF63B7" w:rsidR="00E040FD" w:rsidRDefault="00740D64">
            <w:pPr>
              <w:pStyle w:val="P68B1DB1-Normal23"/>
              <w:spacing w:after="0"/>
              <w:jc w:val="center"/>
              <w:rPr>
                <w:rFonts w:eastAsia="Calibri" w:cs="Calibri"/>
                <w:noProof/>
              </w:rPr>
            </w:pPr>
            <w:r>
              <w:rPr>
                <w:noProof/>
              </w:rPr>
              <w:t>RP-C21-i08</w:t>
            </w:r>
          </w:p>
        </w:tc>
        <w:tc>
          <w:tcPr>
            <w:tcW w:w="1491" w:type="dxa"/>
            <w:tcBorders>
              <w:top w:val="nil"/>
              <w:left w:val="nil"/>
              <w:bottom w:val="single" w:sz="4" w:space="0" w:color="auto"/>
              <w:right w:val="single" w:sz="4" w:space="0" w:color="auto"/>
            </w:tcBorders>
            <w:shd w:val="clear" w:color="auto" w:fill="C4EFCE"/>
            <w:vAlign w:val="center"/>
            <w:hideMark/>
          </w:tcPr>
          <w:p w14:paraId="06F70A27"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E4D2267" w14:textId="77777777" w:rsidR="00E040FD" w:rsidRDefault="00740D64">
            <w:pPr>
              <w:pStyle w:val="P68B1DB1-Normal23"/>
              <w:spacing w:after="0"/>
              <w:jc w:val="both"/>
              <w:rPr>
                <w:rFonts w:eastAsia="Calibri" w:cs="Calibri"/>
                <w:noProof/>
              </w:rPr>
            </w:pPr>
            <w:r>
              <w:rPr>
                <w:noProof/>
              </w:rPr>
              <w:t>Undertecknande av villkor för godkännande av installation av lagringskapacitet för el</w:t>
            </w:r>
          </w:p>
        </w:tc>
        <w:tc>
          <w:tcPr>
            <w:tcW w:w="0" w:type="auto"/>
          </w:tcPr>
          <w:p w14:paraId="002DB804" w14:textId="77777777" w:rsidR="00E040FD" w:rsidRDefault="00E040FD">
            <w:pPr>
              <w:spacing w:after="0" w:line="240" w:lineRule="auto"/>
              <w:rPr>
                <w:noProof/>
                <w:sz w:val="18"/>
              </w:rPr>
            </w:pPr>
          </w:p>
        </w:tc>
      </w:tr>
      <w:tr w:rsidR="00E040FD" w14:paraId="56A7925E"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15A0096A" w14:textId="77777777" w:rsidR="00E040FD" w:rsidRDefault="00740D64">
            <w:pPr>
              <w:pStyle w:val="P68B1DB1-Normal23"/>
              <w:spacing w:after="0"/>
              <w:jc w:val="center"/>
              <w:rPr>
                <w:rFonts w:eastAsia="Calibri" w:cs="Calibri"/>
                <w:noProof/>
              </w:rPr>
            </w:pPr>
            <w:r>
              <w:rPr>
                <w:noProof/>
              </w:rPr>
              <w:t>21.35</w:t>
            </w:r>
          </w:p>
        </w:tc>
        <w:tc>
          <w:tcPr>
            <w:tcW w:w="1731" w:type="dxa"/>
            <w:tcBorders>
              <w:top w:val="nil"/>
              <w:left w:val="nil"/>
              <w:bottom w:val="single" w:sz="4" w:space="0" w:color="auto"/>
              <w:right w:val="single" w:sz="4" w:space="0" w:color="auto"/>
            </w:tcBorders>
            <w:shd w:val="clear" w:color="auto" w:fill="C4EFCE"/>
            <w:vAlign w:val="center"/>
            <w:hideMark/>
          </w:tcPr>
          <w:p w14:paraId="3795D271" w14:textId="17BBBA36" w:rsidR="00E040FD" w:rsidRDefault="00740D64">
            <w:pPr>
              <w:pStyle w:val="P68B1DB1-Normal23"/>
              <w:spacing w:after="0"/>
              <w:jc w:val="center"/>
              <w:rPr>
                <w:rFonts w:eastAsia="Calibri" w:cs="Calibri"/>
                <w:noProof/>
              </w:rPr>
            </w:pPr>
            <w:r>
              <w:rPr>
                <w:noProof/>
              </w:rPr>
              <w:t>RP-C21-i12</w:t>
            </w:r>
          </w:p>
        </w:tc>
        <w:tc>
          <w:tcPr>
            <w:tcW w:w="1491" w:type="dxa"/>
            <w:tcBorders>
              <w:top w:val="nil"/>
              <w:left w:val="nil"/>
              <w:bottom w:val="single" w:sz="4" w:space="0" w:color="auto"/>
              <w:right w:val="single" w:sz="4" w:space="0" w:color="auto"/>
            </w:tcBorders>
            <w:shd w:val="clear" w:color="auto" w:fill="C4EFCE"/>
            <w:vAlign w:val="center"/>
            <w:hideMark/>
          </w:tcPr>
          <w:p w14:paraId="09B715F7"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FD26132" w14:textId="77777777" w:rsidR="00E040FD" w:rsidRDefault="00740D64">
            <w:pPr>
              <w:pStyle w:val="P68B1DB1-Normal23"/>
              <w:spacing w:after="0"/>
              <w:jc w:val="both"/>
              <w:rPr>
                <w:rFonts w:eastAsia="Calibri" w:cs="Calibri"/>
                <w:noProof/>
              </w:rPr>
            </w:pPr>
            <w:r>
              <w:rPr>
                <w:noProof/>
              </w:rPr>
              <w:t>Undertecknande av avtalet om inköp av rena bussar inom ramen för programmet för utfasning av fossila bränslen inom kollektivtrafiken</w:t>
            </w:r>
          </w:p>
        </w:tc>
        <w:tc>
          <w:tcPr>
            <w:tcW w:w="0" w:type="auto"/>
          </w:tcPr>
          <w:p w14:paraId="54E7AB68" w14:textId="77777777" w:rsidR="00E040FD" w:rsidRDefault="00E040FD">
            <w:pPr>
              <w:spacing w:after="0" w:line="240" w:lineRule="auto"/>
              <w:rPr>
                <w:noProof/>
                <w:sz w:val="18"/>
              </w:rPr>
            </w:pPr>
          </w:p>
        </w:tc>
      </w:tr>
      <w:tr w:rsidR="00E040FD" w14:paraId="2005FDB3"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tcPr>
          <w:p w14:paraId="75A6F4F7" w14:textId="77777777" w:rsidR="00E040FD" w:rsidRDefault="00740D64">
            <w:pPr>
              <w:pStyle w:val="P68B1DB1-Normal23"/>
              <w:spacing w:after="0"/>
              <w:jc w:val="center"/>
              <w:rPr>
                <w:rFonts w:eastAsia="Calibri" w:cs="Calibri"/>
                <w:noProof/>
              </w:rPr>
            </w:pPr>
            <w:r>
              <w:rPr>
                <w:noProof/>
              </w:rPr>
              <w:t>21.40</w:t>
            </w:r>
          </w:p>
        </w:tc>
        <w:tc>
          <w:tcPr>
            <w:tcW w:w="1731" w:type="dxa"/>
            <w:tcBorders>
              <w:top w:val="nil"/>
              <w:left w:val="nil"/>
              <w:bottom w:val="single" w:sz="4" w:space="0" w:color="auto"/>
              <w:right w:val="single" w:sz="4" w:space="0" w:color="auto"/>
            </w:tcBorders>
            <w:shd w:val="clear" w:color="auto" w:fill="C4EFCE"/>
            <w:vAlign w:val="center"/>
          </w:tcPr>
          <w:p w14:paraId="21109940" w14:textId="77777777" w:rsidR="00E040FD" w:rsidRDefault="00740D64">
            <w:pPr>
              <w:pStyle w:val="P68B1DB1-Normal23"/>
              <w:spacing w:after="0"/>
              <w:jc w:val="center"/>
              <w:rPr>
                <w:rFonts w:eastAsia="Calibri" w:cs="Calibri"/>
                <w:noProof/>
              </w:rPr>
            </w:pPr>
            <w:r>
              <w:rPr>
                <w:noProof/>
              </w:rPr>
              <w:t>RP-C21-i15-RAA</w:t>
            </w:r>
          </w:p>
        </w:tc>
        <w:tc>
          <w:tcPr>
            <w:tcW w:w="1491" w:type="dxa"/>
            <w:tcBorders>
              <w:top w:val="nil"/>
              <w:left w:val="nil"/>
              <w:bottom w:val="single" w:sz="4" w:space="0" w:color="auto"/>
              <w:right w:val="single" w:sz="4" w:space="0" w:color="auto"/>
            </w:tcBorders>
            <w:shd w:val="clear" w:color="auto" w:fill="C4EFCE"/>
            <w:vAlign w:val="center"/>
          </w:tcPr>
          <w:p w14:paraId="14D3E6EC" w14:textId="77777777" w:rsidR="00E040FD" w:rsidRDefault="00740D6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tcPr>
          <w:p w14:paraId="204EA7D4" w14:textId="77777777" w:rsidR="00E040FD" w:rsidRDefault="00740D64">
            <w:pPr>
              <w:pStyle w:val="P68B1DB1-Normal23"/>
              <w:spacing w:after="0"/>
              <w:jc w:val="both"/>
              <w:rPr>
                <w:rFonts w:eastAsia="Calibri" w:cs="Calibri"/>
                <w:noProof/>
              </w:rPr>
            </w:pPr>
            <w:r>
              <w:rPr>
                <w:noProof/>
              </w:rPr>
              <w:t>Undertecknande av avtalet om inköp av två elfärjor för transport av passagerare och fordon mellan öarna Pico, Faial och São Jorge</w:t>
            </w:r>
          </w:p>
        </w:tc>
        <w:tc>
          <w:tcPr>
            <w:tcW w:w="0" w:type="auto"/>
          </w:tcPr>
          <w:p w14:paraId="04893D6C" w14:textId="77777777" w:rsidR="00E040FD" w:rsidRDefault="00E040FD">
            <w:pPr>
              <w:spacing w:after="0" w:line="240" w:lineRule="auto"/>
              <w:rPr>
                <w:noProof/>
                <w:sz w:val="18"/>
              </w:rPr>
            </w:pPr>
          </w:p>
        </w:tc>
      </w:tr>
      <w:tr w:rsidR="00E040FD" w14:paraId="6B53B02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0E28EFA" w14:textId="77777777" w:rsidR="00E040FD" w:rsidRDefault="00E040FD">
            <w:pPr>
              <w:jc w:val="center"/>
              <w:rPr>
                <w:rFonts w:ascii="Calibri" w:eastAsia="Calibri" w:hAnsi="Calibri" w:cs="Calibri"/>
                <w:noProof/>
                <w:sz w:val="16"/>
              </w:rPr>
            </w:pPr>
          </w:p>
        </w:tc>
        <w:tc>
          <w:tcPr>
            <w:tcW w:w="1731" w:type="dxa"/>
            <w:tcBorders>
              <w:top w:val="nil"/>
              <w:left w:val="nil"/>
              <w:bottom w:val="single" w:sz="4" w:space="0" w:color="auto"/>
              <w:right w:val="single" w:sz="4" w:space="0" w:color="auto"/>
            </w:tcBorders>
            <w:shd w:val="clear" w:color="auto" w:fill="C4EFCE"/>
            <w:vAlign w:val="center"/>
            <w:hideMark/>
          </w:tcPr>
          <w:p w14:paraId="2E93C338" w14:textId="77777777" w:rsidR="00E040FD" w:rsidRDefault="00E040FD">
            <w:pPr>
              <w:jc w:val="center"/>
              <w:rPr>
                <w:rFonts w:ascii="Calibri" w:eastAsia="Calibri" w:hAnsi="Calibri" w:cs="Calibri"/>
                <w:noProof/>
                <w:sz w:val="16"/>
              </w:rPr>
            </w:pPr>
          </w:p>
        </w:tc>
        <w:tc>
          <w:tcPr>
            <w:tcW w:w="1491" w:type="dxa"/>
            <w:tcBorders>
              <w:top w:val="nil"/>
              <w:left w:val="nil"/>
              <w:bottom w:val="single" w:sz="4" w:space="0" w:color="auto"/>
              <w:right w:val="single" w:sz="4" w:space="0" w:color="auto"/>
            </w:tcBorders>
            <w:shd w:val="clear" w:color="auto" w:fill="C4EFCE"/>
            <w:vAlign w:val="center"/>
            <w:hideMark/>
          </w:tcPr>
          <w:p w14:paraId="75B5103C"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4919" w:type="dxa"/>
            <w:tcBorders>
              <w:top w:val="nil"/>
              <w:left w:val="nil"/>
              <w:bottom w:val="single" w:sz="4" w:space="0" w:color="auto"/>
              <w:right w:val="single" w:sz="4" w:space="0" w:color="auto"/>
            </w:tcBorders>
            <w:shd w:val="clear" w:color="auto" w:fill="C4EFCE"/>
            <w:vAlign w:val="center"/>
            <w:hideMark/>
          </w:tcPr>
          <w:p w14:paraId="3E3CC648" w14:textId="2B08B464" w:rsidR="00E040FD" w:rsidRDefault="00740D64">
            <w:pPr>
              <w:pStyle w:val="P68B1DB1-Normal25"/>
              <w:spacing w:after="0" w:line="240" w:lineRule="auto"/>
              <w:jc w:val="center"/>
              <w:rPr>
                <w:rFonts w:cs="Calibri"/>
                <w:noProof/>
              </w:rPr>
            </w:pPr>
            <w:r>
              <w:rPr>
                <w:noProof/>
              </w:rPr>
              <w:t xml:space="preserve"> 1 501 588 718 EUR </w:t>
            </w:r>
          </w:p>
        </w:tc>
        <w:tc>
          <w:tcPr>
            <w:tcW w:w="0" w:type="auto"/>
          </w:tcPr>
          <w:p w14:paraId="3C8F94FE" w14:textId="77777777" w:rsidR="00E040FD" w:rsidRDefault="00E040FD">
            <w:pPr>
              <w:spacing w:after="0" w:line="240" w:lineRule="auto"/>
              <w:rPr>
                <w:noProof/>
              </w:rPr>
            </w:pPr>
          </w:p>
        </w:tc>
      </w:tr>
    </w:tbl>
    <w:p w14:paraId="0498FCB8" w14:textId="77777777" w:rsidR="00E040FD" w:rsidRDefault="00E040FD">
      <w:pPr>
        <w:keepNext/>
        <w:spacing w:before="40" w:after="160" w:line="259" w:lineRule="auto"/>
        <w:ind w:left="360"/>
        <w:contextualSpacing/>
        <w:jc w:val="both"/>
        <w:rPr>
          <w:rFonts w:ascii="Times New Roman" w:eastAsiaTheme="minorEastAsia" w:hAnsi="Times New Roman" w:cs="Times New Roman"/>
          <w:noProof/>
          <w:sz w:val="24"/>
        </w:rPr>
      </w:pPr>
    </w:p>
    <w:p w14:paraId="7C23D5C3"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Sjunde betalningsansökan (icke återbetalningspliktigt stöd): </w:t>
      </w:r>
    </w:p>
    <w:p w14:paraId="05CC9F84"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45"/>
        <w:gridCol w:w="1514"/>
        <w:gridCol w:w="4987"/>
      </w:tblGrid>
      <w:tr w:rsidR="00E040FD" w14:paraId="2089B95C" w14:textId="77777777">
        <w:trPr>
          <w:trHeight w:val="509"/>
          <w:tblHeader/>
        </w:trPr>
        <w:tc>
          <w:tcPr>
            <w:tcW w:w="1200" w:type="dxa"/>
            <w:vMerge w:val="restart"/>
            <w:shd w:val="clear" w:color="auto" w:fill="BDD7EE"/>
            <w:vAlign w:val="center"/>
            <w:hideMark/>
          </w:tcPr>
          <w:p w14:paraId="1610403B"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vMerge w:val="restart"/>
            <w:shd w:val="clear" w:color="auto" w:fill="BDD7EE"/>
            <w:vAlign w:val="center"/>
            <w:hideMark/>
          </w:tcPr>
          <w:p w14:paraId="087CD088"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vMerge w:val="restart"/>
            <w:shd w:val="clear" w:color="auto" w:fill="BDD7EE"/>
            <w:vAlign w:val="center"/>
            <w:hideMark/>
          </w:tcPr>
          <w:p w14:paraId="3758B49E"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vMerge w:val="restart"/>
            <w:shd w:val="clear" w:color="auto" w:fill="BDD7EE"/>
            <w:vAlign w:val="center"/>
            <w:hideMark/>
          </w:tcPr>
          <w:p w14:paraId="6115E89D"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74F34BCB" w14:textId="77777777">
        <w:trPr>
          <w:trHeight w:val="509"/>
          <w:tblHeader/>
        </w:trPr>
        <w:tc>
          <w:tcPr>
            <w:tcW w:w="1200" w:type="dxa"/>
            <w:vMerge/>
            <w:vAlign w:val="center"/>
            <w:hideMark/>
          </w:tcPr>
          <w:p w14:paraId="5E98CE98" w14:textId="77777777" w:rsidR="00E040FD" w:rsidRDefault="00E040FD">
            <w:pPr>
              <w:spacing w:after="0" w:line="240" w:lineRule="auto"/>
              <w:rPr>
                <w:rFonts w:ascii="Times New Roman" w:eastAsia="Times New Roman" w:hAnsi="Times New Roman" w:cs="Times New Roman"/>
                <w:b/>
                <w:noProof/>
                <w:sz w:val="20"/>
              </w:rPr>
            </w:pPr>
          </w:p>
        </w:tc>
        <w:tc>
          <w:tcPr>
            <w:tcW w:w="1760" w:type="dxa"/>
            <w:vMerge/>
            <w:vAlign w:val="center"/>
            <w:hideMark/>
          </w:tcPr>
          <w:p w14:paraId="273A84B2" w14:textId="77777777" w:rsidR="00E040FD" w:rsidRDefault="00E040FD">
            <w:pPr>
              <w:spacing w:after="0" w:line="240" w:lineRule="auto"/>
              <w:rPr>
                <w:rFonts w:ascii="Times New Roman" w:eastAsia="Times New Roman" w:hAnsi="Times New Roman" w:cs="Times New Roman"/>
                <w:b/>
                <w:noProof/>
                <w:sz w:val="20"/>
              </w:rPr>
            </w:pPr>
          </w:p>
        </w:tc>
        <w:tc>
          <w:tcPr>
            <w:tcW w:w="1520" w:type="dxa"/>
            <w:vMerge/>
            <w:vAlign w:val="center"/>
            <w:hideMark/>
          </w:tcPr>
          <w:p w14:paraId="0B017496" w14:textId="77777777" w:rsidR="00E040FD" w:rsidRDefault="00E040FD">
            <w:pPr>
              <w:spacing w:after="0" w:line="240" w:lineRule="auto"/>
              <w:rPr>
                <w:rFonts w:ascii="Times New Roman" w:eastAsia="Times New Roman" w:hAnsi="Times New Roman" w:cs="Times New Roman"/>
                <w:b/>
                <w:noProof/>
                <w:sz w:val="20"/>
              </w:rPr>
            </w:pPr>
          </w:p>
        </w:tc>
        <w:tc>
          <w:tcPr>
            <w:tcW w:w="5060" w:type="dxa"/>
            <w:vMerge/>
            <w:vAlign w:val="center"/>
            <w:hideMark/>
          </w:tcPr>
          <w:p w14:paraId="51E262C0" w14:textId="77777777" w:rsidR="00E040FD" w:rsidRDefault="00E040FD">
            <w:pPr>
              <w:spacing w:after="0" w:line="240" w:lineRule="auto"/>
              <w:rPr>
                <w:rFonts w:ascii="Times New Roman" w:eastAsia="Times New Roman" w:hAnsi="Times New Roman" w:cs="Times New Roman"/>
                <w:b/>
                <w:noProof/>
                <w:sz w:val="20"/>
              </w:rPr>
            </w:pPr>
          </w:p>
        </w:tc>
      </w:tr>
      <w:tr w:rsidR="00E040FD" w14:paraId="78D2FC43" w14:textId="77777777">
        <w:trPr>
          <w:trHeight w:val="440"/>
        </w:trPr>
        <w:tc>
          <w:tcPr>
            <w:tcW w:w="1200" w:type="dxa"/>
            <w:shd w:val="clear" w:color="auto" w:fill="C4EFCE"/>
            <w:vAlign w:val="center"/>
            <w:hideMark/>
          </w:tcPr>
          <w:p w14:paraId="34AFA81A" w14:textId="77777777" w:rsidR="00E040FD" w:rsidRDefault="00740D64">
            <w:pPr>
              <w:pStyle w:val="P68B1DB1-Normal23"/>
              <w:spacing w:after="0"/>
              <w:jc w:val="center"/>
              <w:rPr>
                <w:rFonts w:eastAsia="Calibri" w:cs="Calibri"/>
                <w:noProof/>
              </w:rPr>
            </w:pPr>
            <w:r>
              <w:rPr>
                <w:noProof/>
              </w:rPr>
              <w:t>1.10</w:t>
            </w:r>
          </w:p>
        </w:tc>
        <w:tc>
          <w:tcPr>
            <w:tcW w:w="1760" w:type="dxa"/>
            <w:shd w:val="clear" w:color="auto" w:fill="C4EFCE"/>
            <w:vAlign w:val="center"/>
            <w:hideMark/>
          </w:tcPr>
          <w:p w14:paraId="51D0C2F0" w14:textId="77777777" w:rsidR="00E040FD" w:rsidRDefault="00740D64">
            <w:pPr>
              <w:pStyle w:val="P68B1DB1-Normal23"/>
              <w:spacing w:after="0"/>
              <w:jc w:val="center"/>
              <w:rPr>
                <w:rFonts w:eastAsia="Calibri" w:cs="Calibri"/>
                <w:noProof/>
              </w:rPr>
            </w:pPr>
            <w:r>
              <w:rPr>
                <w:noProof/>
              </w:rPr>
              <w:t>RE-C01-r03</w:t>
            </w:r>
          </w:p>
        </w:tc>
        <w:tc>
          <w:tcPr>
            <w:tcW w:w="1520" w:type="dxa"/>
            <w:shd w:val="clear" w:color="auto" w:fill="C4EFCE"/>
            <w:vAlign w:val="center"/>
            <w:hideMark/>
          </w:tcPr>
          <w:p w14:paraId="50D354B1"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664EC88" w14:textId="77777777" w:rsidR="00E040FD" w:rsidRDefault="00740D64">
            <w:pPr>
              <w:pStyle w:val="P68B1DB1-Normal23"/>
              <w:spacing w:after="0"/>
              <w:jc w:val="both"/>
              <w:rPr>
                <w:rFonts w:eastAsia="Calibri" w:cs="Calibri"/>
                <w:noProof/>
              </w:rPr>
            </w:pPr>
            <w:r>
              <w:rPr>
                <w:noProof/>
              </w:rPr>
              <w:t>Förstärkning av insatserna vid sjukhusvistelser på sjukhusen inom det nationella hälso- och sjukvårdssystemet</w:t>
            </w:r>
          </w:p>
        </w:tc>
      </w:tr>
      <w:tr w:rsidR="00E040FD" w14:paraId="281EF144" w14:textId="77777777">
        <w:trPr>
          <w:trHeight w:val="440"/>
        </w:trPr>
        <w:tc>
          <w:tcPr>
            <w:tcW w:w="1200" w:type="dxa"/>
            <w:shd w:val="clear" w:color="auto" w:fill="C4EFCE"/>
            <w:vAlign w:val="center"/>
            <w:hideMark/>
          </w:tcPr>
          <w:p w14:paraId="512494E5" w14:textId="77777777" w:rsidR="00E040FD" w:rsidRDefault="00740D64">
            <w:pPr>
              <w:pStyle w:val="P68B1DB1-Normal23"/>
              <w:spacing w:after="0"/>
              <w:jc w:val="center"/>
              <w:rPr>
                <w:rFonts w:eastAsia="Calibri" w:cs="Calibri"/>
                <w:noProof/>
              </w:rPr>
            </w:pPr>
            <w:r>
              <w:rPr>
                <w:noProof/>
              </w:rPr>
              <w:t>1.14</w:t>
            </w:r>
          </w:p>
        </w:tc>
        <w:tc>
          <w:tcPr>
            <w:tcW w:w="1760" w:type="dxa"/>
            <w:shd w:val="clear" w:color="auto" w:fill="C4EFCE"/>
            <w:vAlign w:val="center"/>
            <w:hideMark/>
          </w:tcPr>
          <w:p w14:paraId="0370E718" w14:textId="77777777" w:rsidR="00E040FD" w:rsidRDefault="00740D64">
            <w:pPr>
              <w:pStyle w:val="P68B1DB1-Normal23"/>
              <w:spacing w:after="0"/>
              <w:jc w:val="center"/>
              <w:rPr>
                <w:rFonts w:eastAsia="Calibri" w:cs="Calibri"/>
                <w:noProof/>
              </w:rPr>
            </w:pPr>
            <w:r>
              <w:rPr>
                <w:noProof/>
              </w:rPr>
              <w:t>RE-C01-i01</w:t>
            </w:r>
          </w:p>
        </w:tc>
        <w:tc>
          <w:tcPr>
            <w:tcW w:w="1520" w:type="dxa"/>
            <w:shd w:val="clear" w:color="auto" w:fill="C4EFCE"/>
            <w:vAlign w:val="center"/>
            <w:hideMark/>
          </w:tcPr>
          <w:p w14:paraId="1D5E254A"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FC949BF" w14:textId="77777777" w:rsidR="00E040FD" w:rsidRDefault="00740D64">
            <w:pPr>
              <w:pStyle w:val="P68B1DB1-Normal23"/>
              <w:spacing w:after="0"/>
              <w:jc w:val="both"/>
              <w:rPr>
                <w:rFonts w:eastAsia="Calibri" w:cs="Calibri"/>
                <w:noProof/>
              </w:rPr>
            </w:pPr>
            <w:r>
              <w:rPr>
                <w:noProof/>
              </w:rPr>
              <w:t>Bygga nya hälso- och sjukvårdsenheter</w:t>
            </w:r>
          </w:p>
        </w:tc>
      </w:tr>
      <w:tr w:rsidR="00E040FD" w14:paraId="5D10BD59" w14:textId="77777777">
        <w:trPr>
          <w:trHeight w:val="440"/>
        </w:trPr>
        <w:tc>
          <w:tcPr>
            <w:tcW w:w="1200" w:type="dxa"/>
            <w:shd w:val="clear" w:color="auto" w:fill="C4EFCE"/>
            <w:vAlign w:val="center"/>
            <w:hideMark/>
          </w:tcPr>
          <w:p w14:paraId="461A7F1E" w14:textId="77777777" w:rsidR="00E040FD" w:rsidRDefault="00740D64">
            <w:pPr>
              <w:pStyle w:val="P68B1DB1-Normal23"/>
              <w:spacing w:after="0"/>
              <w:jc w:val="center"/>
              <w:rPr>
                <w:rFonts w:eastAsia="Calibri" w:cs="Calibri"/>
                <w:noProof/>
              </w:rPr>
            </w:pPr>
            <w:r>
              <w:rPr>
                <w:noProof/>
              </w:rPr>
              <w:t>1.35</w:t>
            </w:r>
          </w:p>
        </w:tc>
        <w:tc>
          <w:tcPr>
            <w:tcW w:w="1760" w:type="dxa"/>
            <w:shd w:val="clear" w:color="auto" w:fill="C4EFCE"/>
            <w:vAlign w:val="center"/>
            <w:hideMark/>
          </w:tcPr>
          <w:p w14:paraId="018B6B55" w14:textId="77777777" w:rsidR="00E040FD" w:rsidRDefault="00740D64">
            <w:pPr>
              <w:pStyle w:val="P68B1DB1-Normal23"/>
              <w:spacing w:after="0"/>
              <w:jc w:val="center"/>
              <w:rPr>
                <w:rFonts w:eastAsia="Calibri" w:cs="Calibri"/>
                <w:noProof/>
              </w:rPr>
            </w:pPr>
            <w:r>
              <w:rPr>
                <w:noProof/>
              </w:rPr>
              <w:t>RE-C01-i07-RAM</w:t>
            </w:r>
          </w:p>
        </w:tc>
        <w:tc>
          <w:tcPr>
            <w:tcW w:w="1520" w:type="dxa"/>
            <w:shd w:val="clear" w:color="auto" w:fill="C4EFCE"/>
            <w:vAlign w:val="center"/>
            <w:hideMark/>
          </w:tcPr>
          <w:p w14:paraId="5CA14FA7"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379A737" w14:textId="77777777" w:rsidR="00E040FD" w:rsidRDefault="00740D64">
            <w:pPr>
              <w:pStyle w:val="P68B1DB1-Normal23"/>
              <w:spacing w:after="0"/>
              <w:jc w:val="both"/>
              <w:rPr>
                <w:rFonts w:eastAsia="Calibri" w:cs="Calibri"/>
                <w:noProof/>
              </w:rPr>
            </w:pPr>
            <w:r>
              <w:rPr>
                <w:noProof/>
              </w:rPr>
              <w:t>Ny datorutrustning för Madeiras regionala hälso- och sjukvård</w:t>
            </w:r>
          </w:p>
        </w:tc>
      </w:tr>
      <w:tr w:rsidR="00E040FD" w14:paraId="6C85753F" w14:textId="77777777">
        <w:trPr>
          <w:trHeight w:val="440"/>
        </w:trPr>
        <w:tc>
          <w:tcPr>
            <w:tcW w:w="1200" w:type="dxa"/>
            <w:shd w:val="clear" w:color="auto" w:fill="C4EFCE"/>
            <w:vAlign w:val="center"/>
            <w:hideMark/>
          </w:tcPr>
          <w:p w14:paraId="663CED66" w14:textId="77777777" w:rsidR="00E040FD" w:rsidRDefault="00740D64">
            <w:pPr>
              <w:pStyle w:val="P68B1DB1-Normal23"/>
              <w:spacing w:after="0"/>
              <w:jc w:val="center"/>
              <w:rPr>
                <w:rFonts w:eastAsia="Calibri" w:cs="Calibri"/>
                <w:noProof/>
              </w:rPr>
            </w:pPr>
            <w:r>
              <w:rPr>
                <w:noProof/>
              </w:rPr>
              <w:t>1.37</w:t>
            </w:r>
          </w:p>
        </w:tc>
        <w:tc>
          <w:tcPr>
            <w:tcW w:w="1760" w:type="dxa"/>
            <w:shd w:val="clear" w:color="auto" w:fill="C4EFCE"/>
            <w:vAlign w:val="center"/>
            <w:hideMark/>
          </w:tcPr>
          <w:p w14:paraId="4A6C5BBD" w14:textId="77777777" w:rsidR="00E040FD" w:rsidRDefault="00740D64">
            <w:pPr>
              <w:pStyle w:val="P68B1DB1-Normal23"/>
              <w:spacing w:after="0"/>
              <w:jc w:val="center"/>
              <w:rPr>
                <w:rFonts w:eastAsia="Calibri" w:cs="Calibri"/>
                <w:noProof/>
              </w:rPr>
            </w:pPr>
            <w:r>
              <w:rPr>
                <w:noProof/>
              </w:rPr>
              <w:t>RE-C01-i08-RAA</w:t>
            </w:r>
          </w:p>
        </w:tc>
        <w:tc>
          <w:tcPr>
            <w:tcW w:w="1520" w:type="dxa"/>
            <w:shd w:val="clear" w:color="auto" w:fill="C4EFCE"/>
            <w:vAlign w:val="center"/>
            <w:hideMark/>
          </w:tcPr>
          <w:p w14:paraId="3A083AE7"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8C87034" w14:textId="77777777" w:rsidR="00E040FD" w:rsidRDefault="00740D64">
            <w:pPr>
              <w:pStyle w:val="P68B1DB1-Normal23"/>
              <w:spacing w:after="0"/>
              <w:jc w:val="both"/>
              <w:rPr>
                <w:rFonts w:eastAsia="Calibri" w:cs="Calibri"/>
                <w:noProof/>
              </w:rPr>
            </w:pPr>
            <w:r>
              <w:rPr>
                <w:noProof/>
              </w:rPr>
              <w:t>Införande av utnämningar inom telemedicin i Azorernas regionala hälso- och sjukvård</w:t>
            </w:r>
          </w:p>
        </w:tc>
      </w:tr>
      <w:tr w:rsidR="00E040FD" w14:paraId="0E7C2786" w14:textId="77777777">
        <w:trPr>
          <w:trHeight w:val="440"/>
        </w:trPr>
        <w:tc>
          <w:tcPr>
            <w:tcW w:w="1200" w:type="dxa"/>
            <w:shd w:val="clear" w:color="auto" w:fill="C4EFCE"/>
            <w:vAlign w:val="center"/>
            <w:hideMark/>
          </w:tcPr>
          <w:p w14:paraId="56EFE37A" w14:textId="77777777" w:rsidR="00E040FD" w:rsidRDefault="00740D64">
            <w:pPr>
              <w:pStyle w:val="P68B1DB1-Normal23"/>
              <w:spacing w:after="0"/>
              <w:jc w:val="center"/>
              <w:rPr>
                <w:rFonts w:eastAsia="Calibri" w:cs="Calibri"/>
                <w:noProof/>
              </w:rPr>
            </w:pPr>
            <w:r>
              <w:rPr>
                <w:noProof/>
              </w:rPr>
              <w:t>1.42</w:t>
            </w:r>
          </w:p>
        </w:tc>
        <w:tc>
          <w:tcPr>
            <w:tcW w:w="1760" w:type="dxa"/>
            <w:shd w:val="clear" w:color="auto" w:fill="C4EFCE"/>
            <w:vAlign w:val="center"/>
            <w:hideMark/>
          </w:tcPr>
          <w:p w14:paraId="4BF6A73F" w14:textId="77777777" w:rsidR="00E040FD" w:rsidRDefault="00740D64">
            <w:pPr>
              <w:pStyle w:val="P68B1DB1-Normal23"/>
              <w:spacing w:after="0"/>
              <w:jc w:val="center"/>
              <w:rPr>
                <w:rFonts w:eastAsia="Calibri" w:cs="Calibri"/>
                <w:noProof/>
              </w:rPr>
            </w:pPr>
            <w:r>
              <w:rPr>
                <w:noProof/>
              </w:rPr>
              <w:t>RE-C01-i10</w:t>
            </w:r>
          </w:p>
        </w:tc>
        <w:tc>
          <w:tcPr>
            <w:tcW w:w="1520" w:type="dxa"/>
            <w:shd w:val="clear" w:color="auto" w:fill="C4EFCE"/>
            <w:vAlign w:val="center"/>
            <w:hideMark/>
          </w:tcPr>
          <w:p w14:paraId="507AF341"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7D2D683" w14:textId="77777777" w:rsidR="00E040FD" w:rsidRDefault="00740D64">
            <w:pPr>
              <w:pStyle w:val="P68B1DB1-Normal23"/>
              <w:spacing w:after="0"/>
              <w:jc w:val="both"/>
              <w:rPr>
                <w:rFonts w:eastAsia="Calibri" w:cs="Calibri"/>
                <w:noProof/>
              </w:rPr>
            </w:pPr>
            <w:r>
              <w:rPr>
                <w:noProof/>
              </w:rPr>
              <w:t>Inköp av tung medicinsk utrustning</w:t>
            </w:r>
          </w:p>
        </w:tc>
      </w:tr>
      <w:tr w:rsidR="00E040FD" w14:paraId="5FD85112" w14:textId="77777777">
        <w:trPr>
          <w:trHeight w:val="440"/>
        </w:trPr>
        <w:tc>
          <w:tcPr>
            <w:tcW w:w="1200" w:type="dxa"/>
            <w:shd w:val="clear" w:color="auto" w:fill="C4EFCE"/>
            <w:vAlign w:val="center"/>
            <w:hideMark/>
          </w:tcPr>
          <w:p w14:paraId="4C05018B" w14:textId="77777777" w:rsidR="00E040FD" w:rsidRDefault="00740D64">
            <w:pPr>
              <w:pStyle w:val="P68B1DB1-Normal23"/>
              <w:spacing w:after="0"/>
              <w:jc w:val="center"/>
              <w:rPr>
                <w:rFonts w:eastAsia="Calibri" w:cs="Calibri"/>
                <w:noProof/>
              </w:rPr>
            </w:pPr>
            <w:r>
              <w:rPr>
                <w:noProof/>
              </w:rPr>
              <w:t>2.5</w:t>
            </w:r>
          </w:p>
        </w:tc>
        <w:tc>
          <w:tcPr>
            <w:tcW w:w="1760" w:type="dxa"/>
            <w:shd w:val="clear" w:color="auto" w:fill="C4EFCE"/>
            <w:vAlign w:val="center"/>
            <w:hideMark/>
          </w:tcPr>
          <w:p w14:paraId="7718FE5F" w14:textId="77777777" w:rsidR="00E040FD" w:rsidRDefault="00740D64">
            <w:pPr>
              <w:pStyle w:val="P68B1DB1-Normal23"/>
              <w:spacing w:after="0"/>
              <w:jc w:val="center"/>
              <w:rPr>
                <w:rFonts w:eastAsia="Calibri" w:cs="Calibri"/>
                <w:noProof/>
              </w:rPr>
            </w:pPr>
            <w:r>
              <w:rPr>
                <w:noProof/>
              </w:rPr>
              <w:t>RE-C02-i02</w:t>
            </w:r>
          </w:p>
        </w:tc>
        <w:tc>
          <w:tcPr>
            <w:tcW w:w="1520" w:type="dxa"/>
            <w:shd w:val="clear" w:color="auto" w:fill="C4EFCE"/>
            <w:vAlign w:val="center"/>
            <w:hideMark/>
          </w:tcPr>
          <w:p w14:paraId="14E36A4A"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3716262" w14:textId="77777777" w:rsidR="00E040FD" w:rsidRDefault="00740D64">
            <w:pPr>
              <w:pStyle w:val="P68B1DB1-Normal23"/>
              <w:spacing w:after="0"/>
              <w:jc w:val="both"/>
              <w:rPr>
                <w:rFonts w:eastAsia="Calibri" w:cs="Calibri"/>
                <w:noProof/>
              </w:rPr>
            </w:pPr>
            <w:r>
              <w:rPr>
                <w:noProof/>
              </w:rPr>
              <w:t>Nationellt nöd- och tillfälligt bostadsbidrag – Undertecknande av finansieringsavtal för nödbostäder och tillfälliga bostäder</w:t>
            </w:r>
          </w:p>
        </w:tc>
      </w:tr>
      <w:tr w:rsidR="00E040FD" w14:paraId="558EEAA4" w14:textId="77777777">
        <w:trPr>
          <w:trHeight w:val="440"/>
        </w:trPr>
        <w:tc>
          <w:tcPr>
            <w:tcW w:w="1200" w:type="dxa"/>
            <w:shd w:val="clear" w:color="auto" w:fill="C4EFCE"/>
            <w:vAlign w:val="center"/>
            <w:hideMark/>
          </w:tcPr>
          <w:p w14:paraId="08AB08F8" w14:textId="77777777" w:rsidR="00E040FD" w:rsidRDefault="00740D64">
            <w:pPr>
              <w:pStyle w:val="P68B1DB1-Normal23"/>
              <w:spacing w:after="0"/>
              <w:jc w:val="center"/>
              <w:rPr>
                <w:rFonts w:eastAsia="Calibri" w:cs="Calibri"/>
                <w:noProof/>
              </w:rPr>
            </w:pPr>
            <w:r>
              <w:rPr>
                <w:noProof/>
              </w:rPr>
              <w:t>2.10</w:t>
            </w:r>
          </w:p>
        </w:tc>
        <w:tc>
          <w:tcPr>
            <w:tcW w:w="1760" w:type="dxa"/>
            <w:shd w:val="clear" w:color="auto" w:fill="C4EFCE"/>
            <w:vAlign w:val="center"/>
            <w:hideMark/>
          </w:tcPr>
          <w:p w14:paraId="2483B503" w14:textId="77777777" w:rsidR="00E040FD" w:rsidRDefault="00740D64">
            <w:pPr>
              <w:pStyle w:val="P68B1DB1-Normal23"/>
              <w:spacing w:after="0"/>
              <w:jc w:val="center"/>
              <w:rPr>
                <w:rFonts w:eastAsia="Calibri" w:cs="Calibri"/>
                <w:noProof/>
              </w:rPr>
            </w:pPr>
            <w:r>
              <w:rPr>
                <w:noProof/>
              </w:rPr>
              <w:t>RE-C02-i03-RAM</w:t>
            </w:r>
          </w:p>
        </w:tc>
        <w:tc>
          <w:tcPr>
            <w:tcW w:w="1520" w:type="dxa"/>
            <w:shd w:val="clear" w:color="auto" w:fill="C4EFCE"/>
            <w:vAlign w:val="center"/>
            <w:hideMark/>
          </w:tcPr>
          <w:p w14:paraId="6BC4004A"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94C0CAB" w14:textId="77777777" w:rsidR="00E040FD" w:rsidRDefault="00740D64">
            <w:pPr>
              <w:pStyle w:val="P68B1DB1-Normal23"/>
              <w:spacing w:after="0"/>
              <w:jc w:val="both"/>
              <w:rPr>
                <w:rFonts w:eastAsia="Calibri" w:cs="Calibri"/>
                <w:noProof/>
              </w:rPr>
            </w:pPr>
            <w:r>
              <w:rPr>
                <w:noProof/>
              </w:rPr>
              <w:t>Stöd till bostäder i den autonoma regionen Madeira</w:t>
            </w:r>
          </w:p>
        </w:tc>
      </w:tr>
      <w:tr w:rsidR="00E040FD" w14:paraId="692CD3EC" w14:textId="77777777">
        <w:trPr>
          <w:trHeight w:val="440"/>
        </w:trPr>
        <w:tc>
          <w:tcPr>
            <w:tcW w:w="1200" w:type="dxa"/>
            <w:shd w:val="clear" w:color="auto" w:fill="C4EFCE"/>
            <w:vAlign w:val="center"/>
            <w:hideMark/>
          </w:tcPr>
          <w:p w14:paraId="66CC6C58" w14:textId="77777777" w:rsidR="00E040FD" w:rsidRDefault="00740D64">
            <w:pPr>
              <w:pStyle w:val="P68B1DB1-Normal23"/>
              <w:spacing w:after="0"/>
              <w:jc w:val="center"/>
              <w:rPr>
                <w:rFonts w:eastAsia="Calibri" w:cs="Calibri"/>
                <w:noProof/>
              </w:rPr>
            </w:pPr>
            <w:r>
              <w:rPr>
                <w:noProof/>
              </w:rPr>
              <w:t>3.2</w:t>
            </w:r>
          </w:p>
        </w:tc>
        <w:tc>
          <w:tcPr>
            <w:tcW w:w="1760" w:type="dxa"/>
            <w:shd w:val="clear" w:color="auto" w:fill="C4EFCE"/>
            <w:vAlign w:val="center"/>
            <w:hideMark/>
          </w:tcPr>
          <w:p w14:paraId="4B6552D8" w14:textId="77777777" w:rsidR="00E040FD" w:rsidRDefault="00740D64">
            <w:pPr>
              <w:pStyle w:val="P68B1DB1-Normal23"/>
              <w:spacing w:after="0"/>
              <w:jc w:val="center"/>
              <w:rPr>
                <w:rFonts w:eastAsia="Calibri" w:cs="Calibri"/>
                <w:noProof/>
              </w:rPr>
            </w:pPr>
            <w:r>
              <w:rPr>
                <w:noProof/>
              </w:rPr>
              <w:t>RE-C03-i01</w:t>
            </w:r>
          </w:p>
        </w:tc>
        <w:tc>
          <w:tcPr>
            <w:tcW w:w="1520" w:type="dxa"/>
            <w:shd w:val="clear" w:color="auto" w:fill="C4EFCE"/>
            <w:vAlign w:val="center"/>
            <w:hideMark/>
          </w:tcPr>
          <w:p w14:paraId="0928115F"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12F2860" w14:textId="77777777" w:rsidR="00E040FD" w:rsidRDefault="00740D64">
            <w:pPr>
              <w:pStyle w:val="P68B1DB1-Normal23"/>
              <w:spacing w:after="0"/>
              <w:jc w:val="both"/>
              <w:rPr>
                <w:rFonts w:eastAsia="Calibri" w:cs="Calibri"/>
                <w:noProof/>
              </w:rPr>
            </w:pPr>
            <w:r>
              <w:rPr>
                <w:noProof/>
              </w:rPr>
              <w:t>Inrättande av grupper för sociala interventioner (Radar Social)</w:t>
            </w:r>
          </w:p>
        </w:tc>
      </w:tr>
      <w:tr w:rsidR="00E040FD" w14:paraId="30BD846E" w14:textId="77777777">
        <w:trPr>
          <w:trHeight w:val="440"/>
        </w:trPr>
        <w:tc>
          <w:tcPr>
            <w:tcW w:w="1200" w:type="dxa"/>
            <w:shd w:val="clear" w:color="auto" w:fill="C4EFCE"/>
            <w:vAlign w:val="center"/>
            <w:hideMark/>
          </w:tcPr>
          <w:p w14:paraId="77CAF7E5" w14:textId="77777777" w:rsidR="00E040FD" w:rsidRDefault="00740D64">
            <w:pPr>
              <w:pStyle w:val="P68B1DB1-Normal23"/>
              <w:spacing w:after="0"/>
              <w:jc w:val="center"/>
              <w:rPr>
                <w:rFonts w:eastAsia="Calibri" w:cs="Calibri"/>
                <w:noProof/>
              </w:rPr>
            </w:pPr>
            <w:r>
              <w:rPr>
                <w:noProof/>
              </w:rPr>
              <w:t>3.18</w:t>
            </w:r>
          </w:p>
        </w:tc>
        <w:tc>
          <w:tcPr>
            <w:tcW w:w="1760" w:type="dxa"/>
            <w:shd w:val="clear" w:color="auto" w:fill="C4EFCE"/>
            <w:vAlign w:val="center"/>
            <w:hideMark/>
          </w:tcPr>
          <w:p w14:paraId="4095135D" w14:textId="77777777" w:rsidR="00E040FD" w:rsidRDefault="00740D64">
            <w:pPr>
              <w:pStyle w:val="P68B1DB1-Normal23"/>
              <w:spacing w:after="0"/>
              <w:jc w:val="center"/>
              <w:rPr>
                <w:rFonts w:eastAsia="Calibri" w:cs="Calibri"/>
                <w:noProof/>
              </w:rPr>
            </w:pPr>
            <w:r>
              <w:rPr>
                <w:noProof/>
              </w:rPr>
              <w:t>RE-C03-i05</w:t>
            </w:r>
          </w:p>
        </w:tc>
        <w:tc>
          <w:tcPr>
            <w:tcW w:w="1520" w:type="dxa"/>
            <w:shd w:val="clear" w:color="auto" w:fill="C4EFCE"/>
            <w:vAlign w:val="center"/>
            <w:hideMark/>
          </w:tcPr>
          <w:p w14:paraId="3214A456"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CF15101" w14:textId="77777777" w:rsidR="00E040FD" w:rsidRDefault="00740D64">
            <w:pPr>
              <w:pStyle w:val="P68B1DB1-Normal23"/>
              <w:spacing w:after="0"/>
              <w:jc w:val="both"/>
              <w:rPr>
                <w:rFonts w:eastAsia="Calibri" w:cs="Calibri"/>
                <w:noProof/>
              </w:rPr>
            </w:pPr>
            <w:r>
              <w:rPr>
                <w:noProof/>
              </w:rPr>
              <w:t>Digital informationsplattform för personer med funktionsnedsättning</w:t>
            </w:r>
          </w:p>
        </w:tc>
      </w:tr>
      <w:tr w:rsidR="00E040FD" w14:paraId="20628CE8" w14:textId="77777777">
        <w:trPr>
          <w:trHeight w:val="440"/>
        </w:trPr>
        <w:tc>
          <w:tcPr>
            <w:tcW w:w="1200" w:type="dxa"/>
            <w:shd w:val="clear" w:color="auto" w:fill="C4EFCE"/>
            <w:vAlign w:val="center"/>
            <w:hideMark/>
          </w:tcPr>
          <w:p w14:paraId="718E4D78" w14:textId="77777777" w:rsidR="00E040FD" w:rsidRDefault="00740D64">
            <w:pPr>
              <w:pStyle w:val="P68B1DB1-Normal23"/>
              <w:spacing w:after="0"/>
              <w:jc w:val="center"/>
              <w:rPr>
                <w:rFonts w:eastAsia="Calibri" w:cs="Calibri"/>
                <w:noProof/>
              </w:rPr>
            </w:pPr>
            <w:r>
              <w:rPr>
                <w:noProof/>
              </w:rPr>
              <w:t>5.37</w:t>
            </w:r>
          </w:p>
        </w:tc>
        <w:tc>
          <w:tcPr>
            <w:tcW w:w="1760" w:type="dxa"/>
            <w:shd w:val="clear" w:color="auto" w:fill="C4EFCE"/>
            <w:vAlign w:val="center"/>
            <w:hideMark/>
          </w:tcPr>
          <w:p w14:paraId="7B3EE8CE" w14:textId="77777777" w:rsidR="00E040FD" w:rsidRDefault="00740D64">
            <w:pPr>
              <w:pStyle w:val="P68B1DB1-Normal23"/>
              <w:spacing w:after="0"/>
              <w:jc w:val="center"/>
              <w:rPr>
                <w:rFonts w:eastAsia="Calibri" w:cs="Calibri"/>
                <w:noProof/>
              </w:rPr>
            </w:pPr>
            <w:r>
              <w:rPr>
                <w:noProof/>
              </w:rPr>
              <w:t>RE-C05-i08</w:t>
            </w:r>
          </w:p>
        </w:tc>
        <w:tc>
          <w:tcPr>
            <w:tcW w:w="1520" w:type="dxa"/>
            <w:shd w:val="clear" w:color="auto" w:fill="C4EFCE"/>
            <w:vAlign w:val="center"/>
            <w:hideMark/>
          </w:tcPr>
          <w:p w14:paraId="37761C8D"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9320E7C" w14:textId="77777777" w:rsidR="00E040FD" w:rsidRDefault="00740D64">
            <w:pPr>
              <w:pStyle w:val="P68B1DB1-Normal23"/>
              <w:spacing w:after="0"/>
              <w:jc w:val="both"/>
              <w:rPr>
                <w:rFonts w:eastAsia="Calibri" w:cs="Calibri"/>
                <w:noProof/>
              </w:rPr>
            </w:pPr>
            <w:r>
              <w:rPr>
                <w:noProof/>
              </w:rPr>
              <w:t>Inrättande av det nationella centrumet för avancerad datateknik (CNCA).</w:t>
            </w:r>
          </w:p>
        </w:tc>
      </w:tr>
      <w:tr w:rsidR="00E040FD" w14:paraId="6A2FA64B" w14:textId="77777777">
        <w:trPr>
          <w:trHeight w:val="440"/>
        </w:trPr>
        <w:tc>
          <w:tcPr>
            <w:tcW w:w="1200" w:type="dxa"/>
            <w:shd w:val="clear" w:color="auto" w:fill="C4EFCE"/>
            <w:vAlign w:val="center"/>
            <w:hideMark/>
          </w:tcPr>
          <w:p w14:paraId="7FC45C4C" w14:textId="77777777" w:rsidR="00E040FD" w:rsidRDefault="00740D64">
            <w:pPr>
              <w:pStyle w:val="P68B1DB1-Normal23"/>
              <w:spacing w:after="0"/>
              <w:jc w:val="center"/>
              <w:rPr>
                <w:rFonts w:eastAsia="Calibri" w:cs="Calibri"/>
                <w:noProof/>
              </w:rPr>
            </w:pPr>
            <w:r>
              <w:rPr>
                <w:noProof/>
              </w:rPr>
              <w:t>6.5</w:t>
            </w:r>
          </w:p>
        </w:tc>
        <w:tc>
          <w:tcPr>
            <w:tcW w:w="1760" w:type="dxa"/>
            <w:shd w:val="clear" w:color="auto" w:fill="C4EFCE"/>
            <w:vAlign w:val="center"/>
            <w:hideMark/>
          </w:tcPr>
          <w:p w14:paraId="2B15BC68" w14:textId="77777777" w:rsidR="00E040FD" w:rsidRDefault="00740D64">
            <w:pPr>
              <w:pStyle w:val="P68B1DB1-Normal23"/>
              <w:spacing w:after="0"/>
              <w:jc w:val="center"/>
              <w:rPr>
                <w:rFonts w:eastAsia="Calibri" w:cs="Calibri"/>
                <w:noProof/>
              </w:rPr>
            </w:pPr>
            <w:r>
              <w:rPr>
                <w:noProof/>
              </w:rPr>
              <w:t>RE-C06-i02</w:t>
            </w:r>
          </w:p>
        </w:tc>
        <w:tc>
          <w:tcPr>
            <w:tcW w:w="1520" w:type="dxa"/>
            <w:shd w:val="clear" w:color="auto" w:fill="C4EFCE"/>
            <w:vAlign w:val="center"/>
            <w:hideMark/>
          </w:tcPr>
          <w:p w14:paraId="7BE9B1BA"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F542581" w14:textId="77777777" w:rsidR="00E040FD" w:rsidRDefault="00740D64">
            <w:pPr>
              <w:pStyle w:val="P68B1DB1-Normal23"/>
              <w:spacing w:after="0"/>
              <w:jc w:val="both"/>
              <w:rPr>
                <w:rFonts w:eastAsia="Calibri" w:cs="Calibri"/>
                <w:noProof/>
              </w:rPr>
            </w:pPr>
            <w:r>
              <w:rPr>
                <w:noProof/>
              </w:rPr>
              <w:t>Ekonomiskt stöd för tillsvidareanställningar</w:t>
            </w:r>
          </w:p>
        </w:tc>
      </w:tr>
      <w:tr w:rsidR="00E040FD" w14:paraId="4839FE69" w14:textId="77777777">
        <w:trPr>
          <w:trHeight w:val="440"/>
        </w:trPr>
        <w:tc>
          <w:tcPr>
            <w:tcW w:w="1200" w:type="dxa"/>
            <w:shd w:val="clear" w:color="auto" w:fill="C4EFCE"/>
            <w:vAlign w:val="center"/>
            <w:hideMark/>
          </w:tcPr>
          <w:p w14:paraId="410B82AF" w14:textId="77777777" w:rsidR="00E040FD" w:rsidRDefault="00740D64">
            <w:pPr>
              <w:pStyle w:val="P68B1DB1-Normal23"/>
              <w:spacing w:after="0"/>
              <w:jc w:val="center"/>
              <w:rPr>
                <w:rFonts w:eastAsia="Calibri" w:cs="Calibri"/>
                <w:noProof/>
              </w:rPr>
            </w:pPr>
            <w:r>
              <w:rPr>
                <w:noProof/>
              </w:rPr>
              <w:t>6.17</w:t>
            </w:r>
          </w:p>
        </w:tc>
        <w:tc>
          <w:tcPr>
            <w:tcW w:w="1760" w:type="dxa"/>
            <w:shd w:val="clear" w:color="auto" w:fill="C4EFCE"/>
            <w:vAlign w:val="center"/>
            <w:hideMark/>
          </w:tcPr>
          <w:p w14:paraId="71A13B94" w14:textId="77777777" w:rsidR="00E040FD" w:rsidRDefault="00740D64">
            <w:pPr>
              <w:pStyle w:val="P68B1DB1-Normal23"/>
              <w:spacing w:after="0"/>
              <w:jc w:val="center"/>
              <w:rPr>
                <w:rFonts w:eastAsia="Calibri" w:cs="Calibri"/>
                <w:noProof/>
              </w:rPr>
            </w:pPr>
            <w:r>
              <w:rPr>
                <w:noProof/>
              </w:rPr>
              <w:t>RE-C06-r18</w:t>
            </w:r>
          </w:p>
        </w:tc>
        <w:tc>
          <w:tcPr>
            <w:tcW w:w="1520" w:type="dxa"/>
            <w:shd w:val="clear" w:color="auto" w:fill="C4EFCE"/>
            <w:vAlign w:val="center"/>
            <w:hideMark/>
          </w:tcPr>
          <w:p w14:paraId="51778BF5"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241251F" w14:textId="77777777" w:rsidR="00E040FD" w:rsidRDefault="00740D64">
            <w:pPr>
              <w:pStyle w:val="P68B1DB1-Normal23"/>
              <w:spacing w:after="0"/>
              <w:jc w:val="both"/>
              <w:rPr>
                <w:rFonts w:eastAsia="Calibri" w:cs="Calibri"/>
                <w:noProof/>
              </w:rPr>
            </w:pPr>
            <w:r>
              <w:rPr>
                <w:noProof/>
              </w:rPr>
              <w:t>Fastställa den portugisiska normen för ett förvaltningssystem för lika lön.</w:t>
            </w:r>
          </w:p>
        </w:tc>
      </w:tr>
      <w:tr w:rsidR="00E040FD" w14:paraId="0118C2E1" w14:textId="77777777">
        <w:trPr>
          <w:trHeight w:val="440"/>
        </w:trPr>
        <w:tc>
          <w:tcPr>
            <w:tcW w:w="1200" w:type="dxa"/>
            <w:shd w:val="clear" w:color="auto" w:fill="C4EFCE"/>
            <w:vAlign w:val="center"/>
          </w:tcPr>
          <w:p w14:paraId="73E1EE90" w14:textId="77777777" w:rsidR="00E040FD" w:rsidRDefault="00740D64">
            <w:pPr>
              <w:pStyle w:val="P68B1DB1-Normal23"/>
              <w:spacing w:after="0"/>
              <w:jc w:val="center"/>
              <w:rPr>
                <w:rFonts w:eastAsia="Calibri" w:cs="Calibri"/>
                <w:noProof/>
              </w:rPr>
            </w:pPr>
            <w:r>
              <w:rPr>
                <w:noProof/>
              </w:rPr>
              <w:t>6.18</w:t>
            </w:r>
          </w:p>
        </w:tc>
        <w:tc>
          <w:tcPr>
            <w:tcW w:w="1760" w:type="dxa"/>
            <w:shd w:val="clear" w:color="auto" w:fill="C4EFCE"/>
            <w:vAlign w:val="center"/>
          </w:tcPr>
          <w:p w14:paraId="3D8A0425" w14:textId="77777777" w:rsidR="00E040FD" w:rsidRDefault="00740D64">
            <w:pPr>
              <w:pStyle w:val="P68B1DB1-Normal23"/>
              <w:spacing w:after="0"/>
              <w:jc w:val="center"/>
              <w:rPr>
                <w:rFonts w:eastAsia="Calibri" w:cs="Calibri"/>
                <w:noProof/>
              </w:rPr>
            </w:pPr>
            <w:r>
              <w:rPr>
                <w:noProof/>
              </w:rPr>
              <w:t>RE-C06-r18</w:t>
            </w:r>
          </w:p>
        </w:tc>
        <w:tc>
          <w:tcPr>
            <w:tcW w:w="1520" w:type="dxa"/>
            <w:shd w:val="clear" w:color="auto" w:fill="C4EFCE"/>
            <w:vAlign w:val="center"/>
          </w:tcPr>
          <w:p w14:paraId="72CDE6C4"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tcPr>
          <w:p w14:paraId="601AD98C" w14:textId="77777777" w:rsidR="00E040FD" w:rsidRDefault="00740D64">
            <w:pPr>
              <w:pStyle w:val="P68B1DB1-Normal23"/>
              <w:spacing w:after="0"/>
              <w:jc w:val="both"/>
              <w:rPr>
                <w:rFonts w:eastAsia="Calibri" w:cs="Calibri"/>
                <w:noProof/>
              </w:rPr>
            </w:pPr>
            <w:r>
              <w:rPr>
                <w:noProof/>
              </w:rPr>
              <w:t>Anmälan av företag med mer än 50 arbetstagare som uppvisar betydande löneskillnader mellan könen</w:t>
            </w:r>
          </w:p>
        </w:tc>
      </w:tr>
      <w:tr w:rsidR="00E040FD" w14:paraId="6DE96290" w14:textId="77777777">
        <w:trPr>
          <w:trHeight w:val="440"/>
        </w:trPr>
        <w:tc>
          <w:tcPr>
            <w:tcW w:w="1200" w:type="dxa"/>
            <w:shd w:val="clear" w:color="auto" w:fill="C4EFCE"/>
            <w:vAlign w:val="center"/>
            <w:hideMark/>
          </w:tcPr>
          <w:p w14:paraId="2DF8DE3F" w14:textId="77777777" w:rsidR="00E040FD" w:rsidRDefault="00740D64">
            <w:pPr>
              <w:pStyle w:val="P68B1DB1-Normal23"/>
              <w:spacing w:after="0"/>
              <w:jc w:val="center"/>
              <w:rPr>
                <w:rFonts w:eastAsia="Calibri" w:cs="Calibri"/>
                <w:noProof/>
              </w:rPr>
            </w:pPr>
            <w:r>
              <w:rPr>
                <w:noProof/>
              </w:rPr>
              <w:t>6.24</w:t>
            </w:r>
          </w:p>
        </w:tc>
        <w:tc>
          <w:tcPr>
            <w:tcW w:w="1760" w:type="dxa"/>
            <w:shd w:val="clear" w:color="auto" w:fill="C4EFCE"/>
            <w:vAlign w:val="center"/>
            <w:hideMark/>
          </w:tcPr>
          <w:p w14:paraId="3F72ECAE" w14:textId="77777777" w:rsidR="00E040FD" w:rsidRDefault="00740D64">
            <w:pPr>
              <w:pStyle w:val="P68B1DB1-Normal23"/>
              <w:spacing w:after="0"/>
              <w:jc w:val="center"/>
              <w:rPr>
                <w:rFonts w:eastAsia="Calibri" w:cs="Calibri"/>
                <w:noProof/>
              </w:rPr>
            </w:pPr>
            <w:r>
              <w:rPr>
                <w:noProof/>
              </w:rPr>
              <w:t>RE-C06-i07</w:t>
            </w:r>
          </w:p>
        </w:tc>
        <w:tc>
          <w:tcPr>
            <w:tcW w:w="1520" w:type="dxa"/>
            <w:shd w:val="clear" w:color="auto" w:fill="C4EFCE"/>
            <w:vAlign w:val="center"/>
            <w:hideMark/>
          </w:tcPr>
          <w:p w14:paraId="36EEB3BA"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E71C6ED" w14:textId="77777777" w:rsidR="00E040FD" w:rsidRDefault="00740D64">
            <w:pPr>
              <w:pStyle w:val="P68B1DB1-Normal23"/>
              <w:spacing w:after="0"/>
              <w:jc w:val="both"/>
              <w:rPr>
                <w:rFonts w:eastAsia="Calibri" w:cs="Calibri"/>
                <w:noProof/>
              </w:rPr>
            </w:pPr>
            <w:r>
              <w:rPr>
                <w:noProof/>
              </w:rPr>
              <w:t xml:space="preserve">Innovation och pedagogisk modernisering inom den högre utbildningen </w:t>
            </w:r>
          </w:p>
        </w:tc>
      </w:tr>
      <w:tr w:rsidR="00E040FD" w14:paraId="71CB9782" w14:textId="77777777">
        <w:trPr>
          <w:trHeight w:val="440"/>
        </w:trPr>
        <w:tc>
          <w:tcPr>
            <w:tcW w:w="1200" w:type="dxa"/>
            <w:shd w:val="clear" w:color="auto" w:fill="C4EFCE"/>
            <w:vAlign w:val="center"/>
            <w:hideMark/>
          </w:tcPr>
          <w:p w14:paraId="2D7720E1" w14:textId="77777777" w:rsidR="00E040FD" w:rsidRDefault="00740D64">
            <w:pPr>
              <w:pStyle w:val="P68B1DB1-Normal23"/>
              <w:spacing w:after="0"/>
              <w:jc w:val="center"/>
              <w:rPr>
                <w:rFonts w:eastAsia="Calibri" w:cs="Calibri"/>
                <w:noProof/>
              </w:rPr>
            </w:pPr>
            <w:r>
              <w:rPr>
                <w:noProof/>
              </w:rPr>
              <w:t>6.26</w:t>
            </w:r>
          </w:p>
        </w:tc>
        <w:tc>
          <w:tcPr>
            <w:tcW w:w="1760" w:type="dxa"/>
            <w:shd w:val="clear" w:color="auto" w:fill="C4EFCE"/>
            <w:vAlign w:val="center"/>
            <w:hideMark/>
          </w:tcPr>
          <w:p w14:paraId="4E35273D" w14:textId="0EFE6435" w:rsidR="00E040FD" w:rsidRDefault="00740D64">
            <w:pPr>
              <w:pStyle w:val="P68B1DB1-Normal23"/>
              <w:spacing w:after="0"/>
              <w:jc w:val="center"/>
              <w:rPr>
                <w:rFonts w:eastAsia="Calibri" w:cs="Calibri"/>
                <w:noProof/>
              </w:rPr>
            </w:pPr>
            <w:r>
              <w:rPr>
                <w:noProof/>
              </w:rPr>
              <w:t>RE-C06-i08-RAM</w:t>
            </w:r>
          </w:p>
        </w:tc>
        <w:tc>
          <w:tcPr>
            <w:tcW w:w="1520" w:type="dxa"/>
            <w:shd w:val="clear" w:color="auto" w:fill="C4EFCE"/>
            <w:vAlign w:val="center"/>
            <w:hideMark/>
          </w:tcPr>
          <w:p w14:paraId="682F1E48"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2A9A92A" w14:textId="77777777" w:rsidR="00E040FD" w:rsidRDefault="00740D64">
            <w:pPr>
              <w:pStyle w:val="P68B1DB1-Normal23"/>
              <w:spacing w:after="0"/>
              <w:jc w:val="both"/>
              <w:rPr>
                <w:rFonts w:eastAsia="Calibri" w:cs="Calibri"/>
                <w:noProof/>
              </w:rPr>
            </w:pPr>
            <w:r>
              <w:rPr>
                <w:noProof/>
              </w:rPr>
              <w:t>Kontrakt undertecknat för förlängning av CITMA-byggnaden</w:t>
            </w:r>
          </w:p>
        </w:tc>
      </w:tr>
      <w:tr w:rsidR="00E040FD" w14:paraId="1641F158" w14:textId="77777777">
        <w:trPr>
          <w:trHeight w:val="440"/>
        </w:trPr>
        <w:tc>
          <w:tcPr>
            <w:tcW w:w="1200" w:type="dxa"/>
            <w:shd w:val="clear" w:color="auto" w:fill="C4EFCE"/>
            <w:vAlign w:val="center"/>
            <w:hideMark/>
          </w:tcPr>
          <w:p w14:paraId="2A803BC2" w14:textId="77777777" w:rsidR="00E040FD" w:rsidRDefault="00740D64">
            <w:pPr>
              <w:pStyle w:val="P68B1DB1-Normal23"/>
              <w:spacing w:after="0"/>
              <w:jc w:val="center"/>
              <w:rPr>
                <w:rFonts w:eastAsia="Calibri" w:cs="Calibri"/>
                <w:noProof/>
              </w:rPr>
            </w:pPr>
            <w:r>
              <w:rPr>
                <w:noProof/>
              </w:rPr>
              <w:t>7.2</w:t>
            </w:r>
          </w:p>
        </w:tc>
        <w:tc>
          <w:tcPr>
            <w:tcW w:w="1760" w:type="dxa"/>
            <w:shd w:val="clear" w:color="auto" w:fill="C4EFCE"/>
            <w:vAlign w:val="center"/>
            <w:hideMark/>
          </w:tcPr>
          <w:p w14:paraId="148139C0" w14:textId="77777777" w:rsidR="00E040FD" w:rsidRDefault="00740D64">
            <w:pPr>
              <w:pStyle w:val="P68B1DB1-Normal23"/>
              <w:spacing w:after="0"/>
              <w:jc w:val="center"/>
              <w:rPr>
                <w:rFonts w:eastAsia="Calibri" w:cs="Calibri"/>
                <w:noProof/>
              </w:rPr>
            </w:pPr>
            <w:r>
              <w:rPr>
                <w:noProof/>
              </w:rPr>
              <w:t>RE-C07-i00</w:t>
            </w:r>
          </w:p>
        </w:tc>
        <w:tc>
          <w:tcPr>
            <w:tcW w:w="1520" w:type="dxa"/>
            <w:shd w:val="clear" w:color="auto" w:fill="C4EFCE"/>
            <w:vAlign w:val="center"/>
            <w:hideMark/>
          </w:tcPr>
          <w:p w14:paraId="3C913E09"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B05BD75" w14:textId="4917198F" w:rsidR="00E040FD" w:rsidRDefault="00740D64">
            <w:pPr>
              <w:pStyle w:val="P68B1DB1-Normal23"/>
              <w:spacing w:after="0"/>
              <w:jc w:val="both"/>
              <w:rPr>
                <w:rFonts w:eastAsia="Calibri" w:cs="Calibri"/>
                <w:noProof/>
              </w:rPr>
            </w:pPr>
            <w:r>
              <w:rPr>
                <w:noProof/>
              </w:rPr>
              <w:t>Allmänt tillgängliga laddningsstationer för elfordon</w:t>
            </w:r>
          </w:p>
        </w:tc>
      </w:tr>
      <w:tr w:rsidR="00E040FD" w14:paraId="409538B8" w14:textId="77777777">
        <w:trPr>
          <w:trHeight w:val="440"/>
        </w:trPr>
        <w:tc>
          <w:tcPr>
            <w:tcW w:w="1200" w:type="dxa"/>
            <w:shd w:val="clear" w:color="auto" w:fill="C4EFCE"/>
            <w:vAlign w:val="center"/>
            <w:hideMark/>
          </w:tcPr>
          <w:p w14:paraId="7AD48D83" w14:textId="77777777" w:rsidR="00E040FD" w:rsidRDefault="00740D64">
            <w:pPr>
              <w:pStyle w:val="P68B1DB1-Normal23"/>
              <w:spacing w:after="0"/>
              <w:jc w:val="center"/>
              <w:rPr>
                <w:rFonts w:eastAsia="Calibri" w:cs="Calibri"/>
                <w:noProof/>
              </w:rPr>
            </w:pPr>
            <w:r>
              <w:rPr>
                <w:noProof/>
              </w:rPr>
              <w:t>8.13</w:t>
            </w:r>
          </w:p>
        </w:tc>
        <w:tc>
          <w:tcPr>
            <w:tcW w:w="1760" w:type="dxa"/>
            <w:shd w:val="clear" w:color="auto" w:fill="C4EFCE"/>
            <w:vAlign w:val="center"/>
            <w:hideMark/>
          </w:tcPr>
          <w:p w14:paraId="4745E4E8" w14:textId="77777777" w:rsidR="00E040FD" w:rsidRDefault="00740D64">
            <w:pPr>
              <w:pStyle w:val="P68B1DB1-Normal23"/>
              <w:spacing w:after="0"/>
              <w:jc w:val="center"/>
              <w:rPr>
                <w:rFonts w:eastAsia="Calibri" w:cs="Calibri"/>
                <w:noProof/>
              </w:rPr>
            </w:pPr>
            <w:r>
              <w:rPr>
                <w:noProof/>
              </w:rPr>
              <w:t>RE-C08-i05</w:t>
            </w:r>
          </w:p>
        </w:tc>
        <w:tc>
          <w:tcPr>
            <w:tcW w:w="1520" w:type="dxa"/>
            <w:shd w:val="clear" w:color="auto" w:fill="C4EFCE"/>
            <w:vAlign w:val="center"/>
            <w:hideMark/>
          </w:tcPr>
          <w:p w14:paraId="5F6B7E1B"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9D1CC3E" w14:textId="77777777" w:rsidR="00E040FD" w:rsidRDefault="00740D64">
            <w:pPr>
              <w:pStyle w:val="P68B1DB1-Normal23"/>
              <w:spacing w:after="0"/>
              <w:jc w:val="both"/>
              <w:rPr>
                <w:rFonts w:eastAsia="Calibri" w:cs="Calibri"/>
                <w:noProof/>
              </w:rPr>
            </w:pPr>
            <w:r>
              <w:rPr>
                <w:noProof/>
              </w:rPr>
              <w:t>Förstärkning av enheterna vid inrikesministeriet (MAI) med fordon och operativ utrustning</w:t>
            </w:r>
          </w:p>
        </w:tc>
      </w:tr>
      <w:tr w:rsidR="00E040FD" w14:paraId="46442EA5" w14:textId="77777777">
        <w:trPr>
          <w:trHeight w:val="440"/>
        </w:trPr>
        <w:tc>
          <w:tcPr>
            <w:tcW w:w="1200" w:type="dxa"/>
            <w:shd w:val="clear" w:color="auto" w:fill="C4EFCE"/>
            <w:vAlign w:val="center"/>
            <w:hideMark/>
          </w:tcPr>
          <w:p w14:paraId="37ADCEA6" w14:textId="77777777" w:rsidR="00E040FD" w:rsidRDefault="00740D64">
            <w:pPr>
              <w:pStyle w:val="P68B1DB1-Normal23"/>
              <w:spacing w:after="0"/>
              <w:jc w:val="center"/>
              <w:rPr>
                <w:rFonts w:eastAsia="Calibri" w:cs="Calibri"/>
                <w:noProof/>
              </w:rPr>
            </w:pPr>
            <w:r>
              <w:rPr>
                <w:noProof/>
              </w:rPr>
              <w:t>9.1</w:t>
            </w:r>
          </w:p>
        </w:tc>
        <w:tc>
          <w:tcPr>
            <w:tcW w:w="1760" w:type="dxa"/>
            <w:shd w:val="clear" w:color="auto" w:fill="C4EFCE"/>
            <w:vAlign w:val="center"/>
            <w:hideMark/>
          </w:tcPr>
          <w:p w14:paraId="21DD8E0C" w14:textId="77777777" w:rsidR="00E040FD" w:rsidRDefault="00740D64">
            <w:pPr>
              <w:pStyle w:val="P68B1DB1-Normal23"/>
              <w:spacing w:after="0"/>
              <w:jc w:val="center"/>
              <w:rPr>
                <w:rFonts w:eastAsia="Calibri" w:cs="Calibri"/>
                <w:noProof/>
              </w:rPr>
            </w:pPr>
            <w:r>
              <w:rPr>
                <w:noProof/>
              </w:rPr>
              <w:t>RE-C09-i01</w:t>
            </w:r>
          </w:p>
        </w:tc>
        <w:tc>
          <w:tcPr>
            <w:tcW w:w="1520" w:type="dxa"/>
            <w:shd w:val="clear" w:color="auto" w:fill="C4EFCE"/>
            <w:vAlign w:val="center"/>
            <w:hideMark/>
          </w:tcPr>
          <w:p w14:paraId="4B9F30BC"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51D75FD" w14:textId="77777777" w:rsidR="00E040FD" w:rsidRDefault="00740D64">
            <w:pPr>
              <w:pStyle w:val="P68B1DB1-Normal23"/>
              <w:spacing w:after="0"/>
              <w:jc w:val="both"/>
              <w:rPr>
                <w:rFonts w:eastAsia="Calibri" w:cs="Calibri"/>
                <w:noProof/>
              </w:rPr>
            </w:pPr>
            <w:r>
              <w:rPr>
                <w:noProof/>
              </w:rPr>
              <w:t>Ytterligare övervakningspunkter för installerade grundvattenresurser (SM3)</w:t>
            </w:r>
          </w:p>
        </w:tc>
      </w:tr>
      <w:tr w:rsidR="00E040FD" w14:paraId="19B5815B" w14:textId="77777777">
        <w:trPr>
          <w:trHeight w:val="440"/>
        </w:trPr>
        <w:tc>
          <w:tcPr>
            <w:tcW w:w="1200" w:type="dxa"/>
            <w:shd w:val="clear" w:color="auto" w:fill="C4EFCE"/>
            <w:vAlign w:val="center"/>
            <w:hideMark/>
          </w:tcPr>
          <w:p w14:paraId="40BE5193" w14:textId="77777777" w:rsidR="00E040FD" w:rsidRDefault="00740D64">
            <w:pPr>
              <w:pStyle w:val="P68B1DB1-Normal23"/>
              <w:spacing w:after="0"/>
              <w:jc w:val="center"/>
              <w:rPr>
                <w:rFonts w:eastAsia="Calibri" w:cs="Calibri"/>
                <w:noProof/>
              </w:rPr>
            </w:pPr>
            <w:r>
              <w:rPr>
                <w:noProof/>
              </w:rPr>
              <w:t>9.5</w:t>
            </w:r>
          </w:p>
        </w:tc>
        <w:tc>
          <w:tcPr>
            <w:tcW w:w="1760" w:type="dxa"/>
            <w:shd w:val="clear" w:color="auto" w:fill="C4EFCE"/>
            <w:vAlign w:val="center"/>
            <w:hideMark/>
          </w:tcPr>
          <w:p w14:paraId="604C41E0" w14:textId="77777777" w:rsidR="00E040FD" w:rsidRDefault="00740D64">
            <w:pPr>
              <w:pStyle w:val="P68B1DB1-Normal23"/>
              <w:spacing w:after="0"/>
              <w:jc w:val="center"/>
              <w:rPr>
                <w:rFonts w:eastAsia="Calibri" w:cs="Calibri"/>
                <w:noProof/>
              </w:rPr>
            </w:pPr>
            <w:r>
              <w:rPr>
                <w:noProof/>
              </w:rPr>
              <w:t>RE-C09-i01</w:t>
            </w:r>
          </w:p>
        </w:tc>
        <w:tc>
          <w:tcPr>
            <w:tcW w:w="1520" w:type="dxa"/>
            <w:shd w:val="clear" w:color="auto" w:fill="C4EFCE"/>
            <w:vAlign w:val="center"/>
            <w:hideMark/>
          </w:tcPr>
          <w:p w14:paraId="68882788"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A618198" w14:textId="77777777" w:rsidR="00E040FD" w:rsidRDefault="00740D64">
            <w:pPr>
              <w:pStyle w:val="P68B1DB1-Normal23"/>
              <w:spacing w:after="0"/>
              <w:jc w:val="both"/>
              <w:rPr>
                <w:rFonts w:eastAsia="Calibri" w:cs="Calibri"/>
                <w:noProof/>
              </w:rPr>
            </w:pPr>
            <w:r>
              <w:rPr>
                <w:noProof/>
              </w:rPr>
              <w:t>Antagande av en uppdaterad utformning (om så krävs) av åtgärden för uttag i Guadiana, med fullständig integrering av alla resultat och villkor från miljökonsekvensbedömningen (SM5).</w:t>
            </w:r>
          </w:p>
        </w:tc>
      </w:tr>
      <w:tr w:rsidR="00E040FD" w14:paraId="61BA2CC6" w14:textId="77777777">
        <w:trPr>
          <w:trHeight w:val="440"/>
        </w:trPr>
        <w:tc>
          <w:tcPr>
            <w:tcW w:w="1200" w:type="dxa"/>
            <w:shd w:val="clear" w:color="auto" w:fill="C4EFCE"/>
            <w:vAlign w:val="center"/>
            <w:hideMark/>
          </w:tcPr>
          <w:p w14:paraId="6330516E" w14:textId="77777777" w:rsidR="00E040FD" w:rsidRDefault="00740D64">
            <w:pPr>
              <w:pStyle w:val="P68B1DB1-Normal23"/>
              <w:spacing w:after="0"/>
              <w:jc w:val="center"/>
              <w:rPr>
                <w:rFonts w:eastAsia="Calibri" w:cs="Calibri"/>
                <w:noProof/>
              </w:rPr>
            </w:pPr>
            <w:r>
              <w:rPr>
                <w:noProof/>
              </w:rPr>
              <w:t>9.7</w:t>
            </w:r>
          </w:p>
        </w:tc>
        <w:tc>
          <w:tcPr>
            <w:tcW w:w="1760" w:type="dxa"/>
            <w:shd w:val="clear" w:color="auto" w:fill="C4EFCE"/>
            <w:vAlign w:val="center"/>
            <w:hideMark/>
          </w:tcPr>
          <w:p w14:paraId="4FB0CCD7" w14:textId="77777777" w:rsidR="00E040FD" w:rsidRDefault="00740D64">
            <w:pPr>
              <w:pStyle w:val="P68B1DB1-Normal23"/>
              <w:spacing w:after="0"/>
              <w:jc w:val="center"/>
              <w:rPr>
                <w:rFonts w:eastAsia="Calibri" w:cs="Calibri"/>
                <w:noProof/>
              </w:rPr>
            </w:pPr>
            <w:r>
              <w:rPr>
                <w:noProof/>
              </w:rPr>
              <w:t xml:space="preserve">RE-C09-i01  </w:t>
            </w:r>
          </w:p>
        </w:tc>
        <w:tc>
          <w:tcPr>
            <w:tcW w:w="1520" w:type="dxa"/>
            <w:shd w:val="clear" w:color="auto" w:fill="C4EFCE"/>
            <w:vAlign w:val="center"/>
            <w:hideMark/>
          </w:tcPr>
          <w:p w14:paraId="4CAF32D0"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83D462D" w14:textId="77777777" w:rsidR="00E040FD" w:rsidRDefault="00740D64">
            <w:pPr>
              <w:pStyle w:val="P68B1DB1-Normal23"/>
              <w:spacing w:after="0"/>
              <w:jc w:val="both"/>
              <w:rPr>
                <w:rFonts w:eastAsia="Calibri" w:cs="Calibri"/>
                <w:noProof/>
              </w:rPr>
            </w:pPr>
            <w:r>
              <w:rPr>
                <w:noProof/>
              </w:rPr>
              <w:t>Antagande av en uppdaterad utformning (om så krävs) av avsaltningsåtgärden, med fullständig integrering av alla resultat och villkor från miljökonsekvensbedömningen (SM6).</w:t>
            </w:r>
          </w:p>
        </w:tc>
      </w:tr>
      <w:tr w:rsidR="00E040FD" w14:paraId="0AB93700" w14:textId="77777777">
        <w:trPr>
          <w:trHeight w:val="440"/>
        </w:trPr>
        <w:tc>
          <w:tcPr>
            <w:tcW w:w="1200" w:type="dxa"/>
            <w:shd w:val="clear" w:color="auto" w:fill="C4EFCE"/>
            <w:vAlign w:val="center"/>
            <w:hideMark/>
          </w:tcPr>
          <w:p w14:paraId="3E548EA8" w14:textId="77777777" w:rsidR="00E040FD" w:rsidRDefault="00740D64">
            <w:pPr>
              <w:pStyle w:val="P68B1DB1-Normal23"/>
              <w:spacing w:after="0"/>
              <w:jc w:val="center"/>
              <w:rPr>
                <w:rFonts w:eastAsia="Calibri" w:cs="Calibri"/>
                <w:noProof/>
              </w:rPr>
            </w:pPr>
            <w:r>
              <w:rPr>
                <w:noProof/>
              </w:rPr>
              <w:t>10.15</w:t>
            </w:r>
          </w:p>
        </w:tc>
        <w:tc>
          <w:tcPr>
            <w:tcW w:w="1760" w:type="dxa"/>
            <w:shd w:val="clear" w:color="auto" w:fill="C4EFCE"/>
            <w:vAlign w:val="center"/>
            <w:hideMark/>
          </w:tcPr>
          <w:p w14:paraId="4CF19DFE" w14:textId="77777777" w:rsidR="00E040FD" w:rsidRDefault="00740D64">
            <w:pPr>
              <w:pStyle w:val="P68B1DB1-Normal23"/>
              <w:spacing w:after="0"/>
              <w:jc w:val="center"/>
              <w:rPr>
                <w:rFonts w:eastAsia="Calibri" w:cs="Calibri"/>
                <w:noProof/>
              </w:rPr>
            </w:pPr>
            <w:r>
              <w:rPr>
                <w:noProof/>
              </w:rPr>
              <w:t>TC-C10-i06-RAM</w:t>
            </w:r>
          </w:p>
        </w:tc>
        <w:tc>
          <w:tcPr>
            <w:tcW w:w="1520" w:type="dxa"/>
            <w:shd w:val="clear" w:color="auto" w:fill="C4EFCE"/>
            <w:vAlign w:val="center"/>
            <w:hideMark/>
          </w:tcPr>
          <w:p w14:paraId="6C4706BE"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BDA8F52" w14:textId="77777777" w:rsidR="00E040FD" w:rsidRDefault="00740D64">
            <w:pPr>
              <w:pStyle w:val="P68B1DB1-Normal23"/>
              <w:spacing w:after="0"/>
              <w:jc w:val="both"/>
              <w:rPr>
                <w:rFonts w:eastAsia="Calibri" w:cs="Calibri"/>
                <w:noProof/>
              </w:rPr>
            </w:pPr>
            <w:r>
              <w:rPr>
                <w:noProof/>
              </w:rPr>
              <w:t>Leverans av två autonoma obemannade fordon</w:t>
            </w:r>
          </w:p>
        </w:tc>
      </w:tr>
      <w:tr w:rsidR="00E040FD" w14:paraId="0980B6CB" w14:textId="77777777">
        <w:trPr>
          <w:trHeight w:val="440"/>
        </w:trPr>
        <w:tc>
          <w:tcPr>
            <w:tcW w:w="1200" w:type="dxa"/>
            <w:shd w:val="clear" w:color="auto" w:fill="C4EFCE"/>
            <w:vAlign w:val="center"/>
            <w:hideMark/>
          </w:tcPr>
          <w:p w14:paraId="7E7FB85D" w14:textId="77777777" w:rsidR="00E040FD" w:rsidRDefault="00740D64">
            <w:pPr>
              <w:pStyle w:val="P68B1DB1-Normal23"/>
              <w:spacing w:after="0"/>
              <w:jc w:val="center"/>
              <w:rPr>
                <w:rFonts w:eastAsia="Calibri" w:cs="Calibri"/>
                <w:noProof/>
              </w:rPr>
            </w:pPr>
            <w:r>
              <w:rPr>
                <w:noProof/>
              </w:rPr>
              <w:t>14.4</w:t>
            </w:r>
          </w:p>
        </w:tc>
        <w:tc>
          <w:tcPr>
            <w:tcW w:w="1760" w:type="dxa"/>
            <w:shd w:val="clear" w:color="auto" w:fill="C4EFCE"/>
            <w:vAlign w:val="center"/>
            <w:hideMark/>
          </w:tcPr>
          <w:p w14:paraId="04D0BEED" w14:textId="77777777" w:rsidR="00E040FD" w:rsidRDefault="00740D64">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57393661"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8E80E7D" w14:textId="77777777" w:rsidR="00E040FD" w:rsidRDefault="00740D64">
            <w:pPr>
              <w:pStyle w:val="P68B1DB1-Normal23"/>
              <w:spacing w:after="0"/>
              <w:jc w:val="both"/>
              <w:rPr>
                <w:rFonts w:eastAsia="Calibri" w:cs="Calibri"/>
                <w:noProof/>
              </w:rPr>
            </w:pPr>
            <w:r>
              <w:rPr>
                <w:noProof/>
              </w:rPr>
              <w:t>Installation av ny synkronkompensator</w:t>
            </w:r>
          </w:p>
        </w:tc>
      </w:tr>
      <w:tr w:rsidR="00E040FD" w14:paraId="5A41BED8" w14:textId="77777777">
        <w:trPr>
          <w:trHeight w:val="440"/>
        </w:trPr>
        <w:tc>
          <w:tcPr>
            <w:tcW w:w="1200" w:type="dxa"/>
            <w:shd w:val="clear" w:color="auto" w:fill="C4EFCE"/>
            <w:vAlign w:val="center"/>
            <w:hideMark/>
          </w:tcPr>
          <w:p w14:paraId="29F13402" w14:textId="77777777" w:rsidR="00E040FD" w:rsidRDefault="00740D64">
            <w:pPr>
              <w:pStyle w:val="P68B1DB1-Normal23"/>
              <w:spacing w:after="0"/>
              <w:jc w:val="center"/>
              <w:rPr>
                <w:rFonts w:eastAsia="Calibri" w:cs="Calibri"/>
                <w:noProof/>
              </w:rPr>
            </w:pPr>
            <w:r>
              <w:rPr>
                <w:noProof/>
              </w:rPr>
              <w:t>14.6</w:t>
            </w:r>
          </w:p>
        </w:tc>
        <w:tc>
          <w:tcPr>
            <w:tcW w:w="1760" w:type="dxa"/>
            <w:shd w:val="clear" w:color="auto" w:fill="C4EFCE"/>
            <w:vAlign w:val="center"/>
            <w:hideMark/>
          </w:tcPr>
          <w:p w14:paraId="2564F54A" w14:textId="77777777" w:rsidR="00E040FD" w:rsidRDefault="00740D64">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2D22D314"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C086CC6" w14:textId="77777777" w:rsidR="00E040FD" w:rsidRDefault="00740D64">
            <w:pPr>
              <w:pStyle w:val="P68B1DB1-Normal23"/>
              <w:spacing w:after="0"/>
              <w:jc w:val="both"/>
              <w:rPr>
                <w:rFonts w:eastAsia="Calibri" w:cs="Calibri"/>
                <w:noProof/>
              </w:rPr>
            </w:pPr>
            <w:r>
              <w:rPr>
                <w:noProof/>
              </w:rPr>
              <w:t>Renoverad installerad produktionskapacitet för vattenkraft</w:t>
            </w:r>
          </w:p>
        </w:tc>
      </w:tr>
      <w:tr w:rsidR="00E040FD" w14:paraId="67DAD308" w14:textId="77777777">
        <w:trPr>
          <w:trHeight w:val="440"/>
        </w:trPr>
        <w:tc>
          <w:tcPr>
            <w:tcW w:w="1200" w:type="dxa"/>
            <w:shd w:val="clear" w:color="auto" w:fill="C4EFCE"/>
            <w:vAlign w:val="center"/>
            <w:hideMark/>
          </w:tcPr>
          <w:p w14:paraId="27435949" w14:textId="77777777" w:rsidR="00E040FD" w:rsidRDefault="00740D64">
            <w:pPr>
              <w:pStyle w:val="P68B1DB1-Normal23"/>
              <w:spacing w:after="0"/>
              <w:jc w:val="center"/>
              <w:rPr>
                <w:rFonts w:eastAsia="Calibri" w:cs="Calibri"/>
                <w:noProof/>
              </w:rPr>
            </w:pPr>
            <w:r>
              <w:rPr>
                <w:noProof/>
              </w:rPr>
              <w:t>14.7</w:t>
            </w:r>
          </w:p>
        </w:tc>
        <w:tc>
          <w:tcPr>
            <w:tcW w:w="1760" w:type="dxa"/>
            <w:shd w:val="clear" w:color="auto" w:fill="C4EFCE"/>
            <w:vAlign w:val="center"/>
            <w:hideMark/>
          </w:tcPr>
          <w:p w14:paraId="5DC4FFD0" w14:textId="77777777" w:rsidR="00E040FD" w:rsidRDefault="00740D64">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6996B48A"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598F423" w14:textId="77777777" w:rsidR="00E040FD" w:rsidRDefault="00740D64">
            <w:pPr>
              <w:pStyle w:val="P68B1DB1-Normal23"/>
              <w:spacing w:after="0"/>
              <w:jc w:val="both"/>
              <w:rPr>
                <w:rFonts w:eastAsia="Calibri" w:cs="Calibri"/>
                <w:noProof/>
              </w:rPr>
            </w:pPr>
            <w:r>
              <w:rPr>
                <w:noProof/>
              </w:rPr>
              <w:t>Ytterligare installerad kapacitet i batterilagringssystemet</w:t>
            </w:r>
          </w:p>
        </w:tc>
      </w:tr>
      <w:tr w:rsidR="00E040FD" w14:paraId="33AF3466" w14:textId="77777777">
        <w:trPr>
          <w:trHeight w:val="440"/>
        </w:trPr>
        <w:tc>
          <w:tcPr>
            <w:tcW w:w="1200" w:type="dxa"/>
            <w:shd w:val="clear" w:color="auto" w:fill="C4EFCE"/>
            <w:vAlign w:val="center"/>
            <w:hideMark/>
          </w:tcPr>
          <w:p w14:paraId="50DEBE76" w14:textId="77777777" w:rsidR="00E040FD" w:rsidRDefault="00740D64">
            <w:pPr>
              <w:pStyle w:val="P68B1DB1-Normal23"/>
              <w:spacing w:after="0"/>
              <w:jc w:val="center"/>
              <w:rPr>
                <w:rFonts w:eastAsia="Calibri" w:cs="Calibri"/>
                <w:noProof/>
              </w:rPr>
            </w:pPr>
            <w:r>
              <w:rPr>
                <w:noProof/>
              </w:rPr>
              <w:t>15.5</w:t>
            </w:r>
          </w:p>
        </w:tc>
        <w:tc>
          <w:tcPr>
            <w:tcW w:w="1760" w:type="dxa"/>
            <w:shd w:val="clear" w:color="auto" w:fill="C4EFCE"/>
            <w:vAlign w:val="center"/>
            <w:hideMark/>
          </w:tcPr>
          <w:p w14:paraId="0C3D8592" w14:textId="77777777" w:rsidR="00E040FD" w:rsidRDefault="00740D64">
            <w:pPr>
              <w:pStyle w:val="P68B1DB1-Normal23"/>
              <w:spacing w:after="0"/>
              <w:jc w:val="center"/>
              <w:rPr>
                <w:rFonts w:eastAsia="Calibri" w:cs="Calibri"/>
                <w:noProof/>
              </w:rPr>
            </w:pPr>
            <w:r>
              <w:rPr>
                <w:noProof/>
              </w:rPr>
              <w:t>TC-C15-I02</w:t>
            </w:r>
          </w:p>
        </w:tc>
        <w:tc>
          <w:tcPr>
            <w:tcW w:w="1520" w:type="dxa"/>
            <w:shd w:val="clear" w:color="auto" w:fill="C4EFCE"/>
            <w:vAlign w:val="center"/>
            <w:hideMark/>
          </w:tcPr>
          <w:p w14:paraId="2F39D734"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901C353" w14:textId="77777777" w:rsidR="00E040FD" w:rsidRDefault="00740D64">
            <w:pPr>
              <w:pStyle w:val="P68B1DB1-Normal23"/>
              <w:spacing w:after="0"/>
              <w:jc w:val="both"/>
              <w:rPr>
                <w:rFonts w:eastAsia="Calibri" w:cs="Calibri"/>
                <w:noProof/>
              </w:rPr>
            </w:pPr>
            <w:r>
              <w:rPr>
                <w:noProof/>
              </w:rPr>
              <w:t>Lägesrapport om utbyggnaden av Portotunnelbanenätet</w:t>
            </w:r>
          </w:p>
        </w:tc>
      </w:tr>
      <w:tr w:rsidR="00E040FD" w14:paraId="7CD1B8EB" w14:textId="77777777">
        <w:trPr>
          <w:trHeight w:val="440"/>
        </w:trPr>
        <w:tc>
          <w:tcPr>
            <w:tcW w:w="1200" w:type="dxa"/>
            <w:shd w:val="clear" w:color="auto" w:fill="C4EFCE"/>
            <w:vAlign w:val="center"/>
            <w:hideMark/>
          </w:tcPr>
          <w:p w14:paraId="637A0073" w14:textId="77777777" w:rsidR="00E040FD" w:rsidRDefault="00740D64">
            <w:pPr>
              <w:pStyle w:val="P68B1DB1-Normal23"/>
              <w:spacing w:after="0"/>
              <w:jc w:val="center"/>
              <w:rPr>
                <w:rFonts w:eastAsia="Calibri" w:cs="Calibri"/>
                <w:noProof/>
              </w:rPr>
            </w:pPr>
            <w:r>
              <w:rPr>
                <w:noProof/>
              </w:rPr>
              <w:t>15.11</w:t>
            </w:r>
          </w:p>
        </w:tc>
        <w:tc>
          <w:tcPr>
            <w:tcW w:w="1760" w:type="dxa"/>
            <w:shd w:val="clear" w:color="auto" w:fill="C4EFCE"/>
            <w:vAlign w:val="center"/>
            <w:hideMark/>
          </w:tcPr>
          <w:p w14:paraId="5A701BFC" w14:textId="77777777" w:rsidR="00E040FD" w:rsidRDefault="00740D64">
            <w:pPr>
              <w:pStyle w:val="P68B1DB1-Normal23"/>
              <w:spacing w:after="0"/>
              <w:jc w:val="center"/>
              <w:rPr>
                <w:rFonts w:eastAsia="Calibri" w:cs="Calibri"/>
                <w:noProof/>
              </w:rPr>
            </w:pPr>
            <w:r>
              <w:rPr>
                <w:noProof/>
              </w:rPr>
              <w:t>TC-C15-I04</w:t>
            </w:r>
          </w:p>
        </w:tc>
        <w:tc>
          <w:tcPr>
            <w:tcW w:w="1520" w:type="dxa"/>
            <w:shd w:val="clear" w:color="auto" w:fill="C4EFCE"/>
            <w:vAlign w:val="center"/>
            <w:hideMark/>
          </w:tcPr>
          <w:p w14:paraId="19EE7515"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C0E54A2" w14:textId="77777777" w:rsidR="00E040FD" w:rsidRDefault="00740D64">
            <w:pPr>
              <w:pStyle w:val="P68B1DB1-Normal23"/>
              <w:spacing w:after="0"/>
              <w:jc w:val="both"/>
              <w:rPr>
                <w:rFonts w:eastAsia="Calibri" w:cs="Calibri"/>
                <w:noProof/>
              </w:rPr>
            </w:pPr>
            <w:r>
              <w:rPr>
                <w:noProof/>
              </w:rPr>
              <w:t>Uppförande av en snabb transitlinje mellan Praça do Império och Praça Albuquerque Mouzinho i Porto slutförd</w:t>
            </w:r>
          </w:p>
        </w:tc>
      </w:tr>
      <w:tr w:rsidR="00E040FD" w14:paraId="2779212F" w14:textId="77777777">
        <w:trPr>
          <w:trHeight w:val="440"/>
        </w:trPr>
        <w:tc>
          <w:tcPr>
            <w:tcW w:w="1200" w:type="dxa"/>
            <w:shd w:val="clear" w:color="auto" w:fill="C4EFCE"/>
            <w:vAlign w:val="center"/>
            <w:hideMark/>
          </w:tcPr>
          <w:p w14:paraId="14B00922" w14:textId="77777777" w:rsidR="00E040FD" w:rsidRDefault="00740D64">
            <w:pPr>
              <w:pStyle w:val="P68B1DB1-Normal23"/>
              <w:spacing w:after="0"/>
              <w:jc w:val="center"/>
              <w:rPr>
                <w:rFonts w:eastAsia="Calibri" w:cs="Calibri"/>
                <w:noProof/>
              </w:rPr>
            </w:pPr>
            <w:r>
              <w:rPr>
                <w:noProof/>
              </w:rPr>
              <w:t>15.15</w:t>
            </w:r>
          </w:p>
        </w:tc>
        <w:tc>
          <w:tcPr>
            <w:tcW w:w="1760" w:type="dxa"/>
            <w:shd w:val="clear" w:color="auto" w:fill="C4EFCE"/>
            <w:vAlign w:val="center"/>
            <w:hideMark/>
          </w:tcPr>
          <w:p w14:paraId="405B1745" w14:textId="77777777" w:rsidR="00E040FD" w:rsidRDefault="00740D64">
            <w:pPr>
              <w:pStyle w:val="P68B1DB1-Normal23"/>
              <w:spacing w:after="0"/>
              <w:jc w:val="center"/>
              <w:rPr>
                <w:rFonts w:eastAsia="Calibri" w:cs="Calibri"/>
                <w:noProof/>
              </w:rPr>
            </w:pPr>
            <w:r>
              <w:rPr>
                <w:noProof/>
              </w:rPr>
              <w:t>TC-C15-I06</w:t>
            </w:r>
          </w:p>
        </w:tc>
        <w:tc>
          <w:tcPr>
            <w:tcW w:w="1520" w:type="dxa"/>
            <w:shd w:val="clear" w:color="auto" w:fill="C4EFCE"/>
            <w:vAlign w:val="center"/>
            <w:hideMark/>
          </w:tcPr>
          <w:p w14:paraId="01989B92"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694D9EC" w14:textId="77777777" w:rsidR="00E040FD" w:rsidRDefault="00740D64">
            <w:pPr>
              <w:pStyle w:val="P68B1DB1-Normal23"/>
              <w:spacing w:after="0"/>
              <w:jc w:val="both"/>
              <w:rPr>
                <w:rFonts w:eastAsia="Calibri" w:cs="Calibri"/>
                <w:noProof/>
              </w:rPr>
            </w:pPr>
            <w:r>
              <w:rPr>
                <w:noProof/>
              </w:rPr>
              <w:t>Undertecknande av kontrakt för elektroniska signalsystem</w:t>
            </w:r>
          </w:p>
        </w:tc>
      </w:tr>
      <w:tr w:rsidR="00E040FD" w14:paraId="56D38DB6" w14:textId="77777777">
        <w:trPr>
          <w:trHeight w:val="440"/>
        </w:trPr>
        <w:tc>
          <w:tcPr>
            <w:tcW w:w="1200" w:type="dxa"/>
            <w:shd w:val="clear" w:color="auto" w:fill="C4EFCE"/>
            <w:vAlign w:val="center"/>
            <w:hideMark/>
          </w:tcPr>
          <w:p w14:paraId="6CFABCF9" w14:textId="77777777" w:rsidR="00E040FD" w:rsidRDefault="00740D64">
            <w:pPr>
              <w:pStyle w:val="P68B1DB1-Normal23"/>
              <w:spacing w:after="0"/>
              <w:jc w:val="center"/>
              <w:rPr>
                <w:rFonts w:eastAsia="Calibri" w:cs="Calibri"/>
                <w:noProof/>
              </w:rPr>
            </w:pPr>
            <w:r>
              <w:rPr>
                <w:noProof/>
              </w:rPr>
              <w:t>16.5</w:t>
            </w:r>
          </w:p>
        </w:tc>
        <w:tc>
          <w:tcPr>
            <w:tcW w:w="1760" w:type="dxa"/>
            <w:shd w:val="clear" w:color="auto" w:fill="C4EFCE"/>
            <w:vAlign w:val="center"/>
            <w:hideMark/>
          </w:tcPr>
          <w:p w14:paraId="6A307F6F" w14:textId="77777777" w:rsidR="00E040FD" w:rsidRDefault="00740D64">
            <w:pPr>
              <w:pStyle w:val="P68B1DB1-Normal23"/>
              <w:spacing w:after="0"/>
              <w:jc w:val="center"/>
              <w:rPr>
                <w:rFonts w:eastAsia="Calibri" w:cs="Calibri"/>
                <w:noProof/>
              </w:rPr>
            </w:pPr>
            <w:r>
              <w:rPr>
                <w:noProof/>
              </w:rPr>
              <w:t>TD-C16-i02</w:t>
            </w:r>
          </w:p>
        </w:tc>
        <w:tc>
          <w:tcPr>
            <w:tcW w:w="1520" w:type="dxa"/>
            <w:shd w:val="clear" w:color="auto" w:fill="C4EFCE"/>
            <w:vAlign w:val="center"/>
            <w:hideMark/>
          </w:tcPr>
          <w:p w14:paraId="6195C394"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97CE114" w14:textId="77777777" w:rsidR="00E040FD" w:rsidRDefault="00740D64">
            <w:pPr>
              <w:pStyle w:val="P68B1DB1-Normal23"/>
              <w:spacing w:after="0"/>
              <w:jc w:val="both"/>
              <w:rPr>
                <w:rFonts w:eastAsia="Calibri" w:cs="Calibri"/>
                <w:noProof/>
              </w:rPr>
            </w:pPr>
            <w:r>
              <w:rPr>
                <w:noProof/>
              </w:rPr>
              <w:t>Små och medelstora företag som stöds av acceleratorer för digital handel</w:t>
            </w:r>
          </w:p>
        </w:tc>
      </w:tr>
      <w:tr w:rsidR="00E040FD" w14:paraId="56167A7A" w14:textId="77777777">
        <w:trPr>
          <w:trHeight w:val="440"/>
        </w:trPr>
        <w:tc>
          <w:tcPr>
            <w:tcW w:w="1200" w:type="dxa"/>
            <w:shd w:val="clear" w:color="auto" w:fill="C4EFCE"/>
            <w:vAlign w:val="center"/>
            <w:hideMark/>
          </w:tcPr>
          <w:p w14:paraId="0CF069F8" w14:textId="77777777" w:rsidR="00E040FD" w:rsidRDefault="00740D64">
            <w:pPr>
              <w:pStyle w:val="P68B1DB1-Normal23"/>
              <w:spacing w:after="0"/>
              <w:jc w:val="center"/>
              <w:rPr>
                <w:rFonts w:eastAsia="Calibri" w:cs="Calibri"/>
                <w:noProof/>
              </w:rPr>
            </w:pPr>
            <w:r>
              <w:rPr>
                <w:noProof/>
              </w:rPr>
              <w:t>17.5</w:t>
            </w:r>
          </w:p>
        </w:tc>
        <w:tc>
          <w:tcPr>
            <w:tcW w:w="1760" w:type="dxa"/>
            <w:shd w:val="clear" w:color="auto" w:fill="C4EFCE"/>
            <w:vAlign w:val="center"/>
            <w:hideMark/>
          </w:tcPr>
          <w:p w14:paraId="7E1E0351" w14:textId="77777777" w:rsidR="00E040FD" w:rsidRDefault="00740D64">
            <w:pPr>
              <w:pStyle w:val="P68B1DB1-Normal23"/>
              <w:spacing w:after="0"/>
              <w:jc w:val="center"/>
              <w:rPr>
                <w:rFonts w:eastAsia="Calibri" w:cs="Calibri"/>
                <w:noProof/>
              </w:rPr>
            </w:pPr>
            <w:r>
              <w:rPr>
                <w:noProof/>
              </w:rPr>
              <w:t>TD-C17-r32</w:t>
            </w:r>
          </w:p>
        </w:tc>
        <w:tc>
          <w:tcPr>
            <w:tcW w:w="1520" w:type="dxa"/>
            <w:shd w:val="clear" w:color="auto" w:fill="C4EFCE"/>
            <w:vAlign w:val="center"/>
            <w:hideMark/>
          </w:tcPr>
          <w:p w14:paraId="60722B6A"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6F87E6B" w14:textId="77777777" w:rsidR="00E040FD" w:rsidRDefault="00740D64">
            <w:pPr>
              <w:pStyle w:val="P68B1DB1-Normal23"/>
              <w:spacing w:after="0"/>
              <w:jc w:val="both"/>
              <w:rPr>
                <w:rFonts w:eastAsia="Calibri" w:cs="Calibri"/>
                <w:noProof/>
              </w:rPr>
            </w:pPr>
            <w:r>
              <w:rPr>
                <w:noProof/>
              </w:rPr>
              <w:t>Genomförande av mekanismer för att integrera utgiftsöversyner i den ordinarie budgetprocessen, inbegripet efterhandsutvärderingen av effektivitetsbesparingar</w:t>
            </w:r>
          </w:p>
        </w:tc>
      </w:tr>
      <w:tr w:rsidR="00E040FD" w14:paraId="17788C3A" w14:textId="77777777">
        <w:trPr>
          <w:trHeight w:val="440"/>
        </w:trPr>
        <w:tc>
          <w:tcPr>
            <w:tcW w:w="1200" w:type="dxa"/>
            <w:shd w:val="clear" w:color="auto" w:fill="C4EFCE"/>
            <w:vAlign w:val="center"/>
            <w:hideMark/>
          </w:tcPr>
          <w:p w14:paraId="37658F95" w14:textId="77777777" w:rsidR="00E040FD" w:rsidRDefault="00740D64">
            <w:pPr>
              <w:pStyle w:val="P68B1DB1-Normal23"/>
              <w:spacing w:after="0"/>
              <w:jc w:val="center"/>
              <w:rPr>
                <w:rFonts w:eastAsia="Calibri" w:cs="Calibri"/>
                <w:noProof/>
              </w:rPr>
            </w:pPr>
            <w:r>
              <w:rPr>
                <w:noProof/>
              </w:rPr>
              <w:t>17.10</w:t>
            </w:r>
          </w:p>
        </w:tc>
        <w:tc>
          <w:tcPr>
            <w:tcW w:w="1760" w:type="dxa"/>
            <w:shd w:val="clear" w:color="auto" w:fill="C4EFCE"/>
            <w:vAlign w:val="center"/>
            <w:hideMark/>
          </w:tcPr>
          <w:p w14:paraId="4E422B3C" w14:textId="77777777" w:rsidR="00E040FD" w:rsidRDefault="00740D64">
            <w:pPr>
              <w:pStyle w:val="P68B1DB1-Normal23"/>
              <w:spacing w:after="0"/>
              <w:jc w:val="center"/>
              <w:rPr>
                <w:rFonts w:eastAsia="Calibri" w:cs="Calibri"/>
                <w:noProof/>
              </w:rPr>
            </w:pPr>
            <w:r>
              <w:rPr>
                <w:noProof/>
              </w:rPr>
              <w:t>TD-C17-i01</w:t>
            </w:r>
          </w:p>
        </w:tc>
        <w:tc>
          <w:tcPr>
            <w:tcW w:w="1520" w:type="dxa"/>
            <w:shd w:val="clear" w:color="auto" w:fill="C4EFCE"/>
            <w:vAlign w:val="center"/>
            <w:hideMark/>
          </w:tcPr>
          <w:p w14:paraId="5B816A0C"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ECE329E" w14:textId="77777777" w:rsidR="00E040FD" w:rsidRDefault="00740D64">
            <w:pPr>
              <w:pStyle w:val="P68B1DB1-Normal23"/>
              <w:spacing w:after="0"/>
              <w:jc w:val="both"/>
              <w:rPr>
                <w:rFonts w:eastAsia="Calibri" w:cs="Calibri"/>
                <w:noProof/>
              </w:rPr>
            </w:pPr>
            <w:r>
              <w:rPr>
                <w:noProof/>
              </w:rPr>
              <w:t>Idrifttagande av informationssystemet för omformning och genomförande av budgetprocessen, inklusive programbudgetering</w:t>
            </w:r>
          </w:p>
        </w:tc>
      </w:tr>
      <w:tr w:rsidR="00E040FD" w14:paraId="7961C854" w14:textId="77777777">
        <w:trPr>
          <w:trHeight w:val="440"/>
        </w:trPr>
        <w:tc>
          <w:tcPr>
            <w:tcW w:w="1200" w:type="dxa"/>
            <w:shd w:val="clear" w:color="auto" w:fill="C4EFCE"/>
            <w:vAlign w:val="center"/>
            <w:hideMark/>
          </w:tcPr>
          <w:p w14:paraId="06A842B9" w14:textId="77777777" w:rsidR="00E040FD" w:rsidRDefault="00740D64">
            <w:pPr>
              <w:pStyle w:val="P68B1DB1-Normal23"/>
              <w:spacing w:after="0"/>
              <w:jc w:val="center"/>
              <w:rPr>
                <w:rFonts w:eastAsia="Calibri" w:cs="Calibri"/>
                <w:noProof/>
              </w:rPr>
            </w:pPr>
            <w:r>
              <w:rPr>
                <w:noProof/>
              </w:rPr>
              <w:t>17.12</w:t>
            </w:r>
          </w:p>
        </w:tc>
        <w:tc>
          <w:tcPr>
            <w:tcW w:w="1760" w:type="dxa"/>
            <w:shd w:val="clear" w:color="auto" w:fill="C4EFCE"/>
            <w:vAlign w:val="center"/>
            <w:hideMark/>
          </w:tcPr>
          <w:p w14:paraId="001468C9" w14:textId="77777777" w:rsidR="00E040FD" w:rsidRDefault="00740D64">
            <w:pPr>
              <w:pStyle w:val="P68B1DB1-Normal23"/>
              <w:spacing w:after="0"/>
              <w:jc w:val="center"/>
              <w:rPr>
                <w:rFonts w:eastAsia="Calibri" w:cs="Calibri"/>
                <w:noProof/>
              </w:rPr>
            </w:pPr>
            <w:r>
              <w:rPr>
                <w:noProof/>
              </w:rPr>
              <w:t>TD-C17-i01</w:t>
            </w:r>
          </w:p>
        </w:tc>
        <w:tc>
          <w:tcPr>
            <w:tcW w:w="1520" w:type="dxa"/>
            <w:shd w:val="clear" w:color="auto" w:fill="C4EFCE"/>
            <w:vAlign w:val="center"/>
            <w:hideMark/>
          </w:tcPr>
          <w:p w14:paraId="2A0495A0"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CECF438" w14:textId="77777777" w:rsidR="00E040FD" w:rsidRDefault="00740D64">
            <w:pPr>
              <w:pStyle w:val="P68B1DB1-Normal23"/>
              <w:spacing w:after="0"/>
              <w:jc w:val="both"/>
              <w:rPr>
                <w:rFonts w:eastAsia="Calibri" w:cs="Calibri"/>
                <w:noProof/>
              </w:rPr>
            </w:pPr>
            <w:r>
              <w:rPr>
                <w:noProof/>
              </w:rPr>
              <w:t>Slutföra moderniseringen och förenklingen av informationssystemen i det nationella centrala systemet för offentlig upphandling.</w:t>
            </w:r>
          </w:p>
        </w:tc>
      </w:tr>
      <w:tr w:rsidR="00E040FD" w14:paraId="3B8303FF" w14:textId="77777777">
        <w:trPr>
          <w:trHeight w:val="440"/>
        </w:trPr>
        <w:tc>
          <w:tcPr>
            <w:tcW w:w="1200" w:type="dxa"/>
            <w:shd w:val="clear" w:color="auto" w:fill="C4EFCE"/>
            <w:vAlign w:val="center"/>
            <w:hideMark/>
          </w:tcPr>
          <w:p w14:paraId="374F435D" w14:textId="77777777" w:rsidR="00E040FD" w:rsidRDefault="00740D64">
            <w:pPr>
              <w:pStyle w:val="P68B1DB1-Normal23"/>
              <w:spacing w:after="0"/>
              <w:jc w:val="center"/>
              <w:rPr>
                <w:rFonts w:eastAsia="Calibri" w:cs="Calibri"/>
                <w:noProof/>
              </w:rPr>
            </w:pPr>
            <w:r>
              <w:rPr>
                <w:noProof/>
              </w:rPr>
              <w:t>19.14</w:t>
            </w:r>
          </w:p>
        </w:tc>
        <w:tc>
          <w:tcPr>
            <w:tcW w:w="1760" w:type="dxa"/>
            <w:shd w:val="clear" w:color="auto" w:fill="C4EFCE"/>
            <w:vAlign w:val="center"/>
            <w:hideMark/>
          </w:tcPr>
          <w:p w14:paraId="76D82292" w14:textId="77777777" w:rsidR="00E040FD" w:rsidRDefault="00740D64">
            <w:pPr>
              <w:pStyle w:val="P68B1DB1-Normal23"/>
              <w:spacing w:after="0"/>
              <w:jc w:val="center"/>
              <w:rPr>
                <w:rFonts w:eastAsia="Calibri" w:cs="Calibri"/>
                <w:noProof/>
              </w:rPr>
            </w:pPr>
            <w:r>
              <w:rPr>
                <w:noProof/>
              </w:rPr>
              <w:t>TD-C19-i04</w:t>
            </w:r>
          </w:p>
        </w:tc>
        <w:tc>
          <w:tcPr>
            <w:tcW w:w="1520" w:type="dxa"/>
            <w:shd w:val="clear" w:color="auto" w:fill="C4EFCE"/>
            <w:vAlign w:val="center"/>
            <w:hideMark/>
          </w:tcPr>
          <w:p w14:paraId="5CB3286F"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0230BA8" w14:textId="77777777" w:rsidR="00E040FD" w:rsidRDefault="00740D64">
            <w:pPr>
              <w:pStyle w:val="P68B1DB1-Normal23"/>
              <w:spacing w:after="0"/>
              <w:jc w:val="both"/>
              <w:rPr>
                <w:rFonts w:eastAsia="Calibri" w:cs="Calibri"/>
                <w:noProof/>
              </w:rPr>
            </w:pPr>
            <w:r>
              <w:rPr>
                <w:noProof/>
              </w:rPr>
              <w:t>Uppgradering av it-systemet för säkerhetsstyrkor och säkerhetstjänster</w:t>
            </w:r>
          </w:p>
        </w:tc>
      </w:tr>
      <w:tr w:rsidR="00E040FD" w14:paraId="388D9F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C3D30EB" w14:textId="77777777" w:rsidR="00E040FD" w:rsidRDefault="00740D64">
            <w:pPr>
              <w:pStyle w:val="P68B1DB1-Normal23"/>
              <w:spacing w:after="0"/>
              <w:jc w:val="center"/>
              <w:rPr>
                <w:rFonts w:eastAsia="Calibri" w:cs="Calibri"/>
                <w:noProof/>
              </w:rPr>
            </w:pPr>
            <w:r>
              <w:rPr>
                <w:noProof/>
              </w:rPr>
              <w:t>19.25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28A74B2" w14:textId="77777777" w:rsidR="00E040FD" w:rsidRDefault="00740D64">
            <w:pPr>
              <w:pStyle w:val="P68B1DB1-Normal23"/>
              <w:spacing w:after="0"/>
              <w:jc w:val="center"/>
              <w:rPr>
                <w:rFonts w:eastAsia="Calibri" w:cs="Calibri"/>
                <w:noProof/>
              </w:rPr>
            </w:pPr>
            <w:r>
              <w:rPr>
                <w:noProof/>
              </w:rPr>
              <w:t>TD-C19-i01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4ABBBE3" w14:textId="77777777" w:rsidR="00E040FD" w:rsidRDefault="00740D64">
            <w:pPr>
              <w:pStyle w:val="P68B1DB1-Normal23"/>
              <w:spacing w:after="0"/>
              <w:jc w:val="center"/>
              <w:rPr>
                <w:rFonts w:eastAsia="Calibri" w:cs="Calibri"/>
                <w:noProof/>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B53CA88" w14:textId="79A90FE7" w:rsidR="00E040FD" w:rsidRDefault="00740D64">
            <w:pPr>
              <w:pStyle w:val="P68B1DB1-Normal23"/>
              <w:spacing w:after="0"/>
              <w:jc w:val="both"/>
              <w:rPr>
                <w:rFonts w:eastAsia="Calibri" w:cs="Calibri"/>
                <w:noProof/>
              </w:rPr>
            </w:pPr>
            <w:r>
              <w:rPr>
                <w:noProof/>
              </w:rPr>
              <w:t>Undertecknande av prototyper för inrättande av nya medborgarbutiker och medborgarutrymmen</w:t>
            </w:r>
          </w:p>
        </w:tc>
      </w:tr>
      <w:tr w:rsidR="00E040FD" w14:paraId="355D6EE4" w14:textId="77777777">
        <w:trPr>
          <w:trHeight w:val="440"/>
        </w:trPr>
        <w:tc>
          <w:tcPr>
            <w:tcW w:w="1200" w:type="dxa"/>
            <w:shd w:val="clear" w:color="auto" w:fill="C4EFCE"/>
            <w:vAlign w:val="center"/>
            <w:hideMark/>
          </w:tcPr>
          <w:p w14:paraId="2C38072A" w14:textId="77777777" w:rsidR="00E040FD" w:rsidRDefault="00740D64">
            <w:pPr>
              <w:pStyle w:val="P68B1DB1-Normal23"/>
              <w:spacing w:after="0"/>
              <w:jc w:val="center"/>
              <w:rPr>
                <w:rFonts w:eastAsia="Calibri" w:cs="Calibri"/>
                <w:noProof/>
              </w:rPr>
            </w:pPr>
            <w:r>
              <w:rPr>
                <w:noProof/>
              </w:rPr>
              <w:t>19.28</w:t>
            </w:r>
          </w:p>
        </w:tc>
        <w:tc>
          <w:tcPr>
            <w:tcW w:w="1760" w:type="dxa"/>
            <w:shd w:val="clear" w:color="auto" w:fill="C4EFCE"/>
            <w:vAlign w:val="center"/>
            <w:hideMark/>
          </w:tcPr>
          <w:p w14:paraId="7C77969E" w14:textId="77777777" w:rsidR="00E040FD" w:rsidRDefault="00740D64">
            <w:pPr>
              <w:pStyle w:val="P68B1DB1-Normal23"/>
              <w:spacing w:after="0"/>
              <w:jc w:val="center"/>
              <w:rPr>
                <w:rFonts w:eastAsia="Calibri" w:cs="Calibri"/>
                <w:noProof/>
              </w:rPr>
            </w:pPr>
            <w:r>
              <w:rPr>
                <w:noProof/>
              </w:rPr>
              <w:t>TD-C19-i05-RAM</w:t>
            </w:r>
          </w:p>
        </w:tc>
        <w:tc>
          <w:tcPr>
            <w:tcW w:w="1520" w:type="dxa"/>
            <w:shd w:val="clear" w:color="auto" w:fill="C4EFCE"/>
            <w:vAlign w:val="center"/>
            <w:hideMark/>
          </w:tcPr>
          <w:p w14:paraId="12DA2CBA"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6F2A2D3" w14:textId="77777777" w:rsidR="00E040FD" w:rsidRDefault="00740D64">
            <w:pPr>
              <w:pStyle w:val="P68B1DB1-Normal23"/>
              <w:spacing w:after="0"/>
              <w:jc w:val="both"/>
              <w:rPr>
                <w:rFonts w:eastAsia="Calibri" w:cs="Calibri"/>
                <w:noProof/>
              </w:rPr>
            </w:pPr>
            <w:r>
              <w:rPr>
                <w:noProof/>
              </w:rPr>
              <w:t>Funktionell prototyp för en centraliserad datahanteringslösning</w:t>
            </w:r>
          </w:p>
        </w:tc>
      </w:tr>
      <w:tr w:rsidR="00E040FD" w14:paraId="0C5EE933" w14:textId="77777777">
        <w:trPr>
          <w:trHeight w:val="440"/>
        </w:trPr>
        <w:tc>
          <w:tcPr>
            <w:tcW w:w="1200" w:type="dxa"/>
            <w:shd w:val="clear" w:color="auto" w:fill="C4EFCE"/>
            <w:vAlign w:val="center"/>
            <w:hideMark/>
          </w:tcPr>
          <w:p w14:paraId="5C73EC6E" w14:textId="77777777" w:rsidR="00E040FD" w:rsidRDefault="00740D64">
            <w:pPr>
              <w:pStyle w:val="P68B1DB1-Normal23"/>
              <w:spacing w:after="0"/>
              <w:jc w:val="center"/>
              <w:rPr>
                <w:rFonts w:eastAsia="Calibri" w:cs="Calibri"/>
                <w:noProof/>
              </w:rPr>
            </w:pPr>
            <w:r>
              <w:rPr>
                <w:noProof/>
              </w:rPr>
              <w:t>20.4</w:t>
            </w:r>
          </w:p>
        </w:tc>
        <w:tc>
          <w:tcPr>
            <w:tcW w:w="1760" w:type="dxa"/>
            <w:shd w:val="clear" w:color="auto" w:fill="C4EFCE"/>
            <w:vAlign w:val="center"/>
            <w:hideMark/>
          </w:tcPr>
          <w:p w14:paraId="66421C5D" w14:textId="77777777" w:rsidR="00E040FD" w:rsidRDefault="00740D64">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114704EA"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C943269" w14:textId="77777777" w:rsidR="00E040FD" w:rsidRDefault="00740D64">
            <w:pPr>
              <w:pStyle w:val="P68B1DB1-Normal23"/>
              <w:spacing w:after="0"/>
              <w:jc w:val="both"/>
              <w:rPr>
                <w:rFonts w:eastAsia="Calibri" w:cs="Calibri"/>
                <w:noProof/>
              </w:rPr>
            </w:pPr>
            <w:r>
              <w:rPr>
                <w:noProof/>
              </w:rPr>
              <w:t>Uppgradering av grundskole- och gymnasieskolornas konnektivitet</w:t>
            </w:r>
          </w:p>
        </w:tc>
      </w:tr>
      <w:tr w:rsidR="00E040FD" w14:paraId="71AD5736" w14:textId="77777777">
        <w:trPr>
          <w:trHeight w:val="440"/>
        </w:trPr>
        <w:tc>
          <w:tcPr>
            <w:tcW w:w="1200" w:type="dxa"/>
            <w:shd w:val="clear" w:color="auto" w:fill="C4EFCE"/>
            <w:vAlign w:val="center"/>
            <w:hideMark/>
          </w:tcPr>
          <w:p w14:paraId="3024F12A" w14:textId="77777777" w:rsidR="00E040FD" w:rsidRDefault="00740D64">
            <w:pPr>
              <w:pStyle w:val="P68B1DB1-Normal23"/>
              <w:spacing w:after="0"/>
              <w:jc w:val="center"/>
              <w:rPr>
                <w:rFonts w:eastAsia="Calibri" w:cs="Calibri"/>
                <w:noProof/>
              </w:rPr>
            </w:pPr>
            <w:r>
              <w:rPr>
                <w:noProof/>
              </w:rPr>
              <w:t>20.5</w:t>
            </w:r>
          </w:p>
        </w:tc>
        <w:tc>
          <w:tcPr>
            <w:tcW w:w="1760" w:type="dxa"/>
            <w:shd w:val="clear" w:color="auto" w:fill="C4EFCE"/>
            <w:vAlign w:val="center"/>
            <w:hideMark/>
          </w:tcPr>
          <w:p w14:paraId="1444B579" w14:textId="77777777" w:rsidR="00E040FD" w:rsidRDefault="00740D64">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2AF294F0"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7487495" w14:textId="77777777" w:rsidR="00E040FD" w:rsidRDefault="00740D64">
            <w:pPr>
              <w:pStyle w:val="P68B1DB1-Normal23"/>
              <w:spacing w:after="0"/>
              <w:jc w:val="both"/>
              <w:rPr>
                <w:rFonts w:eastAsia="Calibri" w:cs="Calibri"/>
                <w:noProof/>
              </w:rPr>
            </w:pPr>
            <w:r>
              <w:rPr>
                <w:noProof/>
              </w:rPr>
              <w:t>Digitala utbildningslaboratorier installerade</w:t>
            </w:r>
          </w:p>
        </w:tc>
      </w:tr>
      <w:tr w:rsidR="00E040FD" w14:paraId="5D89430C" w14:textId="77777777">
        <w:trPr>
          <w:trHeight w:val="440"/>
        </w:trPr>
        <w:tc>
          <w:tcPr>
            <w:tcW w:w="1200" w:type="dxa"/>
            <w:shd w:val="clear" w:color="auto" w:fill="C4EFCE"/>
            <w:vAlign w:val="center"/>
            <w:hideMark/>
          </w:tcPr>
          <w:p w14:paraId="21F79FB7" w14:textId="77777777" w:rsidR="00E040FD" w:rsidRDefault="00740D64">
            <w:pPr>
              <w:pStyle w:val="P68B1DB1-Normal23"/>
              <w:spacing w:after="0"/>
              <w:jc w:val="center"/>
              <w:rPr>
                <w:rFonts w:eastAsia="Calibri" w:cs="Calibri"/>
                <w:noProof/>
              </w:rPr>
            </w:pPr>
            <w:r>
              <w:rPr>
                <w:noProof/>
              </w:rPr>
              <w:t>20.7</w:t>
            </w:r>
          </w:p>
        </w:tc>
        <w:tc>
          <w:tcPr>
            <w:tcW w:w="1760" w:type="dxa"/>
            <w:shd w:val="clear" w:color="auto" w:fill="C4EFCE"/>
            <w:vAlign w:val="center"/>
            <w:hideMark/>
          </w:tcPr>
          <w:p w14:paraId="33B6F4F1" w14:textId="77777777" w:rsidR="00E040FD" w:rsidRDefault="00740D64">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0CDF83A4"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5C9E5FE" w14:textId="77777777" w:rsidR="00E040FD" w:rsidRDefault="00740D64">
            <w:pPr>
              <w:pStyle w:val="P68B1DB1-Normal23"/>
              <w:spacing w:after="0"/>
              <w:jc w:val="both"/>
              <w:rPr>
                <w:rFonts w:eastAsia="Calibri" w:cs="Calibri"/>
                <w:noProof/>
              </w:rPr>
            </w:pPr>
            <w:r>
              <w:rPr>
                <w:noProof/>
              </w:rPr>
              <w:t>Ökat inflytande på skolförvaltningen</w:t>
            </w:r>
          </w:p>
        </w:tc>
      </w:tr>
      <w:tr w:rsidR="00E040FD" w14:paraId="095F7BC5" w14:textId="77777777">
        <w:trPr>
          <w:trHeight w:val="440"/>
        </w:trPr>
        <w:tc>
          <w:tcPr>
            <w:tcW w:w="1200" w:type="dxa"/>
            <w:shd w:val="clear" w:color="auto" w:fill="C4EFCE"/>
            <w:vAlign w:val="center"/>
            <w:hideMark/>
          </w:tcPr>
          <w:p w14:paraId="75DE1446" w14:textId="77777777" w:rsidR="00E040FD" w:rsidRDefault="00740D64">
            <w:pPr>
              <w:pStyle w:val="P68B1DB1-Normal23"/>
              <w:spacing w:after="0"/>
              <w:jc w:val="center"/>
              <w:rPr>
                <w:rFonts w:eastAsia="Calibri" w:cs="Calibri"/>
                <w:noProof/>
              </w:rPr>
            </w:pPr>
            <w:r>
              <w:rPr>
                <w:noProof/>
              </w:rPr>
              <w:t>20.15</w:t>
            </w:r>
          </w:p>
        </w:tc>
        <w:tc>
          <w:tcPr>
            <w:tcW w:w="1760" w:type="dxa"/>
            <w:shd w:val="clear" w:color="auto" w:fill="C4EFCE"/>
            <w:vAlign w:val="center"/>
            <w:hideMark/>
          </w:tcPr>
          <w:p w14:paraId="63BCB75D" w14:textId="77777777" w:rsidR="00E040FD" w:rsidRDefault="00740D64">
            <w:pPr>
              <w:pStyle w:val="P68B1DB1-Normal23"/>
              <w:spacing w:after="0"/>
              <w:jc w:val="center"/>
              <w:rPr>
                <w:rFonts w:eastAsia="Calibri" w:cs="Calibri"/>
                <w:noProof/>
              </w:rPr>
            </w:pPr>
            <w:r>
              <w:rPr>
                <w:noProof/>
              </w:rPr>
              <w:t>TD-C20-i03-RAM</w:t>
            </w:r>
          </w:p>
        </w:tc>
        <w:tc>
          <w:tcPr>
            <w:tcW w:w="1520" w:type="dxa"/>
            <w:shd w:val="clear" w:color="auto" w:fill="C4EFCE"/>
            <w:vAlign w:val="center"/>
            <w:hideMark/>
          </w:tcPr>
          <w:p w14:paraId="59D36764"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E3243CB" w14:textId="77777777" w:rsidR="00E040FD" w:rsidRDefault="00740D64">
            <w:pPr>
              <w:pStyle w:val="P68B1DB1-Normal23"/>
              <w:spacing w:after="0"/>
              <w:jc w:val="both"/>
              <w:rPr>
                <w:rFonts w:eastAsia="Calibri" w:cs="Calibri"/>
                <w:noProof/>
              </w:rPr>
            </w:pPr>
            <w:r>
              <w:rPr>
                <w:noProof/>
              </w:rPr>
              <w:t>Skolanslutning i ARM</w:t>
            </w:r>
          </w:p>
        </w:tc>
      </w:tr>
      <w:tr w:rsidR="00E040FD" w14:paraId="66DB9AD9" w14:textId="77777777">
        <w:trPr>
          <w:trHeight w:val="440"/>
        </w:trPr>
        <w:tc>
          <w:tcPr>
            <w:tcW w:w="1200" w:type="dxa"/>
            <w:shd w:val="clear" w:color="auto" w:fill="C4EFCE"/>
            <w:vAlign w:val="center"/>
            <w:hideMark/>
          </w:tcPr>
          <w:p w14:paraId="2F1BF0CF" w14:textId="77777777" w:rsidR="00E040FD" w:rsidRDefault="00740D64">
            <w:pPr>
              <w:pStyle w:val="P68B1DB1-Normal23"/>
              <w:spacing w:after="0"/>
              <w:jc w:val="center"/>
              <w:rPr>
                <w:rFonts w:eastAsia="Calibri" w:cs="Calibri"/>
                <w:noProof/>
              </w:rPr>
            </w:pPr>
            <w:r>
              <w:rPr>
                <w:noProof/>
              </w:rPr>
              <w:t>21.10</w:t>
            </w:r>
          </w:p>
        </w:tc>
        <w:tc>
          <w:tcPr>
            <w:tcW w:w="1760" w:type="dxa"/>
            <w:shd w:val="clear" w:color="auto" w:fill="C4EFCE"/>
            <w:vAlign w:val="center"/>
            <w:hideMark/>
          </w:tcPr>
          <w:p w14:paraId="5DF21089" w14:textId="77777777" w:rsidR="00E040FD" w:rsidRDefault="00740D64">
            <w:pPr>
              <w:pStyle w:val="P68B1DB1-Normal23"/>
              <w:spacing w:after="0"/>
              <w:jc w:val="center"/>
              <w:rPr>
                <w:rFonts w:eastAsia="Calibri" w:cs="Calibri"/>
                <w:noProof/>
              </w:rPr>
            </w:pPr>
            <w:r>
              <w:rPr>
                <w:noProof/>
              </w:rPr>
              <w:t>RP-C21-r44</w:t>
            </w:r>
          </w:p>
        </w:tc>
        <w:tc>
          <w:tcPr>
            <w:tcW w:w="1520" w:type="dxa"/>
            <w:shd w:val="clear" w:color="auto" w:fill="C4EFCE"/>
            <w:vAlign w:val="center"/>
            <w:hideMark/>
          </w:tcPr>
          <w:p w14:paraId="2A7141B8"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5F3038A" w14:textId="77777777" w:rsidR="00E040FD" w:rsidRDefault="00740D64">
            <w:pPr>
              <w:pStyle w:val="P68B1DB1-Normal23"/>
              <w:spacing w:after="0"/>
              <w:jc w:val="both"/>
              <w:rPr>
                <w:rFonts w:eastAsia="Calibri" w:cs="Calibri"/>
                <w:noProof/>
              </w:rPr>
            </w:pPr>
            <w:r>
              <w:rPr>
                <w:noProof/>
              </w:rPr>
              <w:t>Åtgärder för kapacitetsuppbyggnad</w:t>
            </w:r>
          </w:p>
        </w:tc>
      </w:tr>
      <w:tr w:rsidR="00E040FD" w14:paraId="17B29DAC" w14:textId="77777777">
        <w:trPr>
          <w:trHeight w:val="440"/>
        </w:trPr>
        <w:tc>
          <w:tcPr>
            <w:tcW w:w="1200" w:type="dxa"/>
            <w:shd w:val="clear" w:color="auto" w:fill="C4EFCE"/>
            <w:vAlign w:val="center"/>
            <w:hideMark/>
          </w:tcPr>
          <w:p w14:paraId="11D06F3F" w14:textId="77777777" w:rsidR="00E040FD" w:rsidRDefault="00740D64">
            <w:pPr>
              <w:pStyle w:val="P68B1DB1-Normal23"/>
              <w:spacing w:after="0"/>
              <w:jc w:val="center"/>
              <w:rPr>
                <w:rFonts w:eastAsia="Calibri" w:cs="Calibri"/>
                <w:noProof/>
              </w:rPr>
            </w:pPr>
            <w:r>
              <w:rPr>
                <w:noProof/>
              </w:rPr>
              <w:t>21.14</w:t>
            </w:r>
          </w:p>
        </w:tc>
        <w:tc>
          <w:tcPr>
            <w:tcW w:w="1760" w:type="dxa"/>
            <w:shd w:val="clear" w:color="auto" w:fill="C4EFCE"/>
            <w:vAlign w:val="center"/>
            <w:hideMark/>
          </w:tcPr>
          <w:p w14:paraId="04487365" w14:textId="1CEA46B2" w:rsidR="00E040FD" w:rsidRDefault="00740D64">
            <w:pPr>
              <w:pStyle w:val="P68B1DB1-Normal23"/>
              <w:spacing w:after="0"/>
              <w:jc w:val="center"/>
              <w:rPr>
                <w:rFonts w:eastAsia="Calibri" w:cs="Calibri"/>
                <w:noProof/>
              </w:rPr>
            </w:pPr>
            <w:r>
              <w:rPr>
                <w:noProof/>
              </w:rPr>
              <w:t>RP-C21-r45</w:t>
            </w:r>
          </w:p>
        </w:tc>
        <w:tc>
          <w:tcPr>
            <w:tcW w:w="1520" w:type="dxa"/>
            <w:shd w:val="clear" w:color="auto" w:fill="C4EFCE"/>
            <w:vAlign w:val="center"/>
            <w:hideMark/>
          </w:tcPr>
          <w:p w14:paraId="6A7FA34F"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DA901B0" w14:textId="77777777" w:rsidR="00E040FD" w:rsidRDefault="00740D64">
            <w:pPr>
              <w:pStyle w:val="P68B1DB1-Normal23"/>
              <w:spacing w:after="0"/>
              <w:jc w:val="both"/>
              <w:rPr>
                <w:rFonts w:eastAsia="Calibri" w:cs="Calibri"/>
                <w:noProof/>
              </w:rPr>
            </w:pPr>
            <w:r>
              <w:rPr>
                <w:noProof/>
              </w:rPr>
              <w:t>Utbildningsåtgärder för grön kompetens</w:t>
            </w:r>
          </w:p>
        </w:tc>
      </w:tr>
      <w:tr w:rsidR="00E040FD" w14:paraId="7B6DBAA0" w14:textId="77777777">
        <w:trPr>
          <w:trHeight w:val="440"/>
        </w:trPr>
        <w:tc>
          <w:tcPr>
            <w:tcW w:w="1200" w:type="dxa"/>
            <w:shd w:val="clear" w:color="auto" w:fill="C4EFCE"/>
            <w:vAlign w:val="center"/>
            <w:hideMark/>
          </w:tcPr>
          <w:p w14:paraId="3A579611" w14:textId="77777777" w:rsidR="00E040FD" w:rsidRDefault="00740D64">
            <w:pPr>
              <w:pStyle w:val="P68B1DB1-Normal23"/>
              <w:spacing w:after="0"/>
              <w:jc w:val="center"/>
              <w:rPr>
                <w:rFonts w:eastAsia="Calibri" w:cs="Calibri"/>
                <w:noProof/>
              </w:rPr>
            </w:pPr>
            <w:r>
              <w:rPr>
                <w:noProof/>
              </w:rPr>
              <w:t>21.30</w:t>
            </w:r>
          </w:p>
        </w:tc>
        <w:tc>
          <w:tcPr>
            <w:tcW w:w="1760" w:type="dxa"/>
            <w:shd w:val="clear" w:color="auto" w:fill="C4EFCE"/>
            <w:vAlign w:val="center"/>
            <w:hideMark/>
          </w:tcPr>
          <w:p w14:paraId="4D24E80F" w14:textId="66AD4A61" w:rsidR="00E040FD" w:rsidRDefault="00740D64">
            <w:pPr>
              <w:pStyle w:val="P68B1DB1-Normal23"/>
              <w:spacing w:after="0"/>
              <w:jc w:val="center"/>
              <w:rPr>
                <w:rFonts w:eastAsia="Calibri" w:cs="Calibri"/>
                <w:noProof/>
              </w:rPr>
            </w:pPr>
            <w:r>
              <w:rPr>
                <w:noProof/>
              </w:rPr>
              <w:t>RP-C21-i9</w:t>
            </w:r>
          </w:p>
        </w:tc>
        <w:tc>
          <w:tcPr>
            <w:tcW w:w="1520" w:type="dxa"/>
            <w:shd w:val="clear" w:color="auto" w:fill="C4EFCE"/>
            <w:vAlign w:val="center"/>
            <w:hideMark/>
          </w:tcPr>
          <w:p w14:paraId="1BE77825"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9F8DE1D" w14:textId="77777777" w:rsidR="00E040FD" w:rsidRDefault="00740D64">
            <w:pPr>
              <w:pStyle w:val="P68B1DB1-Normal23"/>
              <w:spacing w:after="0"/>
              <w:jc w:val="both"/>
              <w:rPr>
                <w:rFonts w:eastAsia="Calibri" w:cs="Calibri"/>
                <w:noProof/>
              </w:rPr>
            </w:pPr>
            <w:r>
              <w:rPr>
                <w:noProof/>
              </w:rPr>
              <w:t>Idrifttagande av modulerna i den första fasen av den digitala plattformen One – Stop Shop för tillståndsgivning och övervakning av projekt för förnybar energi</w:t>
            </w:r>
          </w:p>
        </w:tc>
      </w:tr>
      <w:tr w:rsidR="00E040FD" w14:paraId="7AEA5439" w14:textId="77777777">
        <w:trPr>
          <w:trHeight w:val="440"/>
        </w:trPr>
        <w:tc>
          <w:tcPr>
            <w:tcW w:w="1200" w:type="dxa"/>
            <w:shd w:val="clear" w:color="auto" w:fill="C4EFCE"/>
            <w:vAlign w:val="center"/>
            <w:hideMark/>
          </w:tcPr>
          <w:p w14:paraId="3B9D7FE4" w14:textId="77777777" w:rsidR="00E040FD" w:rsidRDefault="00740D64">
            <w:pPr>
              <w:pStyle w:val="P68B1DB1-Normal23"/>
              <w:spacing w:after="0"/>
              <w:jc w:val="center"/>
              <w:rPr>
                <w:rFonts w:eastAsia="Calibri" w:cs="Calibri"/>
                <w:noProof/>
              </w:rPr>
            </w:pPr>
            <w:r>
              <w:rPr>
                <w:noProof/>
              </w:rPr>
              <w:t>21.38</w:t>
            </w:r>
          </w:p>
        </w:tc>
        <w:tc>
          <w:tcPr>
            <w:tcW w:w="1760" w:type="dxa"/>
            <w:shd w:val="clear" w:color="auto" w:fill="C4EFCE"/>
            <w:vAlign w:val="center"/>
            <w:hideMark/>
          </w:tcPr>
          <w:p w14:paraId="244019BC" w14:textId="436D4207" w:rsidR="00E040FD" w:rsidRDefault="00740D64">
            <w:pPr>
              <w:pStyle w:val="P68B1DB1-Normal23"/>
              <w:spacing w:after="0"/>
              <w:jc w:val="center"/>
              <w:rPr>
                <w:rFonts w:eastAsia="Calibri" w:cs="Calibri"/>
                <w:noProof/>
              </w:rPr>
            </w:pPr>
            <w:r>
              <w:rPr>
                <w:noProof/>
              </w:rPr>
              <w:t>RP-C21-i14</w:t>
            </w:r>
          </w:p>
        </w:tc>
        <w:tc>
          <w:tcPr>
            <w:tcW w:w="1520" w:type="dxa"/>
            <w:shd w:val="clear" w:color="auto" w:fill="C4EFCE"/>
            <w:vAlign w:val="center"/>
            <w:hideMark/>
          </w:tcPr>
          <w:p w14:paraId="4A27F4D9"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9E90178" w14:textId="77777777" w:rsidR="00E040FD" w:rsidRDefault="00740D64">
            <w:pPr>
              <w:pStyle w:val="P68B1DB1-Normal23"/>
              <w:spacing w:after="0"/>
              <w:jc w:val="both"/>
              <w:rPr>
                <w:rFonts w:eastAsia="Calibri" w:cs="Calibri"/>
                <w:noProof/>
              </w:rPr>
            </w:pPr>
            <w:r>
              <w:rPr>
                <w:noProof/>
              </w:rPr>
              <w:t>Undertecknande av avtalet om uppförande av två linjer för snabb transitering av Bus i Braga</w:t>
            </w:r>
          </w:p>
        </w:tc>
      </w:tr>
      <w:tr w:rsidR="00E040FD" w14:paraId="385E0783" w14:textId="77777777">
        <w:trPr>
          <w:trHeight w:val="440"/>
        </w:trPr>
        <w:tc>
          <w:tcPr>
            <w:tcW w:w="1200" w:type="dxa"/>
            <w:shd w:val="clear" w:color="auto" w:fill="C4EFCE"/>
            <w:vAlign w:val="center"/>
            <w:hideMark/>
          </w:tcPr>
          <w:p w14:paraId="0AAE03D3" w14:textId="77777777" w:rsidR="00E040FD" w:rsidRDefault="00740D64">
            <w:pPr>
              <w:pStyle w:val="P68B1DB1-Normal23"/>
              <w:spacing w:after="0"/>
              <w:jc w:val="center"/>
              <w:rPr>
                <w:rFonts w:eastAsia="Calibri" w:cs="Calibri"/>
                <w:noProof/>
              </w:rPr>
            </w:pPr>
            <w:r>
              <w:rPr>
                <w:noProof/>
              </w:rPr>
              <w:t>21.42</w:t>
            </w:r>
          </w:p>
        </w:tc>
        <w:tc>
          <w:tcPr>
            <w:tcW w:w="1760" w:type="dxa"/>
            <w:shd w:val="clear" w:color="auto" w:fill="C4EFCE"/>
            <w:vAlign w:val="center"/>
            <w:hideMark/>
          </w:tcPr>
          <w:p w14:paraId="50D56588" w14:textId="707B6BFA" w:rsidR="00E040FD" w:rsidRDefault="00740D64">
            <w:pPr>
              <w:pStyle w:val="P68B1DB1-Normal23"/>
              <w:spacing w:after="0"/>
              <w:jc w:val="center"/>
              <w:rPr>
                <w:rFonts w:eastAsia="Calibri" w:cs="Calibri"/>
                <w:noProof/>
              </w:rPr>
            </w:pPr>
            <w:r>
              <w:rPr>
                <w:noProof/>
              </w:rPr>
              <w:t>RP-C21-i16</w:t>
            </w:r>
          </w:p>
        </w:tc>
        <w:tc>
          <w:tcPr>
            <w:tcW w:w="1520" w:type="dxa"/>
            <w:shd w:val="clear" w:color="auto" w:fill="C4EFCE"/>
            <w:vAlign w:val="center"/>
          </w:tcPr>
          <w:p w14:paraId="25A4EEDF" w14:textId="77777777" w:rsidR="00E040FD" w:rsidRDefault="00740D6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tcPr>
          <w:p w14:paraId="436C9A08" w14:textId="77777777" w:rsidR="00E040FD" w:rsidRDefault="00740D64">
            <w:pPr>
              <w:pStyle w:val="P68B1DB1-Normal23"/>
              <w:spacing w:after="0" w:line="240" w:lineRule="auto"/>
              <w:rPr>
                <w:rFonts w:cs="Calibri"/>
                <w:i/>
                <w:noProof/>
              </w:rPr>
            </w:pPr>
            <w:r>
              <w:rPr>
                <w:noProof/>
              </w:rPr>
              <w:t>Undertecknande av kontraktet för genomförandet av projektet</w:t>
            </w:r>
          </w:p>
        </w:tc>
      </w:tr>
      <w:tr w:rsidR="00E040FD" w14:paraId="4F03A3E2" w14:textId="77777777">
        <w:trPr>
          <w:trHeight w:val="440"/>
        </w:trPr>
        <w:tc>
          <w:tcPr>
            <w:tcW w:w="1200" w:type="dxa"/>
            <w:shd w:val="clear" w:color="auto" w:fill="C4EFCE"/>
            <w:vAlign w:val="center"/>
          </w:tcPr>
          <w:p w14:paraId="0A5307EE" w14:textId="77777777" w:rsidR="00E040FD" w:rsidRDefault="00E040FD">
            <w:pPr>
              <w:spacing w:after="0"/>
              <w:jc w:val="center"/>
              <w:rPr>
                <w:rFonts w:ascii="Calibri" w:eastAsia="Calibri" w:hAnsi="Calibri" w:cs="Calibri"/>
                <w:noProof/>
                <w:sz w:val="18"/>
              </w:rPr>
            </w:pPr>
          </w:p>
        </w:tc>
        <w:tc>
          <w:tcPr>
            <w:tcW w:w="1760" w:type="dxa"/>
            <w:shd w:val="clear" w:color="auto" w:fill="C4EFCE"/>
            <w:vAlign w:val="center"/>
          </w:tcPr>
          <w:p w14:paraId="2E63F90C" w14:textId="77777777" w:rsidR="00E040FD" w:rsidRDefault="00E040FD">
            <w:pPr>
              <w:spacing w:after="0"/>
              <w:jc w:val="center"/>
              <w:rPr>
                <w:rFonts w:ascii="Calibri" w:eastAsia="Calibri" w:hAnsi="Calibri" w:cs="Calibri"/>
                <w:noProof/>
                <w:sz w:val="18"/>
              </w:rPr>
            </w:pPr>
          </w:p>
        </w:tc>
        <w:tc>
          <w:tcPr>
            <w:tcW w:w="1520" w:type="dxa"/>
            <w:shd w:val="clear" w:color="auto" w:fill="C4EFCE"/>
            <w:vAlign w:val="center"/>
          </w:tcPr>
          <w:p w14:paraId="4C56150E" w14:textId="77777777" w:rsidR="00E040FD" w:rsidRDefault="00740D64">
            <w:pPr>
              <w:pStyle w:val="P68B1DB1-Normal24"/>
              <w:spacing w:after="0"/>
              <w:jc w:val="center"/>
              <w:rPr>
                <w:rFonts w:eastAsia="Calibri" w:cs="Calibri"/>
                <w:noProof/>
                <w:sz w:val="18"/>
              </w:rPr>
            </w:pPr>
            <w:r>
              <w:rPr>
                <w:noProof/>
              </w:rPr>
              <w:t>Delbetalning, belopp</w:t>
            </w:r>
          </w:p>
        </w:tc>
        <w:tc>
          <w:tcPr>
            <w:tcW w:w="5060" w:type="dxa"/>
            <w:shd w:val="clear" w:color="auto" w:fill="C4EFCE"/>
            <w:vAlign w:val="center"/>
          </w:tcPr>
          <w:p w14:paraId="1D728FCE" w14:textId="4021B04F" w:rsidR="00E040FD" w:rsidRDefault="00740D64">
            <w:pPr>
              <w:pStyle w:val="P68B1DB1-Normal25"/>
              <w:spacing w:after="0"/>
              <w:jc w:val="center"/>
              <w:rPr>
                <w:rFonts w:eastAsia="Calibri" w:cs="Calibri"/>
                <w:noProof/>
                <w:sz w:val="18"/>
              </w:rPr>
            </w:pPr>
            <w:r>
              <w:rPr>
                <w:noProof/>
              </w:rPr>
              <w:t xml:space="preserve">2 023 192 454 EUR </w:t>
            </w:r>
          </w:p>
        </w:tc>
      </w:tr>
    </w:tbl>
    <w:p w14:paraId="59B2EAF8" w14:textId="77777777" w:rsidR="00E040FD" w:rsidRDefault="00E040FD">
      <w:pPr>
        <w:keepNext/>
        <w:spacing w:before="40" w:after="160" w:line="259" w:lineRule="auto"/>
        <w:ind w:left="360"/>
        <w:contextualSpacing/>
        <w:jc w:val="both"/>
        <w:rPr>
          <w:rFonts w:ascii="Times New Roman" w:eastAsiaTheme="minorEastAsia" w:hAnsi="Times New Roman" w:cs="Times New Roman"/>
          <w:noProof/>
          <w:sz w:val="24"/>
        </w:rPr>
      </w:pPr>
    </w:p>
    <w:p w14:paraId="3FED0C14"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Åttonde betalningsansökan (icke återbetalningspliktigt stöd): </w:t>
      </w:r>
    </w:p>
    <w:p w14:paraId="03F528E5"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94"/>
        <w:gridCol w:w="1746"/>
        <w:gridCol w:w="1514"/>
        <w:gridCol w:w="4986"/>
      </w:tblGrid>
      <w:tr w:rsidR="00E040FD" w14:paraId="51282D2E" w14:textId="77777777">
        <w:trPr>
          <w:trHeight w:val="509"/>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2E938F"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DFC1E5"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B1E4C39"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5F2557"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43E0E792" w14:textId="77777777">
        <w:trPr>
          <w:trHeight w:val="509"/>
          <w:tblHead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D5A2EDB" w14:textId="77777777" w:rsidR="00E040FD" w:rsidRDefault="00E040FD">
            <w:pPr>
              <w:spacing w:after="0" w:line="240" w:lineRule="auto"/>
              <w:rPr>
                <w:rFonts w:ascii="Times New Roman" w:eastAsia="Times New Roman" w:hAnsi="Times New Roman" w:cs="Times New Roman"/>
                <w:b/>
                <w:noProof/>
                <w:sz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57C445AC" w14:textId="77777777" w:rsidR="00E040FD" w:rsidRDefault="00E040FD">
            <w:pPr>
              <w:spacing w:after="0" w:line="240" w:lineRule="auto"/>
              <w:rPr>
                <w:rFonts w:ascii="Times New Roman" w:eastAsia="Times New Roman" w:hAnsi="Times New Roman" w:cs="Times New Roman"/>
                <w:b/>
                <w:noProof/>
                <w:sz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FB1C794" w14:textId="77777777" w:rsidR="00E040FD" w:rsidRDefault="00E040FD">
            <w:pPr>
              <w:spacing w:after="0" w:line="240" w:lineRule="auto"/>
              <w:rPr>
                <w:rFonts w:ascii="Times New Roman" w:eastAsia="Times New Roman" w:hAnsi="Times New Roman" w:cs="Times New Roman"/>
                <w:b/>
                <w:noProof/>
                <w:sz w:val="2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14:paraId="0242486B" w14:textId="77777777" w:rsidR="00E040FD" w:rsidRDefault="00E040FD">
            <w:pPr>
              <w:spacing w:after="0" w:line="240" w:lineRule="auto"/>
              <w:rPr>
                <w:rFonts w:ascii="Times New Roman" w:eastAsia="Times New Roman" w:hAnsi="Times New Roman" w:cs="Times New Roman"/>
                <w:b/>
                <w:noProof/>
                <w:sz w:val="20"/>
              </w:rPr>
            </w:pPr>
          </w:p>
        </w:tc>
      </w:tr>
      <w:tr w:rsidR="00E040FD" w14:paraId="477022A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6209672" w14:textId="77777777" w:rsidR="00E040FD" w:rsidRDefault="00740D64">
            <w:pPr>
              <w:pStyle w:val="P68B1DB1-Normal23"/>
              <w:spacing w:after="0"/>
              <w:jc w:val="center"/>
              <w:rPr>
                <w:rFonts w:eastAsia="Calibri" w:cs="Calibri"/>
                <w:noProof/>
                <w:sz w:val="20"/>
              </w:rPr>
            </w:pPr>
            <w:r>
              <w:rPr>
                <w:noProof/>
              </w:rPr>
              <w:t>1.34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B386C0E" w14:textId="77777777" w:rsidR="00E040FD" w:rsidRDefault="00740D64">
            <w:pPr>
              <w:pStyle w:val="P68B1DB1-Normal23"/>
              <w:spacing w:after="0"/>
              <w:jc w:val="center"/>
              <w:rPr>
                <w:rFonts w:eastAsia="Calibri" w:cs="Calibri"/>
                <w:noProof/>
                <w:sz w:val="20"/>
              </w:rPr>
            </w:pPr>
            <w:r>
              <w:rPr>
                <w:noProof/>
              </w:rPr>
              <w:t>RE-C01-i06</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E962A5B" w14:textId="77777777" w:rsidR="00E040FD" w:rsidRDefault="00740D6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71E3B3A8" w14:textId="77777777" w:rsidR="00E040FD" w:rsidRDefault="00740D64">
            <w:pPr>
              <w:pStyle w:val="P68B1DB1-Normal23"/>
              <w:spacing w:after="0"/>
              <w:jc w:val="both"/>
              <w:rPr>
                <w:rFonts w:eastAsia="Calibri" w:cs="Calibri"/>
                <w:noProof/>
                <w:sz w:val="20"/>
              </w:rPr>
            </w:pPr>
            <w:r>
              <w:rPr>
                <w:noProof/>
              </w:rPr>
              <w:t>Genomförande av administrativa moduler för informationsteknik, grundläggande kliniska moduler och kliniska moduler för nödsituationer</w:t>
            </w:r>
          </w:p>
        </w:tc>
      </w:tr>
      <w:tr w:rsidR="00E040FD" w14:paraId="2D80F58A"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3ED31DD" w14:textId="77777777" w:rsidR="00E040FD" w:rsidRDefault="00740D64">
            <w:pPr>
              <w:pStyle w:val="P68B1DB1-Normal23"/>
              <w:spacing w:after="0"/>
              <w:jc w:val="center"/>
              <w:rPr>
                <w:rFonts w:eastAsia="Calibri" w:cs="Calibri"/>
                <w:noProof/>
                <w:sz w:val="20"/>
              </w:rPr>
            </w:pPr>
            <w:r>
              <w:rPr>
                <w:noProof/>
              </w:rPr>
              <w:t>2.29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D9EA7AE" w14:textId="77777777" w:rsidR="00E040FD" w:rsidRDefault="00740D64">
            <w:pPr>
              <w:pStyle w:val="P68B1DB1-Normal23"/>
              <w:spacing w:after="0"/>
              <w:jc w:val="center"/>
              <w:rPr>
                <w:rFonts w:eastAsia="Calibri" w:cs="Calibri"/>
                <w:noProof/>
                <w:sz w:val="20"/>
              </w:rPr>
            </w:pPr>
            <w:r>
              <w:rPr>
                <w:noProof/>
              </w:rPr>
              <w:t>RE-C02-i01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A93811F" w14:textId="77777777" w:rsidR="00E040FD" w:rsidRDefault="00740D6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47CD63F8" w14:textId="77777777" w:rsidR="00E040FD" w:rsidRDefault="00740D64">
            <w:pPr>
              <w:pStyle w:val="P68B1DB1-Normal23"/>
              <w:spacing w:after="0"/>
              <w:jc w:val="both"/>
              <w:rPr>
                <w:rFonts w:eastAsia="Calibri" w:cs="Calibri"/>
                <w:noProof/>
                <w:sz w:val="20"/>
              </w:rPr>
            </w:pPr>
            <w:r>
              <w:rPr>
                <w:noProof/>
              </w:rPr>
              <w:t>Stödprogram för tillgång till bostäder – inköpta, byggda (hög energieffektivitet) eller renoverade (med förbättrad energiprestanda) bostäder som tillhandahålls hushållen</w:t>
            </w:r>
          </w:p>
        </w:tc>
      </w:tr>
      <w:tr w:rsidR="00E040FD" w14:paraId="16BAF70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7587DCF" w14:textId="77777777" w:rsidR="00E040FD" w:rsidRDefault="00740D64">
            <w:pPr>
              <w:pStyle w:val="P68B1DB1-Normal23"/>
              <w:spacing w:after="0"/>
              <w:jc w:val="center"/>
              <w:rPr>
                <w:rFonts w:eastAsia="Calibri" w:cs="Calibri"/>
                <w:noProof/>
                <w:sz w:val="20"/>
              </w:rPr>
            </w:pPr>
            <w:r>
              <w:rPr>
                <w:noProof/>
              </w:rPr>
              <w:t>3.29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8DF3D66" w14:textId="77777777" w:rsidR="00E040FD" w:rsidRDefault="00740D64">
            <w:pPr>
              <w:pStyle w:val="P68B1DB1-Normal23"/>
              <w:spacing w:after="0"/>
              <w:jc w:val="center"/>
              <w:rPr>
                <w:rFonts w:eastAsia="Calibri" w:cs="Calibri"/>
                <w:noProof/>
                <w:sz w:val="20"/>
              </w:rPr>
            </w:pPr>
            <w:r>
              <w:rPr>
                <w:noProof/>
              </w:rPr>
              <w:t>RE-C03-r38</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7434BAC" w14:textId="77777777" w:rsidR="00E040FD" w:rsidRDefault="00740D64">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BBAC241" w14:textId="77777777" w:rsidR="00E040FD" w:rsidRDefault="00740D64">
            <w:pPr>
              <w:pStyle w:val="P68B1DB1-Normal23"/>
              <w:spacing w:after="0"/>
              <w:jc w:val="both"/>
              <w:rPr>
                <w:rFonts w:eastAsia="Calibri" w:cs="Calibri"/>
                <w:noProof/>
                <w:sz w:val="20"/>
              </w:rPr>
            </w:pPr>
            <w:r>
              <w:rPr>
                <w:noProof/>
              </w:rPr>
              <w:t>Rapport från arbetsgruppen för en enda social förmån</w:t>
            </w:r>
          </w:p>
        </w:tc>
      </w:tr>
      <w:tr w:rsidR="00E040FD" w14:paraId="45320B6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DA2AE78" w14:textId="77777777" w:rsidR="00E040FD" w:rsidRDefault="00740D64">
            <w:pPr>
              <w:pStyle w:val="P68B1DB1-Normal23"/>
              <w:spacing w:after="0"/>
              <w:jc w:val="center"/>
              <w:rPr>
                <w:rFonts w:eastAsia="Calibri" w:cs="Calibri"/>
                <w:noProof/>
                <w:sz w:val="20"/>
              </w:rPr>
            </w:pPr>
            <w:r>
              <w:rPr>
                <w:noProof/>
              </w:rPr>
              <w:t>6.1</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50BE18D" w14:textId="77777777" w:rsidR="00E040FD" w:rsidRDefault="00740D64">
            <w:pPr>
              <w:pStyle w:val="P68B1DB1-Normal23"/>
              <w:spacing w:after="0"/>
              <w:jc w:val="center"/>
              <w:rPr>
                <w:rFonts w:eastAsia="Calibri" w:cs="Calibri"/>
                <w:noProof/>
                <w:sz w:val="20"/>
              </w:rPr>
            </w:pPr>
            <w:r>
              <w:rPr>
                <w:noProof/>
              </w:rPr>
              <w:t>RE-C06-i01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3D89B4A" w14:textId="77777777" w:rsidR="00E040FD" w:rsidRDefault="00740D6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7CA4126" w14:textId="77777777" w:rsidR="00E040FD" w:rsidRDefault="00740D64">
            <w:pPr>
              <w:pStyle w:val="P68B1DB1-Normal23"/>
              <w:spacing w:after="0"/>
              <w:jc w:val="both"/>
              <w:rPr>
                <w:rFonts w:eastAsia="Calibri" w:cs="Calibri"/>
                <w:noProof/>
                <w:sz w:val="20"/>
              </w:rPr>
            </w:pPr>
            <w:r>
              <w:rPr>
                <w:noProof/>
              </w:rPr>
              <w:t>Renoverade eller byggda specialiserade teknikcentrum</w:t>
            </w:r>
          </w:p>
        </w:tc>
      </w:tr>
      <w:tr w:rsidR="00E040FD" w14:paraId="7C00D43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BED060D" w14:textId="77777777" w:rsidR="00E040FD" w:rsidRDefault="00740D64">
            <w:pPr>
              <w:pStyle w:val="P68B1DB1-Normal23"/>
              <w:spacing w:after="0"/>
              <w:jc w:val="center"/>
              <w:rPr>
                <w:rFonts w:eastAsia="Calibri" w:cs="Calibri"/>
                <w:noProof/>
                <w:sz w:val="20"/>
              </w:rPr>
            </w:pPr>
            <w:r>
              <w:rPr>
                <w:noProof/>
              </w:rPr>
              <w:t>6.8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3F0DF611" w14:textId="77777777" w:rsidR="00E040FD" w:rsidRDefault="00740D64">
            <w:pPr>
              <w:pStyle w:val="P68B1DB1-Normal23"/>
              <w:spacing w:after="0"/>
              <w:jc w:val="center"/>
              <w:rPr>
                <w:rFonts w:eastAsia="Calibri" w:cs="Calibri"/>
                <w:noProof/>
                <w:sz w:val="20"/>
              </w:rPr>
            </w:pPr>
            <w:r>
              <w:rPr>
                <w:noProof/>
              </w:rPr>
              <w:t>RE-C06-i04</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5A5BFBF" w14:textId="77777777" w:rsidR="00E040FD" w:rsidRDefault="00740D6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2B9C680" w14:textId="77777777" w:rsidR="00E040FD" w:rsidRDefault="00740D64">
            <w:pPr>
              <w:pStyle w:val="P68B1DB1-Normal23"/>
              <w:spacing w:after="0"/>
              <w:jc w:val="both"/>
              <w:rPr>
                <w:rFonts w:eastAsia="Calibri" w:cs="Calibri"/>
                <w:noProof/>
                <w:sz w:val="20"/>
              </w:rPr>
            </w:pPr>
            <w:r>
              <w:rPr>
                <w:noProof/>
              </w:rPr>
              <w:t>Ytterligare antal studenter som tagit examen i högre utbildning inom naturvetenskap, teknik, ingenjörsvetenskap och matematik</w:t>
            </w:r>
          </w:p>
        </w:tc>
      </w:tr>
      <w:tr w:rsidR="00E040FD" w14:paraId="3AD54D52"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6DB541F" w14:textId="77777777" w:rsidR="00E040FD" w:rsidRDefault="00740D64">
            <w:pPr>
              <w:pStyle w:val="P68B1DB1-Normal23"/>
              <w:spacing w:after="0"/>
              <w:jc w:val="center"/>
              <w:rPr>
                <w:rFonts w:eastAsia="Calibri" w:cs="Calibri"/>
                <w:noProof/>
                <w:sz w:val="20"/>
              </w:rPr>
            </w:pPr>
            <w:r>
              <w:rPr>
                <w:noProof/>
              </w:rPr>
              <w:t>8.6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736FE01" w14:textId="77777777" w:rsidR="00E040FD" w:rsidRDefault="00740D64">
            <w:pPr>
              <w:pStyle w:val="P68B1DB1-Normal23"/>
              <w:spacing w:after="0"/>
              <w:jc w:val="center"/>
              <w:rPr>
                <w:rFonts w:eastAsia="Calibri" w:cs="Calibri"/>
                <w:noProof/>
                <w:sz w:val="20"/>
              </w:rPr>
            </w:pPr>
            <w:r>
              <w:rPr>
                <w:noProof/>
              </w:rPr>
              <w:t>RE-C08-i02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3BB56E9" w14:textId="77777777" w:rsidR="00E040FD" w:rsidRDefault="00740D64">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5020DBA" w14:textId="77777777" w:rsidR="00E040FD" w:rsidRDefault="00740D64">
            <w:pPr>
              <w:pStyle w:val="P68B1DB1-Normal23"/>
              <w:spacing w:after="0"/>
              <w:jc w:val="both"/>
              <w:rPr>
                <w:rFonts w:eastAsia="Calibri" w:cs="Calibri"/>
                <w:noProof/>
                <w:sz w:val="20"/>
              </w:rPr>
            </w:pPr>
            <w:r>
              <w:rPr>
                <w:noProof/>
              </w:rPr>
              <w:t>Utarbetande av referenskartläggning för systemet för övervakning av marktäckning (SMOS)</w:t>
            </w:r>
          </w:p>
        </w:tc>
      </w:tr>
      <w:tr w:rsidR="00E040FD" w14:paraId="039E9D87"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40417D6" w14:textId="77777777" w:rsidR="00E040FD" w:rsidRDefault="00740D64">
            <w:pPr>
              <w:pStyle w:val="P68B1DB1-Normal23"/>
              <w:spacing w:after="0"/>
              <w:jc w:val="center"/>
              <w:rPr>
                <w:rFonts w:eastAsia="Calibri" w:cs="Calibri"/>
                <w:noProof/>
                <w:sz w:val="20"/>
              </w:rPr>
            </w:pPr>
            <w:r>
              <w:rPr>
                <w:noProof/>
              </w:rPr>
              <w:t>9.12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C132670" w14:textId="77777777" w:rsidR="00E040FD" w:rsidRDefault="00740D64">
            <w:pPr>
              <w:pStyle w:val="P68B1DB1-Normal23"/>
              <w:spacing w:after="0"/>
              <w:jc w:val="center"/>
              <w:rPr>
                <w:rFonts w:eastAsia="Calibri" w:cs="Calibri"/>
                <w:noProof/>
                <w:sz w:val="20"/>
              </w:rPr>
            </w:pPr>
            <w:r>
              <w:rPr>
                <w:noProof/>
              </w:rPr>
              <w:t>RE-C09-i03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5B66B49" w14:textId="77777777" w:rsidR="00E040FD" w:rsidRDefault="00740D6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23E85C5" w14:textId="77777777" w:rsidR="00E040FD" w:rsidRDefault="00740D64">
            <w:pPr>
              <w:pStyle w:val="P68B1DB1-Normal23"/>
              <w:spacing w:after="0"/>
              <w:jc w:val="both"/>
              <w:rPr>
                <w:rFonts w:eastAsia="Calibri" w:cs="Calibri"/>
                <w:noProof/>
                <w:sz w:val="20"/>
              </w:rPr>
            </w:pPr>
            <w:r>
              <w:rPr>
                <w:noProof/>
              </w:rPr>
              <w:t>Ytterligare km ledningar som renoverats eller renoverats</w:t>
            </w:r>
          </w:p>
        </w:tc>
      </w:tr>
      <w:tr w:rsidR="00E040FD" w14:paraId="392112A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70DF80A" w14:textId="77777777" w:rsidR="00E040FD" w:rsidRDefault="00740D64">
            <w:pPr>
              <w:pStyle w:val="P68B1DB1-Normal23"/>
              <w:spacing w:after="0"/>
              <w:jc w:val="center"/>
              <w:rPr>
                <w:rFonts w:eastAsia="Calibri" w:cs="Calibri"/>
                <w:noProof/>
                <w:sz w:val="20"/>
              </w:rPr>
            </w:pPr>
            <w:r>
              <w:rPr>
                <w:noProof/>
              </w:rPr>
              <w:t>13.2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DF19A15" w14:textId="77777777" w:rsidR="00E040FD" w:rsidRDefault="00740D64">
            <w:pPr>
              <w:pStyle w:val="P68B1DB1-Normal23"/>
              <w:spacing w:after="0"/>
              <w:jc w:val="center"/>
              <w:rPr>
                <w:rFonts w:eastAsia="Calibri" w:cs="Calibri"/>
                <w:noProof/>
                <w:sz w:val="20"/>
              </w:rPr>
            </w:pPr>
            <w:r>
              <w:rPr>
                <w:noProof/>
              </w:rPr>
              <w:t>TC-C13-I01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68B0FA9B" w14:textId="77777777" w:rsidR="00E040FD" w:rsidRDefault="00740D6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688B0A90" w14:textId="77777777" w:rsidR="00E040FD" w:rsidRDefault="00740D64">
            <w:pPr>
              <w:pStyle w:val="P68B1DB1-Normal23"/>
              <w:spacing w:after="0"/>
              <w:jc w:val="both"/>
              <w:rPr>
                <w:rFonts w:eastAsia="Calibri" w:cs="Calibri"/>
                <w:noProof/>
                <w:sz w:val="20"/>
              </w:rPr>
            </w:pPr>
            <w:r>
              <w:rPr>
                <w:noProof/>
              </w:rPr>
              <w:t>Energieffektivitetsrenovering av privata bostadshus</w:t>
            </w:r>
          </w:p>
        </w:tc>
      </w:tr>
      <w:tr w:rsidR="00E040FD" w14:paraId="3F852D06"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4D45592" w14:textId="77777777" w:rsidR="00E040FD" w:rsidRDefault="00740D64">
            <w:pPr>
              <w:pStyle w:val="P68B1DB1-Normal23"/>
              <w:spacing w:after="0"/>
              <w:jc w:val="center"/>
              <w:rPr>
                <w:rFonts w:eastAsia="Calibri" w:cs="Calibri"/>
                <w:noProof/>
                <w:sz w:val="20"/>
              </w:rPr>
            </w:pPr>
            <w:r>
              <w:rPr>
                <w:noProof/>
              </w:rPr>
              <w:t>13.5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0E3ACE4" w14:textId="77777777" w:rsidR="00E040FD" w:rsidRDefault="00740D64">
            <w:pPr>
              <w:pStyle w:val="P68B1DB1-Normal23"/>
              <w:spacing w:after="0"/>
              <w:jc w:val="center"/>
              <w:rPr>
                <w:rFonts w:eastAsia="Calibri" w:cs="Calibri"/>
                <w:noProof/>
                <w:sz w:val="20"/>
              </w:rPr>
            </w:pPr>
            <w:r>
              <w:rPr>
                <w:noProof/>
              </w:rPr>
              <w:t>TC-C13-I02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96C5B0D" w14:textId="77777777" w:rsidR="00E040FD" w:rsidRDefault="00740D6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CEDF2B7" w14:textId="77777777" w:rsidR="00E040FD" w:rsidRDefault="00740D64">
            <w:pPr>
              <w:pStyle w:val="P68B1DB1-Normal23"/>
              <w:spacing w:after="0"/>
              <w:jc w:val="both"/>
              <w:rPr>
                <w:rFonts w:eastAsia="Calibri" w:cs="Calibri"/>
                <w:noProof/>
                <w:sz w:val="20"/>
              </w:rPr>
            </w:pPr>
            <w:r>
              <w:rPr>
                <w:noProof/>
              </w:rPr>
              <w:t>Energieffektiv renovering av statliga myndigheters byggnader</w:t>
            </w:r>
          </w:p>
        </w:tc>
      </w:tr>
      <w:tr w:rsidR="00E040FD" w14:paraId="2194D2E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1D1126" w14:textId="77777777" w:rsidR="00E040FD" w:rsidRDefault="00740D64">
            <w:pPr>
              <w:pStyle w:val="P68B1DB1-Normal23"/>
              <w:spacing w:after="0"/>
              <w:jc w:val="center"/>
              <w:rPr>
                <w:rFonts w:eastAsia="Calibri" w:cs="Calibri"/>
                <w:noProof/>
                <w:sz w:val="20"/>
              </w:rPr>
            </w:pPr>
            <w:r>
              <w:rPr>
                <w:noProof/>
              </w:rPr>
              <w:t>13.8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3D27D411" w14:textId="77777777" w:rsidR="00E040FD" w:rsidRDefault="00740D64">
            <w:pPr>
              <w:pStyle w:val="P68B1DB1-Normal23"/>
              <w:spacing w:after="0"/>
              <w:jc w:val="center"/>
              <w:rPr>
                <w:rFonts w:eastAsia="Calibri" w:cs="Calibri"/>
                <w:noProof/>
                <w:sz w:val="20"/>
              </w:rPr>
            </w:pPr>
            <w:r>
              <w:rPr>
                <w:noProof/>
              </w:rPr>
              <w:t>TC-C13-I03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BFF745B" w14:textId="77777777" w:rsidR="00E040FD" w:rsidRDefault="00740D6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21F9B47" w14:textId="77777777" w:rsidR="00E040FD" w:rsidRDefault="00740D64">
            <w:pPr>
              <w:pStyle w:val="P68B1DB1-Normal23"/>
              <w:spacing w:after="0"/>
              <w:jc w:val="both"/>
              <w:rPr>
                <w:rFonts w:eastAsia="Calibri" w:cs="Calibri"/>
                <w:noProof/>
                <w:sz w:val="20"/>
              </w:rPr>
            </w:pPr>
            <w:r>
              <w:rPr>
                <w:noProof/>
              </w:rPr>
              <w:t>Energieffektiv renovering av byggnader för privata tjänster</w:t>
            </w:r>
          </w:p>
        </w:tc>
      </w:tr>
      <w:tr w:rsidR="00E040FD" w14:paraId="340E532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6CA9A8" w14:textId="77777777" w:rsidR="00E040FD" w:rsidRDefault="00740D64">
            <w:pPr>
              <w:pStyle w:val="P68B1DB1-Normal23"/>
              <w:spacing w:after="0"/>
              <w:jc w:val="center"/>
              <w:rPr>
                <w:rFonts w:eastAsia="Calibri" w:cs="Calibri"/>
                <w:noProof/>
                <w:sz w:val="20"/>
              </w:rPr>
            </w:pPr>
            <w:r>
              <w:rPr>
                <w:noProof/>
              </w:rPr>
              <w:t>14.8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4B590E3" w14:textId="77777777" w:rsidR="00E040FD" w:rsidRDefault="00740D64">
            <w:pPr>
              <w:pStyle w:val="P68B1DB1-Normal23"/>
              <w:spacing w:after="0"/>
              <w:jc w:val="center"/>
              <w:rPr>
                <w:rFonts w:eastAsia="Calibri" w:cs="Calibri"/>
                <w:noProof/>
                <w:sz w:val="20"/>
              </w:rPr>
            </w:pPr>
            <w:r>
              <w:rPr>
                <w:noProof/>
              </w:rPr>
              <w:t>TC-C14-I02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4841BCD" w14:textId="77777777" w:rsidR="00E040FD" w:rsidRDefault="00740D6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B2B37F4" w14:textId="77777777" w:rsidR="00E040FD" w:rsidRDefault="00740D64">
            <w:pPr>
              <w:pStyle w:val="P68B1DB1-Normal23"/>
              <w:spacing w:after="0"/>
              <w:jc w:val="both"/>
              <w:rPr>
                <w:rFonts w:eastAsia="Calibri" w:cs="Calibri"/>
                <w:noProof/>
                <w:sz w:val="20"/>
              </w:rPr>
            </w:pPr>
            <w:r>
              <w:rPr>
                <w:noProof/>
              </w:rPr>
              <w:t>Ytterligare kapacitet för att integrera ny installerad effekt i elsystemet</w:t>
            </w:r>
          </w:p>
        </w:tc>
      </w:tr>
      <w:tr w:rsidR="00E040FD" w14:paraId="0BF233CD"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497B10B" w14:textId="77777777" w:rsidR="00E040FD" w:rsidRDefault="00740D64">
            <w:pPr>
              <w:pStyle w:val="P68B1DB1-Normal23"/>
              <w:spacing w:after="0"/>
              <w:jc w:val="center"/>
              <w:rPr>
                <w:rFonts w:eastAsia="Calibri" w:cs="Calibri"/>
                <w:noProof/>
                <w:sz w:val="20"/>
              </w:rPr>
            </w:pPr>
            <w:r>
              <w:rPr>
                <w:noProof/>
              </w:rPr>
              <w:t>17.24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A6FB23C" w14:textId="52A4CD72" w:rsidR="00E040FD" w:rsidRDefault="00740D64">
            <w:pPr>
              <w:pStyle w:val="P68B1DB1-Normal23"/>
              <w:spacing w:after="0"/>
              <w:jc w:val="center"/>
              <w:rPr>
                <w:rFonts w:eastAsia="Calibri" w:cs="Calibri"/>
                <w:noProof/>
                <w:sz w:val="20"/>
              </w:rPr>
            </w:pPr>
            <w:r>
              <w:rPr>
                <w:noProof/>
              </w:rPr>
              <w:t>TD-C17-r40</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A158D53" w14:textId="77777777" w:rsidR="00E040FD" w:rsidRDefault="00740D64">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7DB87B7" w14:textId="77777777" w:rsidR="00E040FD" w:rsidRDefault="00740D64">
            <w:pPr>
              <w:pStyle w:val="P68B1DB1-Normal23"/>
              <w:spacing w:after="0"/>
              <w:jc w:val="both"/>
              <w:rPr>
                <w:rFonts w:eastAsia="Calibri" w:cs="Calibri"/>
                <w:noProof/>
                <w:sz w:val="20"/>
              </w:rPr>
            </w:pPr>
            <w:r>
              <w:rPr>
                <w:noProof/>
              </w:rPr>
              <w:t>U-TAX offentliggör en bedömningsrapport om befintliga skatteförmåner</w:t>
            </w:r>
          </w:p>
        </w:tc>
      </w:tr>
      <w:tr w:rsidR="00E040FD" w14:paraId="0AC27CC9"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B9FB6A" w14:textId="77777777" w:rsidR="00E040FD" w:rsidRDefault="00740D64">
            <w:pPr>
              <w:pStyle w:val="P68B1DB1-Normal23"/>
              <w:spacing w:after="0"/>
              <w:jc w:val="center"/>
              <w:rPr>
                <w:rFonts w:eastAsia="Calibri" w:cs="Calibri"/>
                <w:noProof/>
                <w:sz w:val="20"/>
              </w:rPr>
            </w:pPr>
            <w:r>
              <w:rPr>
                <w:noProof/>
              </w:rPr>
              <w:t>19.16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AEEF756" w14:textId="77777777" w:rsidR="00E040FD" w:rsidRDefault="00740D64">
            <w:pPr>
              <w:pStyle w:val="P68B1DB1-Normal23"/>
              <w:spacing w:after="0"/>
              <w:jc w:val="center"/>
              <w:rPr>
                <w:rFonts w:eastAsia="Calibri" w:cs="Calibri"/>
                <w:noProof/>
                <w:sz w:val="20"/>
              </w:rPr>
            </w:pPr>
            <w:r>
              <w:rPr>
                <w:noProof/>
              </w:rPr>
              <w:t>TD-C19-i05-RAM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C937250" w14:textId="77777777" w:rsidR="00E040FD" w:rsidRDefault="00740D6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F953943" w14:textId="77777777" w:rsidR="00E040FD" w:rsidRDefault="00740D64">
            <w:pPr>
              <w:pStyle w:val="P68B1DB1-Normal23"/>
              <w:spacing w:after="0"/>
              <w:jc w:val="both"/>
              <w:rPr>
                <w:rFonts w:eastAsia="Calibri" w:cs="Calibri"/>
                <w:noProof/>
                <w:sz w:val="20"/>
              </w:rPr>
            </w:pPr>
            <w:r>
              <w:rPr>
                <w:noProof/>
              </w:rPr>
              <w:t>Offentliga tjänster för medborgare, besökare och företag i ARM</w:t>
            </w:r>
          </w:p>
        </w:tc>
      </w:tr>
      <w:tr w:rsidR="00E040FD" w14:paraId="57E07F0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239DC65" w14:textId="77777777" w:rsidR="00E040FD" w:rsidRDefault="00740D64">
            <w:pPr>
              <w:pStyle w:val="P68B1DB1-Normal23"/>
              <w:spacing w:after="0"/>
              <w:jc w:val="center"/>
              <w:rPr>
                <w:rFonts w:eastAsia="Calibri" w:cs="Calibri"/>
                <w:noProof/>
                <w:sz w:val="20"/>
              </w:rPr>
            </w:pPr>
            <w:r>
              <w:rPr>
                <w:noProof/>
              </w:rPr>
              <w:t>19.17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0C9036E" w14:textId="77777777" w:rsidR="00E040FD" w:rsidRDefault="00740D64">
            <w:pPr>
              <w:pStyle w:val="P68B1DB1-Normal23"/>
              <w:spacing w:after="0"/>
              <w:jc w:val="center"/>
              <w:rPr>
                <w:rFonts w:eastAsia="Calibri" w:cs="Calibri"/>
                <w:noProof/>
                <w:sz w:val="20"/>
              </w:rPr>
            </w:pPr>
            <w:r>
              <w:rPr>
                <w:noProof/>
              </w:rPr>
              <w:t>TD-C19-i05-RAM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A956CA7" w14:textId="77777777" w:rsidR="00E040FD" w:rsidRDefault="00740D64">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71760667" w14:textId="77777777" w:rsidR="00E040FD" w:rsidRDefault="00740D64">
            <w:pPr>
              <w:pStyle w:val="P68B1DB1-Normal23"/>
              <w:spacing w:after="0"/>
              <w:jc w:val="both"/>
              <w:rPr>
                <w:rFonts w:eastAsia="Calibri" w:cs="Calibri"/>
                <w:noProof/>
                <w:sz w:val="20"/>
              </w:rPr>
            </w:pPr>
            <w:r>
              <w:rPr>
                <w:noProof/>
              </w:rPr>
              <w:t>Modernisering av kritisk infrastruktur och datorarkitektur för offentliga tjänster inom ARM</w:t>
            </w:r>
          </w:p>
        </w:tc>
      </w:tr>
      <w:tr w:rsidR="00E040FD" w14:paraId="50C6DABF"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A76E346" w14:textId="77777777" w:rsidR="00E040FD" w:rsidRDefault="00740D64">
            <w:pPr>
              <w:pStyle w:val="P68B1DB1-Normal23"/>
              <w:spacing w:after="0"/>
              <w:jc w:val="center"/>
              <w:rPr>
                <w:rFonts w:eastAsia="Calibri" w:cs="Calibri"/>
                <w:noProof/>
              </w:rPr>
            </w:pPr>
            <w:r>
              <w:rPr>
                <w:noProof/>
              </w:rPr>
              <w:t>19.27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DF9CE32" w14:textId="77777777" w:rsidR="00E040FD" w:rsidRDefault="00740D64">
            <w:pPr>
              <w:pStyle w:val="P68B1DB1-Normal23"/>
              <w:spacing w:after="0"/>
              <w:jc w:val="center"/>
              <w:rPr>
                <w:rFonts w:eastAsia="Calibri" w:cs="Calibri"/>
                <w:noProof/>
              </w:rPr>
            </w:pPr>
            <w:r>
              <w:rPr>
                <w:noProof/>
              </w:rPr>
              <w:t>TD-C19-i01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3681EDF" w14:textId="77777777" w:rsidR="00E040FD" w:rsidRDefault="00740D6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C750829" w14:textId="5FBBDF08" w:rsidR="00E040FD" w:rsidRDefault="00740D64">
            <w:pPr>
              <w:pStyle w:val="P68B1DB1-Normal23"/>
              <w:spacing w:after="0"/>
              <w:jc w:val="both"/>
              <w:rPr>
                <w:rFonts w:eastAsia="Calibri" w:cs="Calibri"/>
                <w:noProof/>
              </w:rPr>
            </w:pPr>
            <w:r>
              <w:rPr>
                <w:noProof/>
              </w:rPr>
              <w:t>Medborgaransökan</w:t>
            </w:r>
          </w:p>
        </w:tc>
      </w:tr>
      <w:tr w:rsidR="00E040FD" w14:paraId="308524A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270544E" w14:textId="77777777" w:rsidR="00E040FD" w:rsidRDefault="00740D64">
            <w:pPr>
              <w:pStyle w:val="P68B1DB1-Normal23"/>
              <w:spacing w:after="0"/>
              <w:jc w:val="center"/>
              <w:rPr>
                <w:rFonts w:eastAsia="Calibri" w:cs="Calibri"/>
                <w:noProof/>
                <w:sz w:val="20"/>
              </w:rPr>
            </w:pPr>
            <w:r>
              <w:rPr>
                <w:noProof/>
              </w:rPr>
              <w:t>19.34</w:t>
            </w:r>
          </w:p>
        </w:tc>
        <w:tc>
          <w:tcPr>
            <w:tcW w:w="1760" w:type="dxa"/>
            <w:tcBorders>
              <w:top w:val="nil"/>
              <w:left w:val="nil"/>
              <w:bottom w:val="single" w:sz="4" w:space="0" w:color="auto"/>
              <w:right w:val="single" w:sz="4" w:space="0" w:color="auto"/>
            </w:tcBorders>
            <w:shd w:val="clear" w:color="auto" w:fill="C4EFCE"/>
            <w:vAlign w:val="center"/>
            <w:hideMark/>
          </w:tcPr>
          <w:p w14:paraId="5A5F2BD8" w14:textId="77777777" w:rsidR="00E040FD" w:rsidRDefault="00740D64">
            <w:pPr>
              <w:pStyle w:val="P68B1DB1-Normal23"/>
              <w:spacing w:after="0"/>
              <w:jc w:val="center"/>
              <w:rPr>
                <w:rFonts w:eastAsia="Calibri" w:cs="Calibri"/>
                <w:noProof/>
                <w:sz w:val="20"/>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1021F2E2" w14:textId="77777777" w:rsidR="00E040FD" w:rsidRDefault="00740D64">
            <w:pPr>
              <w:pStyle w:val="P68B1DB1-Normal23"/>
              <w:spacing w:after="0"/>
              <w:jc w:val="center"/>
              <w:rPr>
                <w:rFonts w:eastAsia="Calibri" w:cs="Calibri"/>
                <w:noProof/>
                <w:sz w:val="20"/>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16F93C9" w14:textId="77777777" w:rsidR="00E040FD" w:rsidRDefault="00740D64">
            <w:pPr>
              <w:pStyle w:val="P68B1DB1-Normal23"/>
              <w:spacing w:after="0"/>
              <w:jc w:val="both"/>
              <w:rPr>
                <w:rFonts w:eastAsia="Calibri" w:cs="Calibri"/>
                <w:noProof/>
                <w:sz w:val="20"/>
              </w:rPr>
            </w:pPr>
            <w:r>
              <w:rPr>
                <w:noProof/>
              </w:rPr>
              <w:t>Lansering av portalen för smarta territorier</w:t>
            </w:r>
          </w:p>
        </w:tc>
      </w:tr>
      <w:tr w:rsidR="00E040FD" w14:paraId="32DC818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DC72C2" w14:textId="77777777" w:rsidR="00E040FD" w:rsidRDefault="00740D64">
            <w:pPr>
              <w:pStyle w:val="P68B1DB1-Normal23"/>
              <w:spacing w:after="0"/>
              <w:jc w:val="center"/>
              <w:rPr>
                <w:rFonts w:eastAsia="Calibri" w:cs="Calibri"/>
                <w:noProof/>
                <w:sz w:val="20"/>
              </w:rPr>
            </w:pPr>
            <w:r>
              <w:rPr>
                <w:noProof/>
              </w:rPr>
              <w:t>21.8</w:t>
            </w:r>
          </w:p>
        </w:tc>
        <w:tc>
          <w:tcPr>
            <w:tcW w:w="1760" w:type="dxa"/>
            <w:tcBorders>
              <w:top w:val="nil"/>
              <w:left w:val="nil"/>
              <w:bottom w:val="single" w:sz="4" w:space="0" w:color="auto"/>
              <w:right w:val="single" w:sz="4" w:space="0" w:color="auto"/>
            </w:tcBorders>
            <w:shd w:val="clear" w:color="auto" w:fill="C4EFCE"/>
            <w:vAlign w:val="center"/>
            <w:hideMark/>
          </w:tcPr>
          <w:p w14:paraId="6A2B827C" w14:textId="77777777" w:rsidR="00E040FD" w:rsidRDefault="00740D64">
            <w:pPr>
              <w:pStyle w:val="P68B1DB1-Normal23"/>
              <w:spacing w:after="0"/>
              <w:jc w:val="center"/>
              <w:rPr>
                <w:rFonts w:eastAsia="Calibri" w:cs="Calibri"/>
                <w:noProof/>
                <w:sz w:val="20"/>
              </w:rPr>
            </w:pPr>
            <w:r>
              <w:rPr>
                <w:noProof/>
              </w:rPr>
              <w:t>RP-C21-r43</w:t>
            </w:r>
          </w:p>
        </w:tc>
        <w:tc>
          <w:tcPr>
            <w:tcW w:w="1520" w:type="dxa"/>
            <w:tcBorders>
              <w:top w:val="nil"/>
              <w:left w:val="nil"/>
              <w:bottom w:val="single" w:sz="4" w:space="0" w:color="auto"/>
              <w:right w:val="single" w:sz="4" w:space="0" w:color="auto"/>
            </w:tcBorders>
            <w:shd w:val="clear" w:color="auto" w:fill="C4EFCE"/>
            <w:vAlign w:val="center"/>
            <w:hideMark/>
          </w:tcPr>
          <w:p w14:paraId="2239B6F9" w14:textId="77777777" w:rsidR="00E040FD" w:rsidRDefault="00740D64">
            <w:pPr>
              <w:pStyle w:val="P68B1DB1-Normal23"/>
              <w:spacing w:after="0"/>
              <w:jc w:val="center"/>
              <w:rPr>
                <w:rFonts w:eastAsia="Calibri" w:cs="Calibri"/>
                <w:noProof/>
                <w:sz w:val="20"/>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B2D45D3" w14:textId="77777777" w:rsidR="00E040FD" w:rsidRDefault="00740D64">
            <w:pPr>
              <w:pStyle w:val="P68B1DB1-Normal23"/>
              <w:spacing w:after="0"/>
              <w:jc w:val="both"/>
              <w:rPr>
                <w:rFonts w:eastAsia="Calibri" w:cs="Calibri"/>
                <w:noProof/>
                <w:sz w:val="20"/>
              </w:rPr>
            </w:pPr>
            <w:r>
              <w:rPr>
                <w:noProof/>
              </w:rPr>
              <w:t>Lansering av finansieringsinstrumentet för att bekämpa energifattigdom</w:t>
            </w:r>
          </w:p>
        </w:tc>
      </w:tr>
      <w:tr w:rsidR="00E040FD" w14:paraId="5FD1D26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62C627" w14:textId="77777777" w:rsidR="00E040FD" w:rsidRDefault="00740D64">
            <w:pPr>
              <w:pStyle w:val="P68B1DB1-Normal23"/>
              <w:spacing w:after="0"/>
              <w:jc w:val="center"/>
              <w:rPr>
                <w:rFonts w:eastAsia="Calibri" w:cs="Calibri"/>
                <w:noProof/>
                <w:sz w:val="20"/>
              </w:rPr>
            </w:pPr>
            <w:r>
              <w:rPr>
                <w:noProof/>
              </w:rPr>
              <w:t>21.11</w:t>
            </w:r>
          </w:p>
        </w:tc>
        <w:tc>
          <w:tcPr>
            <w:tcW w:w="1760" w:type="dxa"/>
            <w:tcBorders>
              <w:top w:val="nil"/>
              <w:left w:val="nil"/>
              <w:bottom w:val="single" w:sz="4" w:space="0" w:color="auto"/>
              <w:right w:val="single" w:sz="4" w:space="0" w:color="auto"/>
            </w:tcBorders>
            <w:shd w:val="clear" w:color="auto" w:fill="C4EFCE"/>
            <w:vAlign w:val="center"/>
            <w:hideMark/>
          </w:tcPr>
          <w:p w14:paraId="7858AE64" w14:textId="77777777" w:rsidR="00E040FD" w:rsidRDefault="00740D64">
            <w:pPr>
              <w:pStyle w:val="P68B1DB1-Normal23"/>
              <w:spacing w:after="0"/>
              <w:jc w:val="center"/>
              <w:rPr>
                <w:rFonts w:eastAsia="Calibri" w:cs="Calibri"/>
                <w:noProof/>
                <w:sz w:val="20"/>
              </w:rPr>
            </w:pPr>
            <w:r>
              <w:rPr>
                <w:noProof/>
              </w:rPr>
              <w:t>RP-C21-r44</w:t>
            </w:r>
          </w:p>
        </w:tc>
        <w:tc>
          <w:tcPr>
            <w:tcW w:w="1520" w:type="dxa"/>
            <w:tcBorders>
              <w:top w:val="nil"/>
              <w:left w:val="nil"/>
              <w:bottom w:val="single" w:sz="4" w:space="0" w:color="auto"/>
              <w:right w:val="single" w:sz="4" w:space="0" w:color="auto"/>
            </w:tcBorders>
            <w:shd w:val="clear" w:color="auto" w:fill="C4EFCE"/>
            <w:vAlign w:val="center"/>
            <w:hideMark/>
          </w:tcPr>
          <w:p w14:paraId="7D272590" w14:textId="77777777" w:rsidR="00E040FD" w:rsidRDefault="00740D64">
            <w:pPr>
              <w:pStyle w:val="P68B1DB1-Normal23"/>
              <w:spacing w:after="0"/>
              <w:jc w:val="center"/>
              <w:rPr>
                <w:rFonts w:eastAsia="Calibri" w:cs="Calibri"/>
                <w:noProof/>
                <w:sz w:val="20"/>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1D91399" w14:textId="77777777" w:rsidR="00E040FD" w:rsidRDefault="00740D64">
            <w:pPr>
              <w:pStyle w:val="P68B1DB1-Normal23"/>
              <w:spacing w:after="0"/>
              <w:jc w:val="both"/>
              <w:rPr>
                <w:rFonts w:eastAsia="Calibri" w:cs="Calibri"/>
                <w:noProof/>
                <w:sz w:val="20"/>
              </w:rPr>
            </w:pPr>
            <w:r>
              <w:rPr>
                <w:noProof/>
              </w:rPr>
              <w:t>Lansering av Espaços Cidadão Energia</w:t>
            </w:r>
          </w:p>
        </w:tc>
      </w:tr>
      <w:tr w:rsidR="00E040FD" w14:paraId="47B7321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F80F8D5" w14:textId="77777777" w:rsidR="00E040FD" w:rsidRDefault="00740D64">
            <w:pPr>
              <w:pStyle w:val="P68B1DB1-Normal23"/>
              <w:spacing w:after="0"/>
              <w:jc w:val="center"/>
              <w:rPr>
                <w:rFonts w:eastAsia="Calibri" w:cs="Calibri"/>
                <w:noProof/>
              </w:rPr>
            </w:pPr>
            <w:r>
              <w:rPr>
                <w:noProof/>
              </w:rPr>
              <w:t>21.31</w:t>
            </w:r>
          </w:p>
        </w:tc>
        <w:tc>
          <w:tcPr>
            <w:tcW w:w="1760" w:type="dxa"/>
            <w:tcBorders>
              <w:top w:val="nil"/>
              <w:left w:val="nil"/>
              <w:bottom w:val="single" w:sz="4" w:space="0" w:color="auto"/>
              <w:right w:val="single" w:sz="4" w:space="0" w:color="auto"/>
            </w:tcBorders>
            <w:shd w:val="clear" w:color="auto" w:fill="C4EFCE"/>
            <w:vAlign w:val="center"/>
            <w:hideMark/>
          </w:tcPr>
          <w:p w14:paraId="61D6C730" w14:textId="5CCAB5AE" w:rsidR="00E040FD" w:rsidRDefault="00740D64">
            <w:pPr>
              <w:pStyle w:val="P68B1DB1-Normal23"/>
              <w:spacing w:after="0"/>
              <w:jc w:val="center"/>
              <w:rPr>
                <w:rFonts w:eastAsia="Calibri" w:cs="Calibri"/>
                <w:noProof/>
              </w:rPr>
            </w:pPr>
            <w:r>
              <w:rPr>
                <w:noProof/>
              </w:rPr>
              <w:t>RP-C21-i9</w:t>
            </w:r>
          </w:p>
        </w:tc>
        <w:tc>
          <w:tcPr>
            <w:tcW w:w="1520" w:type="dxa"/>
            <w:tcBorders>
              <w:top w:val="nil"/>
              <w:left w:val="nil"/>
              <w:bottom w:val="single" w:sz="4" w:space="0" w:color="auto"/>
              <w:right w:val="single" w:sz="4" w:space="0" w:color="auto"/>
            </w:tcBorders>
            <w:shd w:val="clear" w:color="auto" w:fill="C4EFCE"/>
            <w:vAlign w:val="center"/>
            <w:hideMark/>
          </w:tcPr>
          <w:p w14:paraId="07A4650B"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8C4F9FD" w14:textId="77777777" w:rsidR="00E040FD" w:rsidRDefault="00740D64">
            <w:pPr>
              <w:pStyle w:val="P68B1DB1-Normal23"/>
              <w:spacing w:after="0"/>
              <w:jc w:val="both"/>
              <w:rPr>
                <w:rFonts w:eastAsia="Calibri" w:cs="Calibri"/>
                <w:noProof/>
              </w:rPr>
            </w:pPr>
            <w:r>
              <w:rPr>
                <w:noProof/>
              </w:rPr>
              <w:t>Idrifttagande av modulerna i den andra fasen av den digitala plattformen One – Stop Shop för tillståndsgivning och övervakning av projekt för förnybar energi och slutförande av processen för dematerialisering av befintliga tillståndsdokument.</w:t>
            </w:r>
          </w:p>
        </w:tc>
      </w:tr>
      <w:tr w:rsidR="00E040FD" w14:paraId="769B3C1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091AEE" w14:textId="77777777" w:rsidR="00E040FD" w:rsidRDefault="00740D64">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hideMark/>
          </w:tcPr>
          <w:p w14:paraId="2A5B0B5B" w14:textId="77777777" w:rsidR="00E040FD" w:rsidRDefault="00740D64">
            <w:pPr>
              <w:pStyle w:val="P68B1DB1-Normal8"/>
              <w:spacing w:after="0" w:line="240" w:lineRule="auto"/>
              <w:jc w:val="center"/>
              <w:rPr>
                <w:rFonts w:eastAsia="Times New Roman" w:cs="Calibri"/>
                <w:noProof/>
              </w:rPr>
            </w:pPr>
            <w:r>
              <w:rPr>
                <w:noProof/>
              </w:rPr>
              <w:t> </w:t>
            </w:r>
          </w:p>
        </w:tc>
        <w:tc>
          <w:tcPr>
            <w:tcW w:w="1520" w:type="dxa"/>
            <w:tcBorders>
              <w:top w:val="nil"/>
              <w:left w:val="nil"/>
              <w:bottom w:val="single" w:sz="4" w:space="0" w:color="auto"/>
              <w:right w:val="single" w:sz="4" w:space="0" w:color="auto"/>
            </w:tcBorders>
            <w:shd w:val="clear" w:color="auto" w:fill="C4EFCE"/>
            <w:vAlign w:val="center"/>
            <w:hideMark/>
          </w:tcPr>
          <w:p w14:paraId="01CF754F"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tcBorders>
              <w:top w:val="nil"/>
              <w:left w:val="nil"/>
              <w:bottom w:val="single" w:sz="4" w:space="0" w:color="auto"/>
              <w:right w:val="single" w:sz="4" w:space="0" w:color="auto"/>
            </w:tcBorders>
            <w:shd w:val="clear" w:color="auto" w:fill="C4EFCE"/>
            <w:vAlign w:val="center"/>
            <w:hideMark/>
          </w:tcPr>
          <w:p w14:paraId="0ED4039C" w14:textId="7BBDA010" w:rsidR="00E040FD" w:rsidRDefault="00740D64">
            <w:pPr>
              <w:pStyle w:val="P68B1DB1-Normal25"/>
              <w:spacing w:after="0" w:line="240" w:lineRule="auto"/>
              <w:jc w:val="center"/>
              <w:rPr>
                <w:rFonts w:cs="Calibri"/>
                <w:noProof/>
              </w:rPr>
            </w:pPr>
            <w:r>
              <w:rPr>
                <w:noProof/>
              </w:rPr>
              <w:t xml:space="preserve">1 056 518 233 EUR </w:t>
            </w:r>
          </w:p>
        </w:tc>
      </w:tr>
    </w:tbl>
    <w:p w14:paraId="3C5CDC41"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p w14:paraId="517A6F5F"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Nionde betalningsansökan (icke återbetalningspliktigt stöd): </w:t>
      </w:r>
    </w:p>
    <w:p w14:paraId="610F6D78"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94"/>
        <w:gridCol w:w="1666"/>
        <w:gridCol w:w="1520"/>
        <w:gridCol w:w="5060"/>
      </w:tblGrid>
      <w:tr w:rsidR="00E040FD" w14:paraId="0D25D50E" w14:textId="77777777">
        <w:trPr>
          <w:trHeight w:val="509"/>
          <w:tblHeader/>
        </w:trPr>
        <w:tc>
          <w:tcPr>
            <w:tcW w:w="1200" w:type="dxa"/>
            <w:vMerge w:val="restart"/>
            <w:tcBorders>
              <w:top w:val="single" w:sz="4" w:space="0" w:color="auto"/>
              <w:left w:val="single" w:sz="4" w:space="0" w:color="auto"/>
              <w:right w:val="single" w:sz="4" w:space="0" w:color="auto"/>
            </w:tcBorders>
            <w:shd w:val="clear" w:color="auto" w:fill="BDD7EE"/>
            <w:vAlign w:val="center"/>
            <w:hideMark/>
          </w:tcPr>
          <w:p w14:paraId="27E78C42"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vMerge w:val="restart"/>
            <w:tcBorders>
              <w:top w:val="single" w:sz="4" w:space="0" w:color="auto"/>
              <w:left w:val="single" w:sz="4" w:space="0" w:color="auto"/>
              <w:right w:val="single" w:sz="4" w:space="0" w:color="auto"/>
            </w:tcBorders>
            <w:shd w:val="clear" w:color="auto" w:fill="BDD7EE"/>
            <w:vAlign w:val="center"/>
            <w:hideMark/>
          </w:tcPr>
          <w:p w14:paraId="78FC7685"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vMerge w:val="restart"/>
            <w:tcBorders>
              <w:top w:val="single" w:sz="4" w:space="0" w:color="auto"/>
              <w:left w:val="single" w:sz="4" w:space="0" w:color="auto"/>
              <w:right w:val="single" w:sz="4" w:space="0" w:color="auto"/>
            </w:tcBorders>
            <w:shd w:val="clear" w:color="auto" w:fill="BDD7EE"/>
            <w:vAlign w:val="center"/>
            <w:hideMark/>
          </w:tcPr>
          <w:p w14:paraId="085BD584"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1ACC8B"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1782CE3F" w14:textId="77777777">
        <w:trPr>
          <w:trHeight w:val="509"/>
          <w:tblHead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F6B246B" w14:textId="77777777" w:rsidR="00E040FD" w:rsidRDefault="00E040FD">
            <w:pPr>
              <w:spacing w:after="0" w:line="240" w:lineRule="auto"/>
              <w:rPr>
                <w:rFonts w:ascii="Times New Roman" w:eastAsia="Times New Roman" w:hAnsi="Times New Roman" w:cs="Times New Roman"/>
                <w:b/>
                <w:noProof/>
                <w:sz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C610EC3" w14:textId="77777777" w:rsidR="00E040FD" w:rsidRDefault="00E040FD">
            <w:pPr>
              <w:spacing w:after="0" w:line="240" w:lineRule="auto"/>
              <w:rPr>
                <w:rFonts w:ascii="Times New Roman" w:eastAsia="Times New Roman" w:hAnsi="Times New Roman" w:cs="Times New Roman"/>
                <w:b/>
                <w:noProof/>
                <w:sz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2802C47" w14:textId="77777777" w:rsidR="00E040FD" w:rsidRDefault="00E040FD">
            <w:pPr>
              <w:spacing w:after="0" w:line="240" w:lineRule="auto"/>
              <w:rPr>
                <w:rFonts w:ascii="Times New Roman" w:eastAsia="Times New Roman" w:hAnsi="Times New Roman" w:cs="Times New Roman"/>
                <w:b/>
                <w:noProof/>
                <w:sz w:val="2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14:paraId="4A2F66AD" w14:textId="77777777" w:rsidR="00E040FD" w:rsidRDefault="00E040FD">
            <w:pPr>
              <w:spacing w:after="0" w:line="240" w:lineRule="auto"/>
              <w:rPr>
                <w:rFonts w:ascii="Times New Roman" w:eastAsia="Times New Roman" w:hAnsi="Times New Roman" w:cs="Times New Roman"/>
                <w:b/>
                <w:noProof/>
                <w:sz w:val="20"/>
              </w:rPr>
            </w:pPr>
          </w:p>
        </w:tc>
      </w:tr>
      <w:tr w:rsidR="00E040FD" w14:paraId="22F761C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02F00BC" w14:textId="77777777" w:rsidR="00E040FD" w:rsidRDefault="00740D64">
            <w:pPr>
              <w:pStyle w:val="P68B1DB1-Normal23"/>
              <w:spacing w:after="0"/>
              <w:jc w:val="center"/>
              <w:rPr>
                <w:rFonts w:eastAsia="Calibri" w:cs="Calibri"/>
                <w:noProof/>
              </w:rPr>
            </w:pPr>
            <w:r>
              <w:rPr>
                <w:noProof/>
              </w:rPr>
              <w:t>1.9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763BE876" w14:textId="77777777" w:rsidR="00E040FD" w:rsidRDefault="00740D64">
            <w:pPr>
              <w:pStyle w:val="P68B1DB1-Normal23"/>
              <w:spacing w:after="0"/>
              <w:jc w:val="center"/>
              <w:rPr>
                <w:rFonts w:eastAsia="Calibri" w:cs="Calibri"/>
                <w:noProof/>
              </w:rPr>
            </w:pPr>
            <w:r>
              <w:rPr>
                <w:noProof/>
              </w:rPr>
              <w:t>RE-C01-r03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351F199" w14:textId="77777777" w:rsidR="00E040FD" w:rsidRDefault="00740D6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9AE68CE" w14:textId="77777777" w:rsidR="00E040FD" w:rsidRDefault="00740D64">
            <w:pPr>
              <w:pStyle w:val="P68B1DB1-Normal23"/>
              <w:spacing w:after="0"/>
              <w:jc w:val="both"/>
              <w:rPr>
                <w:rFonts w:eastAsia="Calibri" w:cs="Calibri"/>
                <w:noProof/>
              </w:rPr>
            </w:pPr>
            <w:r>
              <w:rPr>
                <w:noProof/>
              </w:rPr>
              <w:t>Inrättande av nya integrerade ansvarscentrum på sjukhusen inom den nationella hälso- och sjukvården</w:t>
            </w:r>
          </w:p>
        </w:tc>
      </w:tr>
      <w:tr w:rsidR="00E040FD" w14:paraId="5CFF73B6"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076FF3CE" w14:textId="77777777" w:rsidR="00E040FD" w:rsidRDefault="00740D64">
            <w:pPr>
              <w:pStyle w:val="P68B1DB1-Normal23"/>
              <w:spacing w:after="0"/>
              <w:jc w:val="center"/>
              <w:rPr>
                <w:rFonts w:eastAsia="Calibri" w:cs="Calibri"/>
                <w:noProof/>
              </w:rPr>
            </w:pPr>
            <w:r>
              <w:rPr>
                <w:noProof/>
              </w:rPr>
              <w:t>1.21</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CE8E2C0" w14:textId="77777777" w:rsidR="00E040FD" w:rsidRDefault="00740D64">
            <w:pPr>
              <w:pStyle w:val="P68B1DB1-Normal23"/>
              <w:spacing w:after="0"/>
              <w:jc w:val="center"/>
              <w:rPr>
                <w:rFonts w:eastAsia="Calibri" w:cs="Calibri"/>
                <w:noProof/>
              </w:rPr>
            </w:pPr>
            <w:r>
              <w:rPr>
                <w:noProof/>
              </w:rPr>
              <w:t>RE-C01-i02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D4FD371" w14:textId="77777777" w:rsidR="00E040FD" w:rsidRDefault="00740D6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3A6F5AE9" w14:textId="77777777" w:rsidR="00E040FD" w:rsidRDefault="00740D64">
            <w:pPr>
              <w:pStyle w:val="P68B1DB1-Normal23"/>
              <w:spacing w:after="0"/>
              <w:jc w:val="both"/>
              <w:rPr>
                <w:rFonts w:eastAsia="Calibri" w:cs="Calibri"/>
                <w:noProof/>
              </w:rPr>
            </w:pPr>
            <w:r>
              <w:rPr>
                <w:noProof/>
              </w:rPr>
              <w:t>Stärka reaktionsförmågan hos de nationella nätverken för integrerad fortsatt vård och palliativ vård inom sluten vård och öppenvård</w:t>
            </w:r>
          </w:p>
        </w:tc>
      </w:tr>
      <w:tr w:rsidR="00E040FD" w14:paraId="1E600A4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F06E981" w14:textId="77777777" w:rsidR="00E040FD" w:rsidRDefault="00740D64">
            <w:pPr>
              <w:pStyle w:val="P68B1DB1-Normal23"/>
              <w:spacing w:after="0"/>
              <w:jc w:val="center"/>
              <w:rPr>
                <w:rFonts w:eastAsia="Calibri" w:cs="Calibri"/>
                <w:noProof/>
              </w:rPr>
            </w:pPr>
            <w:r>
              <w:rPr>
                <w:noProof/>
              </w:rPr>
              <w:t>1.23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738D247" w14:textId="77777777" w:rsidR="00E040FD" w:rsidRDefault="00740D64">
            <w:pPr>
              <w:pStyle w:val="P68B1DB1-Normal23"/>
              <w:spacing w:after="0"/>
              <w:jc w:val="center"/>
              <w:rPr>
                <w:rFonts w:eastAsia="Calibri" w:cs="Calibri"/>
                <w:noProof/>
              </w:rPr>
            </w:pPr>
            <w:r>
              <w:rPr>
                <w:noProof/>
              </w:rPr>
              <w:t>RE-C01-i03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9E7D485" w14:textId="77777777" w:rsidR="00E040FD" w:rsidRDefault="00740D6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DD0CD48" w14:textId="77777777" w:rsidR="00E040FD" w:rsidRDefault="00740D64">
            <w:pPr>
              <w:pStyle w:val="P68B1DB1-Normal23"/>
              <w:spacing w:after="0"/>
              <w:jc w:val="both"/>
              <w:rPr>
                <w:rFonts w:eastAsia="Calibri" w:cs="Calibri"/>
                <w:noProof/>
              </w:rPr>
            </w:pPr>
            <w:r>
              <w:rPr>
                <w:noProof/>
              </w:rPr>
              <w:t>Renovering av kriminaltekniska psykiatriska enheter och utrustning</w:t>
            </w:r>
          </w:p>
        </w:tc>
      </w:tr>
      <w:tr w:rsidR="00E040FD" w14:paraId="5216BA78"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7694A3" w14:textId="77777777" w:rsidR="00E040FD" w:rsidRDefault="00740D64">
            <w:pPr>
              <w:pStyle w:val="P68B1DB1-Normal23"/>
              <w:spacing w:after="0"/>
              <w:jc w:val="center"/>
              <w:rPr>
                <w:rFonts w:eastAsia="Calibri" w:cs="Calibri"/>
                <w:noProof/>
              </w:rPr>
            </w:pPr>
            <w:r>
              <w:rPr>
                <w:noProof/>
              </w:rPr>
              <w:t>1.25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1312B6D" w14:textId="77777777" w:rsidR="00E040FD" w:rsidRDefault="00740D64">
            <w:pPr>
              <w:pStyle w:val="P68B1DB1-Normal23"/>
              <w:spacing w:after="0"/>
              <w:jc w:val="center"/>
              <w:rPr>
                <w:rFonts w:eastAsia="Calibri" w:cs="Calibri"/>
                <w:noProof/>
              </w:rPr>
            </w:pPr>
            <w:r>
              <w:rPr>
                <w:noProof/>
              </w:rPr>
              <w:t>RE-C01-i03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65BB1E4" w14:textId="77777777" w:rsidR="00E040FD" w:rsidRDefault="00740D64">
            <w:pPr>
              <w:pStyle w:val="P68B1DB1-Normal23"/>
              <w:spacing w:after="0"/>
              <w:jc w:val="center"/>
              <w:rPr>
                <w:rFonts w:eastAsia="Calibri" w:cs="Calibri"/>
                <w:noProof/>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6C441A2" w14:textId="77777777" w:rsidR="00E040FD" w:rsidRDefault="00740D64">
            <w:pPr>
              <w:pStyle w:val="P68B1DB1-Normal23"/>
              <w:spacing w:after="0"/>
              <w:jc w:val="both"/>
              <w:rPr>
                <w:rFonts w:eastAsia="Calibri" w:cs="Calibri"/>
                <w:noProof/>
              </w:rPr>
            </w:pPr>
            <w:r>
              <w:rPr>
                <w:noProof/>
              </w:rPr>
              <w:t>Slutförande av förstärkningen av nätverket för psykisk hälsa</w:t>
            </w:r>
          </w:p>
        </w:tc>
      </w:tr>
      <w:tr w:rsidR="00E040FD" w14:paraId="45D850E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FC6688" w14:textId="77777777" w:rsidR="00E040FD" w:rsidRDefault="00740D64">
            <w:pPr>
              <w:pStyle w:val="P68B1DB1-Normal23"/>
              <w:spacing w:after="0"/>
              <w:jc w:val="center"/>
              <w:rPr>
                <w:rFonts w:eastAsia="Calibri" w:cs="Calibri"/>
                <w:noProof/>
              </w:rPr>
            </w:pPr>
            <w:r>
              <w:rPr>
                <w:noProof/>
              </w:rPr>
              <w:t>1.3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9F6608D" w14:textId="77777777" w:rsidR="00E040FD" w:rsidRDefault="00740D64">
            <w:pPr>
              <w:pStyle w:val="P68B1DB1-Normal23"/>
              <w:spacing w:after="0"/>
              <w:jc w:val="center"/>
              <w:rPr>
                <w:rFonts w:eastAsia="Calibri" w:cs="Calibri"/>
                <w:noProof/>
              </w:rPr>
            </w:pPr>
            <w:r>
              <w:rPr>
                <w:noProof/>
              </w:rPr>
              <w:t>RE-C01-i05-RAM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BE2BF56" w14:textId="77777777" w:rsidR="00E040FD" w:rsidRDefault="00740D6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4D33655" w14:textId="77777777" w:rsidR="00E040FD" w:rsidRDefault="00740D64">
            <w:pPr>
              <w:pStyle w:val="P68B1DB1-Normal23"/>
              <w:spacing w:after="0"/>
              <w:jc w:val="both"/>
              <w:rPr>
                <w:rFonts w:eastAsia="Calibri" w:cs="Calibri"/>
                <w:noProof/>
              </w:rPr>
            </w:pPr>
            <w:r>
              <w:rPr>
                <w:noProof/>
              </w:rPr>
              <w:t>Ökning av antalet platser för integrerad fortsatt vård i Madeiras regionala hälso- och sjukvård</w:t>
            </w:r>
          </w:p>
        </w:tc>
      </w:tr>
      <w:tr w:rsidR="00E040FD" w14:paraId="307E282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tcPr>
          <w:p w14:paraId="16A417E4" w14:textId="77777777" w:rsidR="00E040FD" w:rsidRDefault="00740D64">
            <w:pPr>
              <w:pStyle w:val="P68B1DB1-Normal23"/>
              <w:spacing w:after="0"/>
              <w:jc w:val="center"/>
              <w:rPr>
                <w:rFonts w:eastAsia="Calibri" w:cs="Calibri"/>
                <w:noProof/>
              </w:rPr>
            </w:pPr>
            <w:r>
              <w:rPr>
                <w:noProof/>
              </w:rPr>
              <w:t>1.30</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3035503C" w14:textId="77777777" w:rsidR="00E040FD" w:rsidRDefault="00740D64">
            <w:pPr>
              <w:pStyle w:val="P68B1DB1-Normal8"/>
              <w:spacing w:after="0"/>
              <w:jc w:val="center"/>
              <w:rPr>
                <w:rFonts w:eastAsia="Calibri" w:cs="Calibri"/>
                <w:noProof/>
                <w:sz w:val="18"/>
              </w:rPr>
            </w:pPr>
            <w:r>
              <w:rPr>
                <w:noProof/>
              </w:rPr>
              <w:t>RE-C01-i05-RAM</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0853CF70" w14:textId="77777777" w:rsidR="00E040FD" w:rsidRDefault="00740D6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1249B3A9" w14:textId="77777777" w:rsidR="00E040FD" w:rsidRDefault="00740D64">
            <w:pPr>
              <w:pStyle w:val="P68B1DB1-Normal8"/>
              <w:spacing w:after="0"/>
              <w:jc w:val="both"/>
              <w:rPr>
                <w:rFonts w:eastAsia="Calibri" w:cs="Calibri"/>
                <w:noProof/>
                <w:sz w:val="18"/>
              </w:rPr>
            </w:pPr>
            <w:r>
              <w:rPr>
                <w:noProof/>
              </w:rPr>
              <w:t>Ökning av antalet platser för integrerad fortsatt vård i Madeiras regionala hälso- och sjukvård</w:t>
            </w:r>
          </w:p>
        </w:tc>
      </w:tr>
      <w:tr w:rsidR="00E040FD" w14:paraId="25064C9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2D7E84A" w14:textId="77777777" w:rsidR="00E040FD" w:rsidRDefault="00740D64">
            <w:pPr>
              <w:pStyle w:val="P68B1DB1-Normal23"/>
              <w:spacing w:after="0"/>
              <w:jc w:val="center"/>
              <w:rPr>
                <w:rFonts w:eastAsia="Calibri" w:cs="Calibri"/>
                <w:noProof/>
              </w:rPr>
            </w:pPr>
            <w:r>
              <w:rPr>
                <w:noProof/>
              </w:rPr>
              <w:t>1.36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FF74396" w14:textId="77777777" w:rsidR="00E040FD" w:rsidRDefault="00740D64">
            <w:pPr>
              <w:pStyle w:val="P68B1DB1-Normal23"/>
              <w:spacing w:after="0"/>
              <w:jc w:val="center"/>
              <w:rPr>
                <w:rFonts w:eastAsia="Calibri" w:cs="Calibri"/>
                <w:noProof/>
              </w:rPr>
            </w:pPr>
            <w:r>
              <w:rPr>
                <w:noProof/>
              </w:rPr>
              <w:t>RE-C01-i08-RAA</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BE8B021" w14:textId="77777777" w:rsidR="00E040FD" w:rsidRDefault="00740D6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8B9A547" w14:textId="77777777" w:rsidR="00E040FD" w:rsidRDefault="00740D64">
            <w:pPr>
              <w:pStyle w:val="P68B1DB1-Normal23"/>
              <w:spacing w:after="0"/>
              <w:jc w:val="both"/>
              <w:rPr>
                <w:rFonts w:eastAsia="Calibri" w:cs="Calibri"/>
                <w:noProof/>
              </w:rPr>
            </w:pPr>
            <w:r>
              <w:rPr>
                <w:noProof/>
              </w:rPr>
              <w:t>Ökad tillgång till användarportalen för Azorernas regionala hälso- och sjukvård</w:t>
            </w:r>
          </w:p>
        </w:tc>
      </w:tr>
      <w:tr w:rsidR="00E040FD" w14:paraId="3A971B5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B6093C" w14:textId="77777777" w:rsidR="00E040FD" w:rsidRDefault="00740D64">
            <w:pPr>
              <w:pStyle w:val="P68B1DB1-Normal23"/>
              <w:spacing w:after="0"/>
              <w:jc w:val="center"/>
              <w:rPr>
                <w:rFonts w:eastAsia="Calibri" w:cs="Calibri"/>
                <w:noProof/>
              </w:rPr>
            </w:pPr>
            <w:r>
              <w:rPr>
                <w:noProof/>
              </w:rPr>
              <w:t>1.38</w:t>
            </w:r>
          </w:p>
        </w:tc>
        <w:tc>
          <w:tcPr>
            <w:tcW w:w="1760" w:type="dxa"/>
            <w:tcBorders>
              <w:top w:val="nil"/>
              <w:left w:val="nil"/>
              <w:bottom w:val="single" w:sz="4" w:space="0" w:color="auto"/>
              <w:right w:val="single" w:sz="4" w:space="0" w:color="auto"/>
            </w:tcBorders>
            <w:shd w:val="clear" w:color="auto" w:fill="C4EFCE"/>
            <w:vAlign w:val="center"/>
            <w:hideMark/>
          </w:tcPr>
          <w:p w14:paraId="4B8D39B5" w14:textId="77777777" w:rsidR="00E040FD" w:rsidRDefault="00740D64">
            <w:pPr>
              <w:pStyle w:val="P68B1DB1-Normal23"/>
              <w:spacing w:after="0"/>
              <w:jc w:val="center"/>
              <w:rPr>
                <w:rFonts w:eastAsia="Calibri" w:cs="Calibri"/>
                <w:noProof/>
              </w:rPr>
            </w:pPr>
            <w:r>
              <w:rPr>
                <w:noProof/>
              </w:rPr>
              <w:t>RE-C01-i09</w:t>
            </w:r>
          </w:p>
        </w:tc>
        <w:tc>
          <w:tcPr>
            <w:tcW w:w="1520" w:type="dxa"/>
            <w:tcBorders>
              <w:top w:val="nil"/>
              <w:left w:val="nil"/>
              <w:bottom w:val="single" w:sz="4" w:space="0" w:color="auto"/>
              <w:right w:val="single" w:sz="4" w:space="0" w:color="auto"/>
            </w:tcBorders>
            <w:shd w:val="clear" w:color="auto" w:fill="C4EFCE"/>
            <w:vAlign w:val="center"/>
            <w:hideMark/>
          </w:tcPr>
          <w:p w14:paraId="03EBB8C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51CBD4E" w14:textId="77777777" w:rsidR="00E040FD" w:rsidRDefault="00740D64">
            <w:pPr>
              <w:pStyle w:val="P68B1DB1-Normal23"/>
              <w:spacing w:after="0"/>
              <w:jc w:val="both"/>
              <w:rPr>
                <w:rFonts w:eastAsia="Calibri" w:cs="Calibri"/>
                <w:noProof/>
              </w:rPr>
            </w:pPr>
            <w:r>
              <w:rPr>
                <w:noProof/>
              </w:rPr>
              <w:t>Slutförande av genomförandet i skolorna av programmen ”School Sports Community” och ”Sports on Wheels”</w:t>
            </w:r>
          </w:p>
        </w:tc>
      </w:tr>
      <w:tr w:rsidR="00E040FD" w14:paraId="6B7A456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010025" w14:textId="77777777" w:rsidR="00E040FD" w:rsidRDefault="00740D64">
            <w:pPr>
              <w:pStyle w:val="P68B1DB1-Normal23"/>
              <w:spacing w:after="0"/>
              <w:jc w:val="center"/>
              <w:rPr>
                <w:rFonts w:eastAsia="Calibri" w:cs="Calibri"/>
                <w:noProof/>
              </w:rPr>
            </w:pPr>
            <w:r>
              <w:rPr>
                <w:noProof/>
              </w:rPr>
              <w:t>1.39</w:t>
            </w:r>
          </w:p>
        </w:tc>
        <w:tc>
          <w:tcPr>
            <w:tcW w:w="1760" w:type="dxa"/>
            <w:tcBorders>
              <w:top w:val="nil"/>
              <w:left w:val="nil"/>
              <w:bottom w:val="single" w:sz="4" w:space="0" w:color="auto"/>
              <w:right w:val="single" w:sz="4" w:space="0" w:color="auto"/>
            </w:tcBorders>
            <w:shd w:val="clear" w:color="auto" w:fill="C4EFCE"/>
            <w:vAlign w:val="center"/>
            <w:hideMark/>
          </w:tcPr>
          <w:p w14:paraId="0B6F6AFA" w14:textId="77777777" w:rsidR="00E040FD" w:rsidRDefault="00740D64">
            <w:pPr>
              <w:pStyle w:val="P68B1DB1-Normal23"/>
              <w:spacing w:after="0"/>
              <w:jc w:val="center"/>
              <w:rPr>
                <w:rFonts w:eastAsia="Calibri" w:cs="Calibri"/>
                <w:noProof/>
              </w:rPr>
            </w:pPr>
            <w:r>
              <w:rPr>
                <w:noProof/>
              </w:rPr>
              <w:t>RE-C01-i09</w:t>
            </w:r>
          </w:p>
        </w:tc>
        <w:tc>
          <w:tcPr>
            <w:tcW w:w="1520" w:type="dxa"/>
            <w:tcBorders>
              <w:top w:val="nil"/>
              <w:left w:val="nil"/>
              <w:bottom w:val="single" w:sz="4" w:space="0" w:color="auto"/>
              <w:right w:val="single" w:sz="4" w:space="0" w:color="auto"/>
            </w:tcBorders>
            <w:shd w:val="clear" w:color="auto" w:fill="C4EFCE"/>
            <w:vAlign w:val="center"/>
            <w:hideMark/>
          </w:tcPr>
          <w:p w14:paraId="4C67C300"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3B0AA18" w14:textId="77777777" w:rsidR="00E040FD" w:rsidRDefault="00740D64">
            <w:pPr>
              <w:pStyle w:val="P68B1DB1-Normal23"/>
              <w:spacing w:after="0"/>
              <w:jc w:val="both"/>
              <w:rPr>
                <w:rFonts w:eastAsia="Calibri" w:cs="Calibri"/>
                <w:noProof/>
              </w:rPr>
            </w:pPr>
            <w:r>
              <w:rPr>
                <w:noProof/>
              </w:rPr>
              <w:t>Lansering av den nationella kampanjen för Universal Active Life Support System och den tillhörande tekniska plattformen</w:t>
            </w:r>
          </w:p>
        </w:tc>
      </w:tr>
      <w:tr w:rsidR="00E040FD" w14:paraId="4976BF8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CC5E686" w14:textId="77777777" w:rsidR="00E040FD" w:rsidRDefault="00740D64">
            <w:pPr>
              <w:pStyle w:val="P68B1DB1-Normal23"/>
              <w:spacing w:after="0"/>
              <w:jc w:val="center"/>
              <w:rPr>
                <w:rFonts w:eastAsia="Calibri" w:cs="Calibri"/>
                <w:noProof/>
              </w:rPr>
            </w:pPr>
            <w:r>
              <w:rPr>
                <w:noProof/>
              </w:rPr>
              <w:t>2.17</w:t>
            </w:r>
          </w:p>
        </w:tc>
        <w:tc>
          <w:tcPr>
            <w:tcW w:w="1760" w:type="dxa"/>
            <w:tcBorders>
              <w:top w:val="nil"/>
              <w:left w:val="nil"/>
              <w:bottom w:val="single" w:sz="4" w:space="0" w:color="auto"/>
              <w:right w:val="single" w:sz="4" w:space="0" w:color="auto"/>
            </w:tcBorders>
            <w:shd w:val="clear" w:color="auto" w:fill="C4EFCE"/>
            <w:vAlign w:val="center"/>
            <w:hideMark/>
          </w:tcPr>
          <w:p w14:paraId="5F2975A0" w14:textId="77777777" w:rsidR="00E040FD" w:rsidRDefault="00740D64">
            <w:pPr>
              <w:pStyle w:val="P68B1DB1-Normal23"/>
              <w:spacing w:after="0"/>
              <w:jc w:val="center"/>
              <w:rPr>
                <w:rFonts w:eastAsia="Calibri" w:cs="Calibri"/>
                <w:noProof/>
              </w:rPr>
            </w:pPr>
            <w:r>
              <w:rPr>
                <w:noProof/>
              </w:rPr>
              <w:t>RE-C02-i04-RAA</w:t>
            </w:r>
          </w:p>
        </w:tc>
        <w:tc>
          <w:tcPr>
            <w:tcW w:w="1520" w:type="dxa"/>
            <w:tcBorders>
              <w:top w:val="nil"/>
              <w:left w:val="nil"/>
              <w:bottom w:val="single" w:sz="4" w:space="0" w:color="auto"/>
              <w:right w:val="single" w:sz="4" w:space="0" w:color="auto"/>
            </w:tcBorders>
            <w:shd w:val="clear" w:color="auto" w:fill="C4EFCE"/>
            <w:vAlign w:val="center"/>
            <w:hideMark/>
          </w:tcPr>
          <w:p w14:paraId="549257E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D42745D" w14:textId="77777777" w:rsidR="00E040FD" w:rsidRDefault="00740D64">
            <w:pPr>
              <w:pStyle w:val="P68B1DB1-Normal23"/>
              <w:spacing w:after="0"/>
              <w:jc w:val="both"/>
              <w:rPr>
                <w:rFonts w:eastAsia="Calibri" w:cs="Calibri"/>
                <w:noProof/>
              </w:rPr>
            </w:pPr>
            <w:r>
              <w:rPr>
                <w:noProof/>
              </w:rPr>
              <w:t>Insatser i det offentliga bostadsbeståndet i den autonoma regionen Azorerna – byggande av byggnader</w:t>
            </w:r>
          </w:p>
        </w:tc>
      </w:tr>
      <w:tr w:rsidR="00E040FD" w14:paraId="48998A7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B9F1454" w14:textId="77777777" w:rsidR="00E040FD" w:rsidRDefault="00740D64">
            <w:pPr>
              <w:pStyle w:val="P68B1DB1-Normal23"/>
              <w:spacing w:after="0"/>
              <w:jc w:val="center"/>
              <w:rPr>
                <w:rFonts w:eastAsia="Calibri" w:cs="Calibri"/>
                <w:noProof/>
              </w:rPr>
            </w:pPr>
            <w:r>
              <w:rPr>
                <w:noProof/>
              </w:rPr>
              <w:t>2.18</w:t>
            </w:r>
          </w:p>
        </w:tc>
        <w:tc>
          <w:tcPr>
            <w:tcW w:w="1760" w:type="dxa"/>
            <w:tcBorders>
              <w:top w:val="nil"/>
              <w:left w:val="nil"/>
              <w:bottom w:val="single" w:sz="4" w:space="0" w:color="auto"/>
              <w:right w:val="single" w:sz="4" w:space="0" w:color="auto"/>
            </w:tcBorders>
            <w:shd w:val="clear" w:color="auto" w:fill="C4EFCE"/>
            <w:vAlign w:val="center"/>
            <w:hideMark/>
          </w:tcPr>
          <w:p w14:paraId="50DBDCBE" w14:textId="77777777" w:rsidR="00E040FD" w:rsidRDefault="00740D64">
            <w:pPr>
              <w:pStyle w:val="P68B1DB1-Normal23"/>
              <w:spacing w:after="0"/>
              <w:jc w:val="center"/>
              <w:rPr>
                <w:rFonts w:eastAsia="Calibri" w:cs="Calibri"/>
                <w:noProof/>
              </w:rPr>
            </w:pPr>
            <w:r>
              <w:rPr>
                <w:noProof/>
              </w:rPr>
              <w:t>RE-C02-i04-RAA</w:t>
            </w:r>
          </w:p>
        </w:tc>
        <w:tc>
          <w:tcPr>
            <w:tcW w:w="1520" w:type="dxa"/>
            <w:tcBorders>
              <w:top w:val="nil"/>
              <w:left w:val="nil"/>
              <w:bottom w:val="single" w:sz="4" w:space="0" w:color="auto"/>
              <w:right w:val="single" w:sz="4" w:space="0" w:color="auto"/>
            </w:tcBorders>
            <w:shd w:val="clear" w:color="auto" w:fill="C4EFCE"/>
            <w:vAlign w:val="center"/>
            <w:hideMark/>
          </w:tcPr>
          <w:p w14:paraId="1DB0332D"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A80A23" w14:textId="77777777" w:rsidR="00E040FD" w:rsidRDefault="00740D64">
            <w:pPr>
              <w:pStyle w:val="P68B1DB1-Normal23"/>
              <w:spacing w:after="0"/>
              <w:jc w:val="both"/>
              <w:rPr>
                <w:rFonts w:eastAsia="Calibri" w:cs="Calibri"/>
                <w:noProof/>
              </w:rPr>
            </w:pPr>
            <w:r>
              <w:rPr>
                <w:noProof/>
              </w:rPr>
              <w:t>Insatser i det offentliga bostadsbeståndet i den autonoma regionen Azorerna – renovering</w:t>
            </w:r>
          </w:p>
        </w:tc>
      </w:tr>
      <w:tr w:rsidR="00E040FD" w14:paraId="42BE288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613E49" w14:textId="77777777" w:rsidR="00E040FD" w:rsidRDefault="00740D64">
            <w:pPr>
              <w:pStyle w:val="P68B1DB1-Normal23"/>
              <w:spacing w:after="0"/>
              <w:jc w:val="center"/>
              <w:rPr>
                <w:rFonts w:eastAsia="Calibri" w:cs="Calibri"/>
                <w:noProof/>
              </w:rPr>
            </w:pPr>
            <w:r>
              <w:rPr>
                <w:noProof/>
              </w:rPr>
              <w:t>2.31</w:t>
            </w:r>
          </w:p>
        </w:tc>
        <w:tc>
          <w:tcPr>
            <w:tcW w:w="1760" w:type="dxa"/>
            <w:tcBorders>
              <w:top w:val="nil"/>
              <w:left w:val="nil"/>
              <w:bottom w:val="single" w:sz="4" w:space="0" w:color="auto"/>
              <w:right w:val="single" w:sz="4" w:space="0" w:color="auto"/>
            </w:tcBorders>
            <w:shd w:val="clear" w:color="auto" w:fill="C4EFCE"/>
            <w:vAlign w:val="center"/>
            <w:hideMark/>
          </w:tcPr>
          <w:p w14:paraId="3E9F4E90" w14:textId="77777777" w:rsidR="00E040FD" w:rsidRDefault="00740D64">
            <w:pPr>
              <w:pStyle w:val="P68B1DB1-Normal23"/>
              <w:spacing w:after="0"/>
              <w:jc w:val="center"/>
              <w:rPr>
                <w:rFonts w:eastAsia="Calibri" w:cs="Calibri"/>
                <w:noProof/>
              </w:rPr>
            </w:pPr>
            <w:r>
              <w:rPr>
                <w:noProof/>
              </w:rPr>
              <w:t>RE-C02-i08-RAA</w:t>
            </w:r>
          </w:p>
        </w:tc>
        <w:tc>
          <w:tcPr>
            <w:tcW w:w="1520" w:type="dxa"/>
            <w:tcBorders>
              <w:top w:val="nil"/>
              <w:left w:val="nil"/>
              <w:bottom w:val="single" w:sz="4" w:space="0" w:color="auto"/>
              <w:right w:val="single" w:sz="4" w:space="0" w:color="auto"/>
            </w:tcBorders>
            <w:shd w:val="clear" w:color="auto" w:fill="C4EFCE"/>
            <w:vAlign w:val="center"/>
            <w:hideMark/>
          </w:tcPr>
          <w:p w14:paraId="0095AE3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948A3BC" w14:textId="77777777" w:rsidR="00E040FD" w:rsidRDefault="00740D64">
            <w:pPr>
              <w:pStyle w:val="P68B1DB1-Normal23"/>
              <w:spacing w:after="0"/>
              <w:jc w:val="both"/>
              <w:rPr>
                <w:rFonts w:eastAsia="Calibri" w:cs="Calibri"/>
                <w:noProof/>
              </w:rPr>
            </w:pPr>
            <w:r>
              <w:rPr>
                <w:noProof/>
              </w:rPr>
              <w:t>Förstärkning av beståndet av subventionerade bostäder i den autonoma regionen Azorerna – bostäder uppförda</w:t>
            </w:r>
          </w:p>
        </w:tc>
      </w:tr>
      <w:tr w:rsidR="00E040FD" w14:paraId="4267AE6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425C875" w14:textId="77777777" w:rsidR="00E040FD" w:rsidRDefault="00740D64">
            <w:pPr>
              <w:pStyle w:val="P68B1DB1-Normal23"/>
              <w:spacing w:after="0"/>
              <w:jc w:val="center"/>
              <w:rPr>
                <w:rFonts w:eastAsia="Calibri" w:cs="Calibri"/>
                <w:noProof/>
              </w:rPr>
            </w:pPr>
            <w:r>
              <w:rPr>
                <w:noProof/>
              </w:rPr>
              <w:t>3.7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887E09D" w14:textId="77777777" w:rsidR="00E040FD" w:rsidRDefault="00740D64">
            <w:pPr>
              <w:pStyle w:val="P68B1DB1-Normal23"/>
              <w:spacing w:after="0"/>
              <w:jc w:val="center"/>
              <w:rPr>
                <w:rFonts w:eastAsia="Calibri" w:cs="Calibri"/>
                <w:noProof/>
              </w:rPr>
            </w:pPr>
            <w:r>
              <w:rPr>
                <w:noProof/>
              </w:rPr>
              <w:t>RE-C03-i02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FC08BAC"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8BB3EDD" w14:textId="77777777" w:rsidR="00E040FD" w:rsidRDefault="00740D64">
            <w:pPr>
              <w:pStyle w:val="P68B1DB1-Normal23"/>
              <w:spacing w:after="0"/>
              <w:jc w:val="both"/>
              <w:rPr>
                <w:rFonts w:eastAsia="Calibri" w:cs="Calibri"/>
                <w:noProof/>
              </w:rPr>
            </w:pPr>
            <w:r>
              <w:rPr>
                <w:noProof/>
              </w:rPr>
              <w:t>Bostäder med förbättrad tillgänglighet för personer med nedsatt rörlighet</w:t>
            </w:r>
          </w:p>
        </w:tc>
      </w:tr>
      <w:tr w:rsidR="00E040FD" w14:paraId="596C5FB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E999017" w14:textId="77777777" w:rsidR="00E040FD" w:rsidRDefault="00740D64">
            <w:pPr>
              <w:pStyle w:val="P68B1DB1-Normal23"/>
              <w:spacing w:after="0"/>
              <w:jc w:val="center"/>
              <w:rPr>
                <w:rFonts w:eastAsia="Calibri" w:cs="Calibri"/>
                <w:noProof/>
              </w:rPr>
            </w:pPr>
            <w:r>
              <w:rPr>
                <w:noProof/>
              </w:rPr>
              <w:t>3.8</w:t>
            </w:r>
          </w:p>
        </w:tc>
        <w:tc>
          <w:tcPr>
            <w:tcW w:w="1760" w:type="dxa"/>
            <w:tcBorders>
              <w:top w:val="nil"/>
              <w:left w:val="nil"/>
              <w:bottom w:val="single" w:sz="4" w:space="0" w:color="auto"/>
              <w:right w:val="single" w:sz="4" w:space="0" w:color="auto"/>
            </w:tcBorders>
            <w:shd w:val="clear" w:color="auto" w:fill="C4EFCE"/>
            <w:vAlign w:val="center"/>
            <w:hideMark/>
          </w:tcPr>
          <w:p w14:paraId="04397576" w14:textId="77777777" w:rsidR="00E040FD" w:rsidRDefault="00740D64">
            <w:pPr>
              <w:pStyle w:val="P68B1DB1-Normal23"/>
              <w:spacing w:after="0"/>
              <w:jc w:val="center"/>
              <w:rPr>
                <w:rFonts w:eastAsia="Calibri" w:cs="Calibri"/>
                <w:noProof/>
              </w:rPr>
            </w:pPr>
            <w:r>
              <w:rPr>
                <w:noProof/>
              </w:rPr>
              <w:t>RE-C03-i02</w:t>
            </w:r>
          </w:p>
        </w:tc>
        <w:tc>
          <w:tcPr>
            <w:tcW w:w="1520" w:type="dxa"/>
            <w:tcBorders>
              <w:top w:val="nil"/>
              <w:left w:val="nil"/>
              <w:bottom w:val="single" w:sz="4" w:space="0" w:color="auto"/>
              <w:right w:val="single" w:sz="4" w:space="0" w:color="auto"/>
            </w:tcBorders>
            <w:shd w:val="clear" w:color="auto" w:fill="C4EFCE"/>
            <w:vAlign w:val="center"/>
            <w:hideMark/>
          </w:tcPr>
          <w:p w14:paraId="2B5BDEB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E7B40A8" w14:textId="77777777" w:rsidR="00E040FD" w:rsidRDefault="00740D64">
            <w:pPr>
              <w:pStyle w:val="P68B1DB1-Normal23"/>
              <w:spacing w:after="0"/>
              <w:jc w:val="both"/>
              <w:rPr>
                <w:rFonts w:eastAsia="Calibri" w:cs="Calibri"/>
                <w:noProof/>
              </w:rPr>
            </w:pPr>
            <w:r>
              <w:rPr>
                <w:noProof/>
              </w:rPr>
              <w:t>Offentliga platser med förbättrad tillgänglighet för personer med nedsatt rörlighet</w:t>
            </w:r>
          </w:p>
        </w:tc>
      </w:tr>
      <w:tr w:rsidR="00E040FD" w14:paraId="6076F1C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A1FFD3" w14:textId="77777777" w:rsidR="00E040FD" w:rsidRDefault="00740D64">
            <w:pPr>
              <w:pStyle w:val="P68B1DB1-Normal23"/>
              <w:spacing w:after="0"/>
              <w:jc w:val="center"/>
              <w:rPr>
                <w:rFonts w:eastAsia="Calibri" w:cs="Calibri"/>
                <w:noProof/>
              </w:rPr>
            </w:pPr>
            <w:r>
              <w:rPr>
                <w:noProof/>
              </w:rPr>
              <w:t>3.9</w:t>
            </w:r>
          </w:p>
        </w:tc>
        <w:tc>
          <w:tcPr>
            <w:tcW w:w="1760" w:type="dxa"/>
            <w:tcBorders>
              <w:top w:val="nil"/>
              <w:left w:val="nil"/>
              <w:bottom w:val="single" w:sz="4" w:space="0" w:color="auto"/>
              <w:right w:val="single" w:sz="4" w:space="0" w:color="auto"/>
            </w:tcBorders>
            <w:shd w:val="clear" w:color="auto" w:fill="C4EFCE"/>
            <w:vAlign w:val="center"/>
            <w:hideMark/>
          </w:tcPr>
          <w:p w14:paraId="3AE00889" w14:textId="77777777" w:rsidR="00E040FD" w:rsidRDefault="00740D64">
            <w:pPr>
              <w:pStyle w:val="P68B1DB1-Normal23"/>
              <w:spacing w:after="0"/>
              <w:jc w:val="center"/>
              <w:rPr>
                <w:rFonts w:eastAsia="Calibri" w:cs="Calibri"/>
                <w:noProof/>
              </w:rPr>
            </w:pPr>
            <w:r>
              <w:rPr>
                <w:noProof/>
              </w:rPr>
              <w:t>RE-C03-i02</w:t>
            </w:r>
          </w:p>
        </w:tc>
        <w:tc>
          <w:tcPr>
            <w:tcW w:w="1520" w:type="dxa"/>
            <w:tcBorders>
              <w:top w:val="nil"/>
              <w:left w:val="nil"/>
              <w:bottom w:val="single" w:sz="4" w:space="0" w:color="auto"/>
              <w:right w:val="single" w:sz="4" w:space="0" w:color="auto"/>
            </w:tcBorders>
            <w:shd w:val="clear" w:color="auto" w:fill="C4EFCE"/>
            <w:vAlign w:val="center"/>
            <w:hideMark/>
          </w:tcPr>
          <w:p w14:paraId="3FB4432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1818278" w14:textId="77777777" w:rsidR="00E040FD" w:rsidRDefault="00740D64">
            <w:pPr>
              <w:pStyle w:val="P68B1DB1-Normal23"/>
              <w:spacing w:after="0"/>
              <w:jc w:val="both"/>
              <w:rPr>
                <w:rFonts w:eastAsia="Calibri" w:cs="Calibri"/>
                <w:noProof/>
              </w:rPr>
            </w:pPr>
            <w:r>
              <w:rPr>
                <w:noProof/>
              </w:rPr>
              <w:t>Offentliga tjänster med förbättrad tillgänglighet för personer med begränsad rörlighet</w:t>
            </w:r>
          </w:p>
        </w:tc>
      </w:tr>
      <w:tr w:rsidR="00E040FD" w14:paraId="41C932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E259A36" w14:textId="77777777" w:rsidR="00E040FD" w:rsidRDefault="00740D64">
            <w:pPr>
              <w:pStyle w:val="P68B1DB1-Normal23"/>
              <w:spacing w:after="0"/>
              <w:jc w:val="center"/>
              <w:rPr>
                <w:rFonts w:eastAsia="Calibri" w:cs="Calibri"/>
                <w:noProof/>
              </w:rPr>
            </w:pPr>
            <w:r>
              <w:rPr>
                <w:noProof/>
              </w:rPr>
              <w:t>3.10</w:t>
            </w:r>
          </w:p>
        </w:tc>
        <w:tc>
          <w:tcPr>
            <w:tcW w:w="1760" w:type="dxa"/>
            <w:tcBorders>
              <w:top w:val="nil"/>
              <w:left w:val="nil"/>
              <w:bottom w:val="single" w:sz="4" w:space="0" w:color="auto"/>
              <w:right w:val="single" w:sz="4" w:space="0" w:color="auto"/>
            </w:tcBorders>
            <w:shd w:val="clear" w:color="auto" w:fill="C4EFCE"/>
            <w:vAlign w:val="center"/>
            <w:hideMark/>
          </w:tcPr>
          <w:p w14:paraId="1399DCCA" w14:textId="77777777" w:rsidR="00E040FD" w:rsidRDefault="00740D64">
            <w:pPr>
              <w:pStyle w:val="P68B1DB1-Normal23"/>
              <w:spacing w:after="0"/>
              <w:jc w:val="center"/>
              <w:rPr>
                <w:rFonts w:eastAsia="Calibri" w:cs="Calibri"/>
                <w:noProof/>
              </w:rPr>
            </w:pPr>
            <w:r>
              <w:rPr>
                <w:noProof/>
              </w:rPr>
              <w:t>RE-C03-i03-RAM</w:t>
            </w:r>
          </w:p>
        </w:tc>
        <w:tc>
          <w:tcPr>
            <w:tcW w:w="1520" w:type="dxa"/>
            <w:tcBorders>
              <w:top w:val="nil"/>
              <w:left w:val="nil"/>
              <w:bottom w:val="single" w:sz="4" w:space="0" w:color="auto"/>
              <w:right w:val="single" w:sz="4" w:space="0" w:color="auto"/>
            </w:tcBorders>
            <w:shd w:val="clear" w:color="auto" w:fill="C4EFCE"/>
            <w:vAlign w:val="center"/>
            <w:hideMark/>
          </w:tcPr>
          <w:p w14:paraId="10B7FCB0"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D65B477" w14:textId="77777777" w:rsidR="00E040FD" w:rsidRDefault="00740D64">
            <w:pPr>
              <w:pStyle w:val="P68B1DB1-Normal23"/>
              <w:spacing w:after="0"/>
              <w:jc w:val="both"/>
              <w:rPr>
                <w:rFonts w:eastAsia="Calibri" w:cs="Calibri"/>
                <w:noProof/>
              </w:rPr>
            </w:pPr>
            <w:r>
              <w:rPr>
                <w:noProof/>
              </w:rPr>
              <w:t xml:space="preserve">Nya och rehabiliterade platser i boendehem och andra vårdhem </w:t>
            </w:r>
          </w:p>
        </w:tc>
      </w:tr>
      <w:tr w:rsidR="00E040FD" w14:paraId="66BF7C5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EB03473" w14:textId="77777777" w:rsidR="00E040FD" w:rsidRDefault="00740D64">
            <w:pPr>
              <w:pStyle w:val="P68B1DB1-Normal23"/>
              <w:spacing w:after="0"/>
              <w:jc w:val="center"/>
              <w:rPr>
                <w:rFonts w:eastAsia="Calibri" w:cs="Calibri"/>
                <w:noProof/>
              </w:rPr>
            </w:pPr>
            <w:r>
              <w:rPr>
                <w:noProof/>
              </w:rPr>
              <w:t>3.12</w:t>
            </w:r>
          </w:p>
        </w:tc>
        <w:tc>
          <w:tcPr>
            <w:tcW w:w="1760" w:type="dxa"/>
            <w:tcBorders>
              <w:top w:val="nil"/>
              <w:left w:val="nil"/>
              <w:bottom w:val="single" w:sz="4" w:space="0" w:color="auto"/>
              <w:right w:val="single" w:sz="4" w:space="0" w:color="auto"/>
            </w:tcBorders>
            <w:shd w:val="clear" w:color="auto" w:fill="C4EFCE"/>
            <w:vAlign w:val="center"/>
            <w:hideMark/>
          </w:tcPr>
          <w:p w14:paraId="28D91185" w14:textId="77777777" w:rsidR="00E040FD" w:rsidRDefault="00740D64">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2A81EAD1"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1A230D" w14:textId="77777777" w:rsidR="00E040FD" w:rsidRDefault="00740D64">
            <w:pPr>
              <w:pStyle w:val="P68B1DB1-Normal23"/>
              <w:spacing w:after="0"/>
              <w:jc w:val="both"/>
              <w:rPr>
                <w:rFonts w:eastAsia="Calibri" w:cs="Calibri"/>
                <w:noProof/>
              </w:rPr>
            </w:pPr>
            <w:r>
              <w:rPr>
                <w:noProof/>
              </w:rPr>
              <w:t>Utbildning av personer från familjer som omfattas av social integrationsinkomst</w:t>
            </w:r>
          </w:p>
        </w:tc>
      </w:tr>
      <w:tr w:rsidR="00E040FD" w14:paraId="76CD6A4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B130966" w14:textId="77777777" w:rsidR="00E040FD" w:rsidRDefault="00740D64">
            <w:pPr>
              <w:pStyle w:val="P68B1DB1-Normal23"/>
              <w:spacing w:after="0"/>
              <w:jc w:val="center"/>
              <w:rPr>
                <w:rFonts w:eastAsia="Calibri" w:cs="Calibri"/>
                <w:noProof/>
              </w:rPr>
            </w:pPr>
            <w:r>
              <w:rPr>
                <w:noProof/>
              </w:rPr>
              <w:t>3.14</w:t>
            </w:r>
          </w:p>
        </w:tc>
        <w:tc>
          <w:tcPr>
            <w:tcW w:w="1760" w:type="dxa"/>
            <w:tcBorders>
              <w:top w:val="nil"/>
              <w:left w:val="nil"/>
              <w:bottom w:val="single" w:sz="4" w:space="0" w:color="auto"/>
              <w:right w:val="single" w:sz="4" w:space="0" w:color="auto"/>
            </w:tcBorders>
            <w:shd w:val="clear" w:color="auto" w:fill="C4EFCE"/>
            <w:vAlign w:val="center"/>
            <w:hideMark/>
          </w:tcPr>
          <w:p w14:paraId="045C7370" w14:textId="77777777" w:rsidR="00E040FD" w:rsidRDefault="00740D64">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9C539F2"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E4CE3D6" w14:textId="77777777" w:rsidR="00E040FD" w:rsidRDefault="00740D64">
            <w:pPr>
              <w:pStyle w:val="P68B1DB1-Normal23"/>
              <w:spacing w:after="0"/>
              <w:jc w:val="both"/>
              <w:rPr>
                <w:rFonts w:eastAsia="Calibri" w:cs="Calibri"/>
                <w:noProof/>
              </w:rPr>
            </w:pPr>
            <w:r>
              <w:rPr>
                <w:noProof/>
              </w:rPr>
              <w:t>Fordon som köpts in för Instituições Particulares de Solidariedade Social</w:t>
            </w:r>
          </w:p>
        </w:tc>
      </w:tr>
      <w:tr w:rsidR="00E040FD" w14:paraId="289CE0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73D27B" w14:textId="77777777" w:rsidR="00E040FD" w:rsidRDefault="00740D64">
            <w:pPr>
              <w:pStyle w:val="P68B1DB1-Normal23"/>
              <w:spacing w:after="0"/>
              <w:jc w:val="center"/>
              <w:rPr>
                <w:rFonts w:eastAsia="Calibri" w:cs="Calibri"/>
                <w:noProof/>
              </w:rPr>
            </w:pPr>
            <w:r>
              <w:rPr>
                <w:noProof/>
              </w:rPr>
              <w:t>3.15</w:t>
            </w:r>
          </w:p>
        </w:tc>
        <w:tc>
          <w:tcPr>
            <w:tcW w:w="1760" w:type="dxa"/>
            <w:tcBorders>
              <w:top w:val="nil"/>
              <w:left w:val="nil"/>
              <w:bottom w:val="single" w:sz="4" w:space="0" w:color="auto"/>
              <w:right w:val="single" w:sz="4" w:space="0" w:color="auto"/>
            </w:tcBorders>
            <w:shd w:val="clear" w:color="auto" w:fill="C4EFCE"/>
            <w:vAlign w:val="center"/>
            <w:hideMark/>
          </w:tcPr>
          <w:p w14:paraId="135E8FAE" w14:textId="77777777" w:rsidR="00E040FD" w:rsidRDefault="00740D64">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2DBAB54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EC8CE3D" w14:textId="77777777" w:rsidR="00E040FD" w:rsidRDefault="00740D64">
            <w:pPr>
              <w:pStyle w:val="P68B1DB1-Normal23"/>
              <w:spacing w:after="0"/>
              <w:jc w:val="both"/>
              <w:rPr>
                <w:rFonts w:eastAsia="Calibri" w:cs="Calibri"/>
                <w:noProof/>
              </w:rPr>
            </w:pPr>
            <w:r>
              <w:rPr>
                <w:noProof/>
              </w:rPr>
              <w:t>Projekt för åldrande på plats</w:t>
            </w:r>
          </w:p>
        </w:tc>
      </w:tr>
      <w:tr w:rsidR="00E040FD" w14:paraId="02338D1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5DE03A" w14:textId="77777777" w:rsidR="00E040FD" w:rsidRDefault="00740D64">
            <w:pPr>
              <w:pStyle w:val="P68B1DB1-Normal23"/>
              <w:spacing w:after="0"/>
              <w:jc w:val="center"/>
              <w:rPr>
                <w:rFonts w:eastAsia="Calibri" w:cs="Calibri"/>
                <w:noProof/>
              </w:rPr>
            </w:pPr>
            <w:r>
              <w:rPr>
                <w:noProof/>
              </w:rPr>
              <w:t>3.16</w:t>
            </w:r>
          </w:p>
        </w:tc>
        <w:tc>
          <w:tcPr>
            <w:tcW w:w="1760" w:type="dxa"/>
            <w:tcBorders>
              <w:top w:val="nil"/>
              <w:left w:val="nil"/>
              <w:bottom w:val="single" w:sz="4" w:space="0" w:color="auto"/>
              <w:right w:val="single" w:sz="4" w:space="0" w:color="auto"/>
            </w:tcBorders>
            <w:shd w:val="clear" w:color="auto" w:fill="C4EFCE"/>
            <w:vAlign w:val="center"/>
            <w:hideMark/>
          </w:tcPr>
          <w:p w14:paraId="1D6FD45C" w14:textId="77777777" w:rsidR="00E040FD" w:rsidRDefault="00740D64">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632853E"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B2E81BA" w14:textId="77777777" w:rsidR="00E040FD" w:rsidRDefault="00740D64">
            <w:pPr>
              <w:pStyle w:val="P68B1DB1-Normal23"/>
              <w:spacing w:after="0"/>
              <w:jc w:val="both"/>
              <w:rPr>
                <w:rFonts w:eastAsia="Calibri" w:cs="Calibri"/>
                <w:noProof/>
              </w:rPr>
            </w:pPr>
            <w:r>
              <w:rPr>
                <w:noProof/>
              </w:rPr>
              <w:t>Åtgärder för att motverka att barn och ungdomar lämnar skolan i förtid.</w:t>
            </w:r>
          </w:p>
        </w:tc>
      </w:tr>
      <w:tr w:rsidR="00E040FD" w14:paraId="5AD9EFC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EB99BDB" w14:textId="77777777" w:rsidR="00E040FD" w:rsidRDefault="00740D64">
            <w:pPr>
              <w:pStyle w:val="P68B1DB1-Normal23"/>
              <w:spacing w:after="0"/>
              <w:jc w:val="center"/>
              <w:rPr>
                <w:rFonts w:eastAsia="Calibri" w:cs="Calibri"/>
                <w:noProof/>
              </w:rPr>
            </w:pPr>
            <w:r>
              <w:rPr>
                <w:noProof/>
              </w:rPr>
              <w:t>3.19</w:t>
            </w:r>
          </w:p>
        </w:tc>
        <w:tc>
          <w:tcPr>
            <w:tcW w:w="1760" w:type="dxa"/>
            <w:tcBorders>
              <w:top w:val="nil"/>
              <w:left w:val="nil"/>
              <w:bottom w:val="single" w:sz="4" w:space="0" w:color="auto"/>
              <w:right w:val="single" w:sz="4" w:space="0" w:color="auto"/>
            </w:tcBorders>
            <w:shd w:val="clear" w:color="auto" w:fill="C4EFCE"/>
            <w:vAlign w:val="center"/>
            <w:hideMark/>
          </w:tcPr>
          <w:p w14:paraId="019CDFE1" w14:textId="77777777" w:rsidR="00E040FD" w:rsidRDefault="00740D64">
            <w:pPr>
              <w:pStyle w:val="P68B1DB1-Normal23"/>
              <w:spacing w:after="0"/>
              <w:jc w:val="center"/>
              <w:rPr>
                <w:rFonts w:eastAsia="Calibri" w:cs="Calibri"/>
                <w:noProof/>
              </w:rPr>
            </w:pPr>
            <w:r>
              <w:rPr>
                <w:noProof/>
              </w:rPr>
              <w:t>RE-C03-i05</w:t>
            </w:r>
          </w:p>
        </w:tc>
        <w:tc>
          <w:tcPr>
            <w:tcW w:w="1520" w:type="dxa"/>
            <w:tcBorders>
              <w:top w:val="nil"/>
              <w:left w:val="nil"/>
              <w:bottom w:val="single" w:sz="4" w:space="0" w:color="auto"/>
              <w:right w:val="single" w:sz="4" w:space="0" w:color="auto"/>
            </w:tcBorders>
            <w:shd w:val="clear" w:color="auto" w:fill="C4EFCE"/>
            <w:vAlign w:val="center"/>
            <w:hideMark/>
          </w:tcPr>
          <w:p w14:paraId="7A457182"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5207FF6" w14:textId="77777777" w:rsidR="00E040FD" w:rsidRDefault="00740D64">
            <w:pPr>
              <w:pStyle w:val="P68B1DB1-Normal23"/>
              <w:spacing w:after="0"/>
              <w:jc w:val="both"/>
              <w:rPr>
                <w:rFonts w:eastAsia="Calibri" w:cs="Calibri"/>
                <w:noProof/>
              </w:rPr>
            </w:pPr>
            <w:r>
              <w:rPr>
                <w:noProof/>
              </w:rPr>
              <w:t>Call-center för portugisiska teckenspråk</w:t>
            </w:r>
          </w:p>
        </w:tc>
      </w:tr>
      <w:tr w:rsidR="00E040FD" w14:paraId="1BA193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5D0CFAD" w14:textId="77777777" w:rsidR="00E040FD" w:rsidRDefault="00740D64">
            <w:pPr>
              <w:pStyle w:val="P68B1DB1-Normal23"/>
              <w:spacing w:after="0"/>
              <w:jc w:val="center"/>
              <w:rPr>
                <w:rFonts w:eastAsia="Calibri" w:cs="Calibri"/>
                <w:noProof/>
              </w:rPr>
            </w:pPr>
            <w:r>
              <w:rPr>
                <w:noProof/>
              </w:rPr>
              <w:t>3.26</w:t>
            </w:r>
          </w:p>
        </w:tc>
        <w:tc>
          <w:tcPr>
            <w:tcW w:w="1760" w:type="dxa"/>
            <w:tcBorders>
              <w:top w:val="nil"/>
              <w:left w:val="nil"/>
              <w:bottom w:val="single" w:sz="4" w:space="0" w:color="auto"/>
              <w:right w:val="single" w:sz="4" w:space="0" w:color="auto"/>
            </w:tcBorders>
            <w:shd w:val="clear" w:color="auto" w:fill="C4EFCE"/>
            <w:vAlign w:val="center"/>
            <w:hideMark/>
          </w:tcPr>
          <w:p w14:paraId="66BC21FF" w14:textId="77777777" w:rsidR="00E040FD" w:rsidRDefault="00740D64">
            <w:pPr>
              <w:pStyle w:val="P68B1DB1-Normal23"/>
              <w:spacing w:after="0"/>
              <w:jc w:val="center"/>
              <w:rPr>
                <w:rFonts w:eastAsia="Calibri" w:cs="Calibri"/>
                <w:noProof/>
              </w:rPr>
            </w:pPr>
            <w:r>
              <w:rPr>
                <w:noProof/>
              </w:rPr>
              <w:t>RE-C03-i06</w:t>
            </w:r>
          </w:p>
        </w:tc>
        <w:tc>
          <w:tcPr>
            <w:tcW w:w="1520" w:type="dxa"/>
            <w:tcBorders>
              <w:top w:val="nil"/>
              <w:left w:val="nil"/>
              <w:bottom w:val="single" w:sz="4" w:space="0" w:color="auto"/>
              <w:right w:val="single" w:sz="4" w:space="0" w:color="auto"/>
            </w:tcBorders>
            <w:shd w:val="clear" w:color="auto" w:fill="C4EFCE"/>
            <w:vAlign w:val="center"/>
            <w:hideMark/>
          </w:tcPr>
          <w:p w14:paraId="5A71211B"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10FF11C" w14:textId="77777777" w:rsidR="00E040FD" w:rsidRDefault="00740D64">
            <w:pPr>
              <w:pStyle w:val="P68B1DB1-Normal23"/>
              <w:spacing w:after="0"/>
              <w:jc w:val="both"/>
              <w:rPr>
                <w:rFonts w:eastAsia="Calibri" w:cs="Calibri"/>
                <w:noProof/>
              </w:rPr>
            </w:pPr>
            <w:r>
              <w:rPr>
                <w:noProof/>
              </w:rPr>
              <w:t>Fullständigt genomförande av minst 90 % av åtgärderna</w:t>
            </w:r>
          </w:p>
        </w:tc>
      </w:tr>
      <w:tr w:rsidR="00E040FD" w14:paraId="4169E84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091E41C" w14:textId="77777777" w:rsidR="00E040FD" w:rsidRDefault="00740D64">
            <w:pPr>
              <w:pStyle w:val="P68B1DB1-Normal23"/>
              <w:spacing w:after="0"/>
              <w:jc w:val="center"/>
              <w:rPr>
                <w:rFonts w:eastAsia="Calibri" w:cs="Calibri"/>
                <w:noProof/>
              </w:rPr>
            </w:pPr>
            <w:r>
              <w:rPr>
                <w:noProof/>
              </w:rPr>
              <w:t>3.27</w:t>
            </w:r>
          </w:p>
        </w:tc>
        <w:tc>
          <w:tcPr>
            <w:tcW w:w="1760" w:type="dxa"/>
            <w:tcBorders>
              <w:top w:val="nil"/>
              <w:left w:val="nil"/>
              <w:bottom w:val="single" w:sz="4" w:space="0" w:color="auto"/>
              <w:right w:val="single" w:sz="4" w:space="0" w:color="auto"/>
            </w:tcBorders>
            <w:shd w:val="clear" w:color="auto" w:fill="C4EFCE"/>
            <w:vAlign w:val="center"/>
            <w:hideMark/>
          </w:tcPr>
          <w:p w14:paraId="17E8CFFB" w14:textId="77777777" w:rsidR="00E040FD" w:rsidRDefault="00740D64">
            <w:pPr>
              <w:pStyle w:val="P68B1DB1-Normal23"/>
              <w:spacing w:after="0"/>
              <w:jc w:val="center"/>
              <w:rPr>
                <w:rFonts w:eastAsia="Calibri" w:cs="Calibri"/>
                <w:noProof/>
              </w:rPr>
            </w:pPr>
            <w:r>
              <w:rPr>
                <w:noProof/>
              </w:rPr>
              <w:t>RE-C03-i03-RAM</w:t>
            </w:r>
          </w:p>
        </w:tc>
        <w:tc>
          <w:tcPr>
            <w:tcW w:w="1520" w:type="dxa"/>
            <w:tcBorders>
              <w:top w:val="nil"/>
              <w:left w:val="nil"/>
              <w:bottom w:val="single" w:sz="4" w:space="0" w:color="auto"/>
              <w:right w:val="single" w:sz="4" w:space="0" w:color="auto"/>
            </w:tcBorders>
            <w:shd w:val="clear" w:color="auto" w:fill="C4EFCE"/>
            <w:vAlign w:val="center"/>
            <w:hideMark/>
          </w:tcPr>
          <w:p w14:paraId="597F8070"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6F21A2" w14:textId="77777777" w:rsidR="00E040FD" w:rsidRDefault="00740D64">
            <w:pPr>
              <w:pStyle w:val="P68B1DB1-Normal23"/>
              <w:spacing w:after="0"/>
              <w:jc w:val="both"/>
              <w:rPr>
                <w:rFonts w:eastAsia="Calibri" w:cs="Calibri"/>
                <w:noProof/>
              </w:rPr>
            </w:pPr>
            <w:r>
              <w:rPr>
                <w:noProof/>
              </w:rPr>
              <w:t>Antal platser på vårdhem som stöder hemlösa</w:t>
            </w:r>
          </w:p>
        </w:tc>
      </w:tr>
      <w:tr w:rsidR="00E040FD" w14:paraId="54E5159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7005D2F" w14:textId="77777777" w:rsidR="00E040FD" w:rsidRDefault="00740D64">
            <w:pPr>
              <w:pStyle w:val="P68B1DB1-Normal23"/>
              <w:spacing w:after="0"/>
              <w:jc w:val="center"/>
              <w:rPr>
                <w:rFonts w:eastAsia="Calibri" w:cs="Calibri"/>
                <w:noProof/>
              </w:rPr>
            </w:pPr>
            <w:r>
              <w:rPr>
                <w:noProof/>
              </w:rPr>
              <w:t>4.2</w:t>
            </w:r>
          </w:p>
        </w:tc>
        <w:tc>
          <w:tcPr>
            <w:tcW w:w="1760" w:type="dxa"/>
            <w:tcBorders>
              <w:top w:val="nil"/>
              <w:left w:val="nil"/>
              <w:bottom w:val="single" w:sz="4" w:space="0" w:color="auto"/>
              <w:right w:val="single" w:sz="4" w:space="0" w:color="auto"/>
            </w:tcBorders>
            <w:shd w:val="clear" w:color="auto" w:fill="C4EFCE"/>
            <w:vAlign w:val="center"/>
            <w:hideMark/>
          </w:tcPr>
          <w:p w14:paraId="04039DCF" w14:textId="77777777" w:rsidR="00E040FD" w:rsidRDefault="00740D6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19C9B77D"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A90ED1B" w14:textId="77777777" w:rsidR="00E040FD" w:rsidRDefault="00740D64">
            <w:pPr>
              <w:pStyle w:val="P68B1DB1-Normal23"/>
              <w:spacing w:after="0"/>
              <w:jc w:val="both"/>
              <w:rPr>
                <w:rFonts w:eastAsia="Calibri" w:cs="Calibri"/>
                <w:noProof/>
              </w:rPr>
            </w:pPr>
            <w:r>
              <w:rPr>
                <w:noProof/>
              </w:rPr>
              <w:t>Ekonomiskt stöd till bokhandlarnas digitala omställning</w:t>
            </w:r>
          </w:p>
        </w:tc>
      </w:tr>
      <w:tr w:rsidR="00E040FD" w14:paraId="53B3FF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799066" w14:textId="77777777" w:rsidR="00E040FD" w:rsidRDefault="00740D64">
            <w:pPr>
              <w:pStyle w:val="P68B1DB1-Normal23"/>
              <w:spacing w:after="0"/>
              <w:jc w:val="center"/>
              <w:rPr>
                <w:rFonts w:eastAsia="Calibri" w:cs="Calibri"/>
                <w:noProof/>
              </w:rPr>
            </w:pPr>
            <w:r>
              <w:rPr>
                <w:noProof/>
              </w:rPr>
              <w:t>4.3</w:t>
            </w:r>
          </w:p>
        </w:tc>
        <w:tc>
          <w:tcPr>
            <w:tcW w:w="1760" w:type="dxa"/>
            <w:tcBorders>
              <w:top w:val="nil"/>
              <w:left w:val="nil"/>
              <w:bottom w:val="single" w:sz="4" w:space="0" w:color="auto"/>
              <w:right w:val="single" w:sz="4" w:space="0" w:color="auto"/>
            </w:tcBorders>
            <w:shd w:val="clear" w:color="auto" w:fill="C4EFCE"/>
            <w:vAlign w:val="center"/>
            <w:hideMark/>
          </w:tcPr>
          <w:p w14:paraId="19A59DC1" w14:textId="77777777" w:rsidR="00E040FD" w:rsidRDefault="00740D6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01A1C2F8"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5C14D01" w14:textId="77777777" w:rsidR="00E040FD" w:rsidRDefault="00740D64">
            <w:pPr>
              <w:pStyle w:val="P68B1DB1-Normal23"/>
              <w:spacing w:after="0"/>
              <w:jc w:val="both"/>
              <w:rPr>
                <w:rFonts w:eastAsia="Calibri" w:cs="Calibri"/>
                <w:noProof/>
              </w:rPr>
            </w:pPr>
            <w:r>
              <w:rPr>
                <w:noProof/>
              </w:rPr>
              <w:t>Digitalisering och virtualisering av offentliga samlingar</w:t>
            </w:r>
          </w:p>
        </w:tc>
      </w:tr>
      <w:tr w:rsidR="00E040FD" w14:paraId="0568175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6ED163" w14:textId="77777777" w:rsidR="00E040FD" w:rsidRDefault="00740D64">
            <w:pPr>
              <w:pStyle w:val="P68B1DB1-Normal23"/>
              <w:spacing w:after="0"/>
              <w:jc w:val="center"/>
              <w:rPr>
                <w:rFonts w:eastAsia="Calibri" w:cs="Calibri"/>
                <w:noProof/>
              </w:rPr>
            </w:pPr>
            <w:r>
              <w:rPr>
                <w:noProof/>
              </w:rPr>
              <w:t>4.5</w:t>
            </w:r>
          </w:p>
        </w:tc>
        <w:tc>
          <w:tcPr>
            <w:tcW w:w="1760" w:type="dxa"/>
            <w:tcBorders>
              <w:top w:val="nil"/>
              <w:left w:val="nil"/>
              <w:bottom w:val="single" w:sz="4" w:space="0" w:color="auto"/>
              <w:right w:val="single" w:sz="4" w:space="0" w:color="auto"/>
            </w:tcBorders>
            <w:shd w:val="clear" w:color="auto" w:fill="C4EFCE"/>
            <w:vAlign w:val="center"/>
            <w:hideMark/>
          </w:tcPr>
          <w:p w14:paraId="2563A114" w14:textId="77777777" w:rsidR="00E040FD" w:rsidRDefault="00740D6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7A273522"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D2E5462" w14:textId="77777777" w:rsidR="00E040FD" w:rsidRDefault="00740D64">
            <w:pPr>
              <w:pStyle w:val="P68B1DB1-Normal23"/>
              <w:spacing w:after="0"/>
              <w:jc w:val="both"/>
              <w:rPr>
                <w:rFonts w:eastAsia="Calibri" w:cs="Calibri"/>
                <w:noProof/>
              </w:rPr>
            </w:pPr>
            <w:r>
              <w:rPr>
                <w:noProof/>
              </w:rPr>
              <w:t>Ekonomiskt stöd till översättning och upplaga av litterära verk</w:t>
            </w:r>
          </w:p>
        </w:tc>
      </w:tr>
      <w:tr w:rsidR="00E040FD" w14:paraId="7117E24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53E8A8" w14:textId="77777777" w:rsidR="00E040FD" w:rsidRDefault="00740D64">
            <w:pPr>
              <w:pStyle w:val="P68B1DB1-Normal23"/>
              <w:spacing w:after="0"/>
              <w:jc w:val="center"/>
              <w:rPr>
                <w:rFonts w:eastAsia="Calibri" w:cs="Calibri"/>
                <w:noProof/>
              </w:rPr>
            </w:pPr>
            <w:r>
              <w:rPr>
                <w:noProof/>
              </w:rPr>
              <w:t>4.11</w:t>
            </w:r>
          </w:p>
        </w:tc>
        <w:tc>
          <w:tcPr>
            <w:tcW w:w="1760" w:type="dxa"/>
            <w:tcBorders>
              <w:top w:val="nil"/>
              <w:left w:val="nil"/>
              <w:bottom w:val="single" w:sz="4" w:space="0" w:color="auto"/>
              <w:right w:val="single" w:sz="4" w:space="0" w:color="auto"/>
            </w:tcBorders>
            <w:shd w:val="clear" w:color="auto" w:fill="C4EFCE"/>
            <w:vAlign w:val="center"/>
            <w:hideMark/>
          </w:tcPr>
          <w:p w14:paraId="7F112129" w14:textId="77777777" w:rsidR="00E040FD" w:rsidRDefault="00740D64">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4F322192"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13ECBA9" w14:textId="77777777" w:rsidR="00E040FD" w:rsidRDefault="00740D64">
            <w:pPr>
              <w:pStyle w:val="P68B1DB1-Normal23"/>
              <w:spacing w:after="0"/>
              <w:jc w:val="both"/>
              <w:rPr>
                <w:rFonts w:eastAsia="Calibri" w:cs="Calibri"/>
                <w:noProof/>
              </w:rPr>
            </w:pPr>
            <w:r>
              <w:rPr>
                <w:noProof/>
              </w:rPr>
              <w:t>Installation av laboratorier och rutter för initiativet ”Saber Fazer” Tekniskt centrum och skapande av pedagogisk och informativ verksamhet om traditionell teknik.</w:t>
            </w:r>
          </w:p>
        </w:tc>
      </w:tr>
      <w:tr w:rsidR="00E040FD" w14:paraId="54F146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503CAB" w14:textId="77777777" w:rsidR="00E040FD" w:rsidRDefault="00740D64">
            <w:pPr>
              <w:pStyle w:val="P68B1DB1-Normal23"/>
              <w:spacing w:after="0"/>
              <w:jc w:val="center"/>
              <w:rPr>
                <w:rFonts w:eastAsia="Calibri" w:cs="Calibri"/>
                <w:noProof/>
              </w:rPr>
            </w:pPr>
            <w:r>
              <w:rPr>
                <w:noProof/>
              </w:rPr>
              <w:t>5.6</w:t>
            </w:r>
          </w:p>
        </w:tc>
        <w:tc>
          <w:tcPr>
            <w:tcW w:w="1760" w:type="dxa"/>
            <w:tcBorders>
              <w:top w:val="nil"/>
              <w:left w:val="nil"/>
              <w:bottom w:val="single" w:sz="4" w:space="0" w:color="auto"/>
              <w:right w:val="single" w:sz="4" w:space="0" w:color="auto"/>
            </w:tcBorders>
            <w:shd w:val="clear" w:color="auto" w:fill="C4EFCE"/>
            <w:vAlign w:val="center"/>
            <w:hideMark/>
          </w:tcPr>
          <w:p w14:paraId="6D345099" w14:textId="77777777" w:rsidR="00E040FD" w:rsidRDefault="00740D64">
            <w:pPr>
              <w:pStyle w:val="P68B1DB1-Normal23"/>
              <w:spacing w:after="0"/>
              <w:jc w:val="center"/>
              <w:rPr>
                <w:rFonts w:eastAsia="Calibri" w:cs="Calibri"/>
                <w:noProof/>
              </w:rPr>
            </w:pPr>
            <w:r>
              <w:rPr>
                <w:noProof/>
              </w:rPr>
              <w:t>RE-C05-i01</w:t>
            </w:r>
          </w:p>
        </w:tc>
        <w:tc>
          <w:tcPr>
            <w:tcW w:w="1520" w:type="dxa"/>
            <w:tcBorders>
              <w:top w:val="nil"/>
              <w:left w:val="nil"/>
              <w:bottom w:val="single" w:sz="4" w:space="0" w:color="auto"/>
              <w:right w:val="single" w:sz="4" w:space="0" w:color="auto"/>
            </w:tcBorders>
            <w:shd w:val="clear" w:color="auto" w:fill="C4EFCE"/>
            <w:vAlign w:val="center"/>
            <w:hideMark/>
          </w:tcPr>
          <w:p w14:paraId="0B04EDAE"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1ED57F" w14:textId="77777777" w:rsidR="00E040FD" w:rsidRDefault="00740D64">
            <w:pPr>
              <w:pStyle w:val="P68B1DB1-Normal23"/>
              <w:spacing w:after="0"/>
              <w:jc w:val="both"/>
              <w:rPr>
                <w:rFonts w:eastAsia="Calibri" w:cs="Calibri"/>
                <w:noProof/>
              </w:rPr>
            </w:pPr>
            <w:r>
              <w:rPr>
                <w:noProof/>
              </w:rPr>
              <w:t>Slutförande av genomförandet av 6 års kontrakt (innovationspakter eller mobilisering av projekt)</w:t>
            </w:r>
          </w:p>
        </w:tc>
      </w:tr>
      <w:tr w:rsidR="00E040FD" w14:paraId="56FFCB9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1EDCEE" w14:textId="77777777" w:rsidR="00E040FD" w:rsidRDefault="00740D64">
            <w:pPr>
              <w:pStyle w:val="P68B1DB1-Normal23"/>
              <w:spacing w:after="0"/>
              <w:jc w:val="center"/>
              <w:rPr>
                <w:rFonts w:eastAsia="Calibri" w:cs="Calibri"/>
                <w:noProof/>
              </w:rPr>
            </w:pPr>
            <w:r>
              <w:rPr>
                <w:noProof/>
              </w:rPr>
              <w:t>5.8</w:t>
            </w:r>
          </w:p>
        </w:tc>
        <w:tc>
          <w:tcPr>
            <w:tcW w:w="1760" w:type="dxa"/>
            <w:tcBorders>
              <w:top w:val="nil"/>
              <w:left w:val="nil"/>
              <w:bottom w:val="single" w:sz="4" w:space="0" w:color="auto"/>
              <w:right w:val="single" w:sz="4" w:space="0" w:color="auto"/>
            </w:tcBorders>
            <w:shd w:val="clear" w:color="auto" w:fill="C4EFCE"/>
            <w:vAlign w:val="center"/>
            <w:hideMark/>
          </w:tcPr>
          <w:p w14:paraId="060E7E77" w14:textId="77777777" w:rsidR="00E040FD" w:rsidRDefault="00740D64">
            <w:pPr>
              <w:pStyle w:val="P68B1DB1-Normal23"/>
              <w:spacing w:after="0"/>
              <w:jc w:val="center"/>
              <w:rPr>
                <w:rFonts w:eastAsia="Calibri" w:cs="Calibri"/>
                <w:noProof/>
              </w:rPr>
            </w:pPr>
            <w:r>
              <w:rPr>
                <w:noProof/>
              </w:rPr>
              <w:t>RE-C05-i01</w:t>
            </w:r>
          </w:p>
        </w:tc>
        <w:tc>
          <w:tcPr>
            <w:tcW w:w="1520" w:type="dxa"/>
            <w:tcBorders>
              <w:top w:val="nil"/>
              <w:left w:val="nil"/>
              <w:bottom w:val="single" w:sz="4" w:space="0" w:color="auto"/>
              <w:right w:val="single" w:sz="4" w:space="0" w:color="auto"/>
            </w:tcBorders>
            <w:shd w:val="clear" w:color="auto" w:fill="C4EFCE"/>
            <w:vAlign w:val="center"/>
            <w:hideMark/>
          </w:tcPr>
          <w:p w14:paraId="7516533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482BFAA" w14:textId="77777777" w:rsidR="00E040FD" w:rsidRDefault="00740D64">
            <w:pPr>
              <w:pStyle w:val="P68B1DB1-Normal23"/>
              <w:spacing w:after="0"/>
              <w:jc w:val="both"/>
              <w:rPr>
                <w:rFonts w:eastAsia="Calibri" w:cs="Calibri"/>
                <w:noProof/>
              </w:rPr>
            </w:pPr>
            <w:r>
              <w:rPr>
                <w:noProof/>
              </w:rPr>
              <w:t>Produkter, processer eller tjänster som är relevanta för en koldioxidsnål ekonomi, resiliens och anpassning till klimatförändringar</w:t>
            </w:r>
          </w:p>
        </w:tc>
      </w:tr>
      <w:tr w:rsidR="00E040FD" w14:paraId="5DA861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E31B91E" w14:textId="77777777" w:rsidR="00E040FD" w:rsidRDefault="00740D64">
            <w:pPr>
              <w:pStyle w:val="P68B1DB1-Normal23"/>
              <w:spacing w:after="0"/>
              <w:jc w:val="center"/>
              <w:rPr>
                <w:rFonts w:eastAsia="Calibri" w:cs="Calibri"/>
                <w:noProof/>
              </w:rPr>
            </w:pPr>
            <w:r>
              <w:rPr>
                <w:noProof/>
              </w:rPr>
              <w:t>5.10</w:t>
            </w:r>
          </w:p>
        </w:tc>
        <w:tc>
          <w:tcPr>
            <w:tcW w:w="1760" w:type="dxa"/>
            <w:tcBorders>
              <w:top w:val="nil"/>
              <w:left w:val="nil"/>
              <w:bottom w:val="single" w:sz="4" w:space="0" w:color="auto"/>
              <w:right w:val="single" w:sz="4" w:space="0" w:color="auto"/>
            </w:tcBorders>
            <w:shd w:val="clear" w:color="auto" w:fill="C4EFCE"/>
            <w:vAlign w:val="center"/>
            <w:hideMark/>
          </w:tcPr>
          <w:p w14:paraId="44979142" w14:textId="77777777" w:rsidR="00E040FD" w:rsidRDefault="00740D64">
            <w:pPr>
              <w:pStyle w:val="P68B1DB1-Normal23"/>
              <w:spacing w:after="0"/>
              <w:jc w:val="center"/>
              <w:rPr>
                <w:rFonts w:eastAsia="Calibri" w:cs="Calibri"/>
                <w:noProof/>
              </w:rPr>
            </w:pPr>
            <w:r>
              <w:rPr>
                <w:noProof/>
              </w:rPr>
              <w:t>RE-C05-i02</w:t>
            </w:r>
          </w:p>
        </w:tc>
        <w:tc>
          <w:tcPr>
            <w:tcW w:w="1520" w:type="dxa"/>
            <w:tcBorders>
              <w:top w:val="nil"/>
              <w:left w:val="nil"/>
              <w:bottom w:val="single" w:sz="4" w:space="0" w:color="auto"/>
              <w:right w:val="single" w:sz="4" w:space="0" w:color="auto"/>
            </w:tcBorders>
            <w:shd w:val="clear" w:color="auto" w:fill="C4EFCE"/>
            <w:vAlign w:val="center"/>
            <w:hideMark/>
          </w:tcPr>
          <w:p w14:paraId="05AC7742"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467D021" w14:textId="77777777" w:rsidR="00E040FD" w:rsidRDefault="00740D64">
            <w:pPr>
              <w:pStyle w:val="P68B1DB1-Normal23"/>
              <w:spacing w:after="0"/>
              <w:jc w:val="both"/>
              <w:rPr>
                <w:rFonts w:eastAsia="Calibri" w:cs="Calibri"/>
                <w:noProof/>
              </w:rPr>
            </w:pPr>
            <w:r>
              <w:rPr>
                <w:noProof/>
              </w:rPr>
              <w:t>Företag som drar nytta av de tjänster som tillhandahålls av de förmedlande enheterna, inbegripet samarbetslaboratorier – Colabs</w:t>
            </w:r>
          </w:p>
        </w:tc>
      </w:tr>
      <w:tr w:rsidR="00E040FD" w14:paraId="13B590C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BD9B58" w14:textId="77777777" w:rsidR="00E040FD" w:rsidRDefault="00740D64">
            <w:pPr>
              <w:pStyle w:val="P68B1DB1-Normal23"/>
              <w:spacing w:after="0"/>
              <w:jc w:val="center"/>
              <w:rPr>
                <w:rFonts w:eastAsia="Calibri" w:cs="Calibri"/>
                <w:noProof/>
              </w:rPr>
            </w:pPr>
            <w:r>
              <w:rPr>
                <w:noProof/>
              </w:rPr>
              <w:t>5.12</w:t>
            </w:r>
          </w:p>
        </w:tc>
        <w:tc>
          <w:tcPr>
            <w:tcW w:w="1760" w:type="dxa"/>
            <w:tcBorders>
              <w:top w:val="nil"/>
              <w:left w:val="nil"/>
              <w:bottom w:val="single" w:sz="4" w:space="0" w:color="auto"/>
              <w:right w:val="single" w:sz="4" w:space="0" w:color="auto"/>
            </w:tcBorders>
            <w:shd w:val="clear" w:color="auto" w:fill="C4EFCE"/>
            <w:vAlign w:val="center"/>
            <w:hideMark/>
          </w:tcPr>
          <w:p w14:paraId="47FD4194" w14:textId="77777777" w:rsidR="00E040FD" w:rsidRDefault="00740D64">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59C9B6F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7CE04C" w14:textId="77777777" w:rsidR="00E040FD" w:rsidRDefault="00740D64">
            <w:pPr>
              <w:pStyle w:val="P68B1DB1-Normal23"/>
              <w:spacing w:after="0"/>
              <w:jc w:val="both"/>
              <w:rPr>
                <w:rFonts w:eastAsia="Calibri" w:cs="Calibri"/>
                <w:noProof/>
              </w:rPr>
            </w:pPr>
            <w:r>
              <w:rPr>
                <w:noProof/>
              </w:rPr>
              <w:t>Slutförande av innovations- och forskningsprojekt med inriktning på de gröna aspekterna av innovationsagendan för jordbruket 2030</w:t>
            </w:r>
          </w:p>
        </w:tc>
      </w:tr>
      <w:tr w:rsidR="00E040FD" w14:paraId="67C7014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7804C4E" w14:textId="77777777" w:rsidR="00E040FD" w:rsidRDefault="00740D64">
            <w:pPr>
              <w:pStyle w:val="P68B1DB1-Normal23"/>
              <w:spacing w:after="0"/>
              <w:jc w:val="center"/>
              <w:rPr>
                <w:rFonts w:eastAsia="Calibri" w:cs="Calibri"/>
                <w:noProof/>
              </w:rPr>
            </w:pPr>
            <w:r>
              <w:rPr>
                <w:noProof/>
              </w:rPr>
              <w:t>5.13</w:t>
            </w:r>
          </w:p>
        </w:tc>
        <w:tc>
          <w:tcPr>
            <w:tcW w:w="1760" w:type="dxa"/>
            <w:tcBorders>
              <w:top w:val="nil"/>
              <w:left w:val="nil"/>
              <w:bottom w:val="single" w:sz="4" w:space="0" w:color="auto"/>
              <w:right w:val="single" w:sz="4" w:space="0" w:color="auto"/>
            </w:tcBorders>
            <w:shd w:val="clear" w:color="auto" w:fill="C4EFCE"/>
            <w:vAlign w:val="center"/>
            <w:hideMark/>
          </w:tcPr>
          <w:p w14:paraId="4FFC2BA5" w14:textId="77777777" w:rsidR="00E040FD" w:rsidRDefault="00740D64">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1823349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9A4F13A" w14:textId="2A433732" w:rsidR="00E040FD" w:rsidRDefault="00740D64">
            <w:pPr>
              <w:pStyle w:val="P68B1DB1-Normal23"/>
              <w:spacing w:after="0"/>
              <w:jc w:val="both"/>
              <w:rPr>
                <w:rFonts w:eastAsia="Calibri" w:cs="Calibri"/>
                <w:noProof/>
              </w:rPr>
            </w:pPr>
            <w:r>
              <w:rPr>
                <w:noProof/>
              </w:rPr>
              <w:t>Slutförande av 5 struktureringsprojekt med inriktning på de digitala aspekterna av innovationsagendan för jordbruket 2030</w:t>
            </w:r>
          </w:p>
        </w:tc>
      </w:tr>
      <w:tr w:rsidR="00E040FD" w14:paraId="26F745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888FE5F" w14:textId="77777777" w:rsidR="00E040FD" w:rsidRDefault="00740D64">
            <w:pPr>
              <w:pStyle w:val="P68B1DB1-Normal23"/>
              <w:spacing w:after="0"/>
              <w:jc w:val="center"/>
              <w:rPr>
                <w:rFonts w:eastAsia="Calibri" w:cs="Calibri"/>
                <w:noProof/>
              </w:rPr>
            </w:pPr>
            <w:r>
              <w:rPr>
                <w:noProof/>
              </w:rPr>
              <w:t>5.14</w:t>
            </w:r>
          </w:p>
        </w:tc>
        <w:tc>
          <w:tcPr>
            <w:tcW w:w="1760" w:type="dxa"/>
            <w:tcBorders>
              <w:top w:val="nil"/>
              <w:left w:val="nil"/>
              <w:bottom w:val="single" w:sz="4" w:space="0" w:color="auto"/>
              <w:right w:val="single" w:sz="4" w:space="0" w:color="auto"/>
            </w:tcBorders>
            <w:shd w:val="clear" w:color="auto" w:fill="C4EFCE"/>
            <w:vAlign w:val="center"/>
            <w:hideMark/>
          </w:tcPr>
          <w:p w14:paraId="1A936CD6" w14:textId="77777777" w:rsidR="00E040FD" w:rsidRDefault="00740D64">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24C31DEB"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C5F817B" w14:textId="77777777" w:rsidR="00E040FD" w:rsidRDefault="00740D64">
            <w:pPr>
              <w:pStyle w:val="P68B1DB1-Normal23"/>
              <w:spacing w:after="0"/>
              <w:jc w:val="both"/>
              <w:rPr>
                <w:rFonts w:eastAsia="Calibri" w:cs="Calibri"/>
                <w:noProof/>
              </w:rPr>
            </w:pPr>
            <w:r>
              <w:rPr>
                <w:noProof/>
              </w:rPr>
              <w:t>Förnyelse/uppgradering av innovationsnav för jordbruket</w:t>
            </w:r>
          </w:p>
        </w:tc>
      </w:tr>
      <w:tr w:rsidR="00E040FD" w14:paraId="4850187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43FF5A" w14:textId="77777777" w:rsidR="00E040FD" w:rsidRDefault="00740D64">
            <w:pPr>
              <w:pStyle w:val="P68B1DB1-Normal23"/>
              <w:spacing w:after="0"/>
              <w:jc w:val="center"/>
              <w:rPr>
                <w:rFonts w:eastAsia="Calibri" w:cs="Calibri"/>
                <w:noProof/>
              </w:rPr>
            </w:pPr>
            <w:r>
              <w:rPr>
                <w:noProof/>
              </w:rPr>
              <w:t>5.17</w:t>
            </w:r>
          </w:p>
        </w:tc>
        <w:tc>
          <w:tcPr>
            <w:tcW w:w="1760" w:type="dxa"/>
            <w:tcBorders>
              <w:top w:val="nil"/>
              <w:left w:val="nil"/>
              <w:bottom w:val="single" w:sz="4" w:space="0" w:color="auto"/>
              <w:right w:val="single" w:sz="4" w:space="0" w:color="auto"/>
            </w:tcBorders>
            <w:shd w:val="clear" w:color="auto" w:fill="C4EFCE"/>
            <w:vAlign w:val="center"/>
            <w:hideMark/>
          </w:tcPr>
          <w:p w14:paraId="06A80BBF" w14:textId="77777777" w:rsidR="00E040FD" w:rsidRDefault="00740D64">
            <w:pPr>
              <w:pStyle w:val="P68B1DB1-Normal23"/>
              <w:spacing w:after="0"/>
              <w:jc w:val="center"/>
              <w:rPr>
                <w:rFonts w:eastAsia="Calibri" w:cs="Calibri"/>
                <w:noProof/>
              </w:rPr>
            </w:pPr>
            <w:r>
              <w:rPr>
                <w:noProof/>
              </w:rPr>
              <w:t>RE-C05-i04-RAA</w:t>
            </w:r>
          </w:p>
        </w:tc>
        <w:tc>
          <w:tcPr>
            <w:tcW w:w="1520" w:type="dxa"/>
            <w:tcBorders>
              <w:top w:val="nil"/>
              <w:left w:val="nil"/>
              <w:bottom w:val="single" w:sz="4" w:space="0" w:color="auto"/>
              <w:right w:val="single" w:sz="4" w:space="0" w:color="auto"/>
            </w:tcBorders>
            <w:shd w:val="clear" w:color="auto" w:fill="C4EFCE"/>
            <w:vAlign w:val="center"/>
            <w:hideMark/>
          </w:tcPr>
          <w:p w14:paraId="77D74F29"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A04E19E" w14:textId="77777777" w:rsidR="00E040FD" w:rsidRDefault="00740D64">
            <w:pPr>
              <w:pStyle w:val="P68B1DB1-Normal23"/>
              <w:spacing w:after="0"/>
              <w:jc w:val="both"/>
              <w:rPr>
                <w:rFonts w:eastAsia="Calibri" w:cs="Calibri"/>
                <w:noProof/>
              </w:rPr>
            </w:pPr>
            <w:r>
              <w:rPr>
                <w:noProof/>
              </w:rPr>
              <w:t>Tillhandahållande av totalt 125 000 000 EUR till regionens icke-finansiella företag i form av stöd till eget kapital och därmed likställt kapital, i linje med instrumentets investeringspolicy. Preliminärt uppskattas det att minst 300 företag ska få stöd genom att planen slutförs.</w:t>
            </w:r>
          </w:p>
        </w:tc>
      </w:tr>
      <w:tr w:rsidR="00E040FD" w14:paraId="76F54C1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3C7F55C" w14:textId="77777777" w:rsidR="00E040FD" w:rsidRDefault="00740D64">
            <w:pPr>
              <w:pStyle w:val="P68B1DB1-Normal23"/>
              <w:spacing w:after="0"/>
              <w:jc w:val="center"/>
              <w:rPr>
                <w:rFonts w:eastAsia="Calibri" w:cs="Calibri"/>
                <w:noProof/>
              </w:rPr>
            </w:pPr>
            <w:r>
              <w:rPr>
                <w:noProof/>
              </w:rPr>
              <w:t>5.19</w:t>
            </w:r>
          </w:p>
        </w:tc>
        <w:tc>
          <w:tcPr>
            <w:tcW w:w="1760" w:type="dxa"/>
            <w:tcBorders>
              <w:top w:val="nil"/>
              <w:left w:val="nil"/>
              <w:bottom w:val="single" w:sz="4" w:space="0" w:color="auto"/>
              <w:right w:val="single" w:sz="4" w:space="0" w:color="auto"/>
            </w:tcBorders>
            <w:shd w:val="clear" w:color="auto" w:fill="C4EFCE"/>
            <w:vAlign w:val="center"/>
            <w:hideMark/>
          </w:tcPr>
          <w:p w14:paraId="691C999E" w14:textId="77777777" w:rsidR="00E040FD" w:rsidRDefault="00740D64">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093E4261"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4854002" w14:textId="77777777" w:rsidR="00E040FD" w:rsidRDefault="00740D64">
            <w:pPr>
              <w:pStyle w:val="P68B1DB1-Normal23"/>
              <w:spacing w:after="0"/>
              <w:jc w:val="both"/>
              <w:rPr>
                <w:rFonts w:eastAsia="Calibri" w:cs="Calibri"/>
                <w:noProof/>
              </w:rPr>
            </w:pPr>
            <w:r>
              <w:rPr>
                <w:noProof/>
              </w:rPr>
              <w:t>Nya (för att ersätta föråldrade strukturer) eller omkvalificerade strukturer som ansvarar för slakt av djur samt certifiering av mjölkkvalitet och livsmedelssäkerhet</w:t>
            </w:r>
          </w:p>
        </w:tc>
      </w:tr>
      <w:tr w:rsidR="00E040FD" w14:paraId="6BB6737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75E800" w14:textId="77777777" w:rsidR="00E040FD" w:rsidRDefault="00740D64">
            <w:pPr>
              <w:pStyle w:val="P68B1DB1-Normal23"/>
              <w:spacing w:after="0"/>
              <w:jc w:val="center"/>
              <w:rPr>
                <w:rFonts w:eastAsia="Calibri" w:cs="Calibri"/>
                <w:noProof/>
              </w:rPr>
            </w:pPr>
            <w:r>
              <w:rPr>
                <w:noProof/>
              </w:rPr>
              <w:t>5.20</w:t>
            </w:r>
          </w:p>
        </w:tc>
        <w:tc>
          <w:tcPr>
            <w:tcW w:w="1760" w:type="dxa"/>
            <w:tcBorders>
              <w:top w:val="nil"/>
              <w:left w:val="nil"/>
              <w:bottom w:val="single" w:sz="4" w:space="0" w:color="auto"/>
              <w:right w:val="single" w:sz="4" w:space="0" w:color="auto"/>
            </w:tcBorders>
            <w:shd w:val="clear" w:color="auto" w:fill="C4EFCE"/>
            <w:vAlign w:val="center"/>
            <w:hideMark/>
          </w:tcPr>
          <w:p w14:paraId="35521E65" w14:textId="77777777" w:rsidR="00E040FD" w:rsidRDefault="00740D64">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2A64CCB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80ED2B5" w14:textId="77777777" w:rsidR="00E040FD" w:rsidRDefault="00740D64">
            <w:pPr>
              <w:pStyle w:val="P68B1DB1-Normal23"/>
              <w:spacing w:after="0"/>
              <w:jc w:val="both"/>
              <w:rPr>
                <w:rFonts w:eastAsia="Calibri" w:cs="Calibri"/>
                <w:noProof/>
              </w:rPr>
            </w:pPr>
            <w:r>
              <w:rPr>
                <w:noProof/>
              </w:rPr>
              <w:t>Projekt som får stöd inom ramen för stödordningar för omstrukturering av företag inom bearbetnings- och saluföringssektorn</w:t>
            </w:r>
          </w:p>
        </w:tc>
      </w:tr>
      <w:tr w:rsidR="00E040FD" w14:paraId="3FDB28E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178BD67" w14:textId="77777777" w:rsidR="00E040FD" w:rsidRDefault="00740D64">
            <w:pPr>
              <w:pStyle w:val="P68B1DB1-Normal23"/>
              <w:spacing w:after="0"/>
              <w:jc w:val="center"/>
              <w:rPr>
                <w:rFonts w:eastAsia="Calibri" w:cs="Calibri"/>
                <w:noProof/>
              </w:rPr>
            </w:pPr>
            <w:r>
              <w:rPr>
                <w:noProof/>
              </w:rPr>
              <w:t>5.21</w:t>
            </w:r>
          </w:p>
        </w:tc>
        <w:tc>
          <w:tcPr>
            <w:tcW w:w="1760" w:type="dxa"/>
            <w:tcBorders>
              <w:top w:val="nil"/>
              <w:left w:val="nil"/>
              <w:bottom w:val="single" w:sz="4" w:space="0" w:color="auto"/>
              <w:right w:val="single" w:sz="4" w:space="0" w:color="auto"/>
            </w:tcBorders>
            <w:shd w:val="clear" w:color="auto" w:fill="C4EFCE"/>
            <w:vAlign w:val="center"/>
            <w:hideMark/>
          </w:tcPr>
          <w:p w14:paraId="2006E72B" w14:textId="77777777" w:rsidR="00E040FD" w:rsidRDefault="00740D64">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43DF32C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4AC44E0" w14:textId="77777777" w:rsidR="00E040FD" w:rsidRDefault="00740D64">
            <w:pPr>
              <w:pStyle w:val="P68B1DB1-Normal23"/>
              <w:spacing w:after="0"/>
              <w:jc w:val="both"/>
              <w:rPr>
                <w:rFonts w:eastAsia="Calibri" w:cs="Calibri"/>
                <w:noProof/>
              </w:rPr>
            </w:pPr>
            <w:r>
              <w:rPr>
                <w:noProof/>
              </w:rPr>
              <w:t>Projekt som får stöd inom ramen för stödsystem för omstrukturering av jordbruksföretag</w:t>
            </w:r>
          </w:p>
        </w:tc>
      </w:tr>
      <w:tr w:rsidR="00E040FD" w14:paraId="100DF5DB"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5BC21F8" w14:textId="77777777" w:rsidR="00E040FD" w:rsidRDefault="00740D64">
            <w:pPr>
              <w:pStyle w:val="P68B1DB1-Normal23"/>
              <w:spacing w:after="0"/>
              <w:jc w:val="center"/>
              <w:rPr>
                <w:rFonts w:eastAsia="Calibri" w:cs="Calibri"/>
                <w:noProof/>
              </w:rPr>
            </w:pPr>
            <w:r>
              <w:rPr>
                <w:noProof/>
              </w:rPr>
              <w:t>5.22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D7005F4" w14:textId="77777777" w:rsidR="00E040FD" w:rsidRDefault="00740D64">
            <w:pPr>
              <w:pStyle w:val="P68B1DB1-Normal23"/>
              <w:spacing w:after="0"/>
              <w:jc w:val="center"/>
              <w:rPr>
                <w:rFonts w:eastAsia="Calibri" w:cs="Calibri"/>
                <w:noProof/>
              </w:rPr>
            </w:pPr>
            <w:r>
              <w:rPr>
                <w:noProof/>
              </w:rPr>
              <w:t>RE-C05-i05-RAA</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DA139D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D347233" w14:textId="77777777" w:rsidR="00E040FD" w:rsidRDefault="00740D64">
            <w:pPr>
              <w:pStyle w:val="P68B1DB1-Normal23"/>
              <w:spacing w:after="0"/>
              <w:jc w:val="both"/>
              <w:rPr>
                <w:rFonts w:eastAsia="Calibri" w:cs="Calibri"/>
                <w:noProof/>
              </w:rPr>
            </w:pPr>
            <w:r>
              <w:rPr>
                <w:noProof/>
              </w:rPr>
              <w:t>Jordbruksföretag som får specialiserat tekniskt stöd inom ramen för programmet för jordbrukares egenmakt</w:t>
            </w:r>
          </w:p>
        </w:tc>
      </w:tr>
      <w:tr w:rsidR="00E040FD" w14:paraId="30BF76D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9D989F" w14:textId="77777777" w:rsidR="00E040FD" w:rsidRDefault="00740D64">
            <w:pPr>
              <w:pStyle w:val="P68B1DB1-Normal23"/>
              <w:spacing w:after="0"/>
              <w:jc w:val="center"/>
              <w:rPr>
                <w:rFonts w:eastAsia="Calibri" w:cs="Calibri"/>
                <w:noProof/>
              </w:rPr>
            </w:pPr>
            <w:r>
              <w:rPr>
                <w:noProof/>
              </w:rPr>
              <w:t>5.34</w:t>
            </w:r>
          </w:p>
        </w:tc>
        <w:tc>
          <w:tcPr>
            <w:tcW w:w="1760" w:type="dxa"/>
            <w:tcBorders>
              <w:top w:val="nil"/>
              <w:left w:val="nil"/>
              <w:bottom w:val="single" w:sz="4" w:space="0" w:color="auto"/>
              <w:right w:val="single" w:sz="4" w:space="0" w:color="auto"/>
            </w:tcBorders>
            <w:shd w:val="clear" w:color="auto" w:fill="C4EFCE"/>
            <w:vAlign w:val="center"/>
            <w:hideMark/>
          </w:tcPr>
          <w:p w14:paraId="72F4B8DE" w14:textId="1915F13C" w:rsidR="00E040FD" w:rsidRDefault="00740D64">
            <w:pPr>
              <w:pStyle w:val="P68B1DB1-Normal23"/>
              <w:spacing w:after="0"/>
              <w:jc w:val="center"/>
              <w:rPr>
                <w:rFonts w:eastAsia="Calibri" w:cs="Calibri"/>
                <w:noProof/>
              </w:rPr>
            </w:pPr>
            <w:r>
              <w:rPr>
                <w:noProof/>
              </w:rPr>
              <w:t>RE-C05-i07-RAM</w:t>
            </w:r>
          </w:p>
        </w:tc>
        <w:tc>
          <w:tcPr>
            <w:tcW w:w="1520" w:type="dxa"/>
            <w:tcBorders>
              <w:top w:val="nil"/>
              <w:left w:val="nil"/>
              <w:bottom w:val="single" w:sz="4" w:space="0" w:color="auto"/>
              <w:right w:val="single" w:sz="4" w:space="0" w:color="auto"/>
            </w:tcBorders>
            <w:shd w:val="clear" w:color="auto" w:fill="C4EFCE"/>
            <w:vAlign w:val="center"/>
            <w:hideMark/>
          </w:tcPr>
          <w:p w14:paraId="316503D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50AB12" w14:textId="77777777" w:rsidR="00E040FD" w:rsidRDefault="00740D64">
            <w:pPr>
              <w:pStyle w:val="P68B1DB1-Normal23"/>
              <w:spacing w:after="0"/>
              <w:jc w:val="both"/>
              <w:rPr>
                <w:rFonts w:eastAsia="Calibri" w:cs="Calibri"/>
                <w:noProof/>
              </w:rPr>
            </w:pPr>
            <w:r>
              <w:rPr>
                <w:noProof/>
              </w:rPr>
              <w:t>Lånegarantier till stöd för regionala företags projekt.</w:t>
            </w:r>
          </w:p>
        </w:tc>
      </w:tr>
      <w:tr w:rsidR="00E040FD" w14:paraId="1D91A46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3F7491" w14:textId="77777777" w:rsidR="00E040FD" w:rsidRDefault="00740D64">
            <w:pPr>
              <w:pStyle w:val="P68B1DB1-Normal23"/>
              <w:spacing w:after="0"/>
              <w:jc w:val="center"/>
              <w:rPr>
                <w:rFonts w:eastAsia="Calibri" w:cs="Calibri"/>
                <w:noProof/>
              </w:rPr>
            </w:pPr>
            <w:r>
              <w:rPr>
                <w:noProof/>
              </w:rPr>
              <w:t>5.35</w:t>
            </w:r>
          </w:p>
        </w:tc>
        <w:tc>
          <w:tcPr>
            <w:tcW w:w="1760" w:type="dxa"/>
            <w:tcBorders>
              <w:top w:val="nil"/>
              <w:left w:val="nil"/>
              <w:bottom w:val="single" w:sz="4" w:space="0" w:color="auto"/>
              <w:right w:val="single" w:sz="4" w:space="0" w:color="auto"/>
            </w:tcBorders>
            <w:shd w:val="clear" w:color="auto" w:fill="C4EFCE"/>
            <w:vAlign w:val="center"/>
            <w:hideMark/>
          </w:tcPr>
          <w:p w14:paraId="6967C3AD" w14:textId="77777777" w:rsidR="00E040FD" w:rsidRDefault="00740D64">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4CCABE5B"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F5823A" w14:textId="1C28B1CC" w:rsidR="00E040FD" w:rsidRDefault="00740D64">
            <w:pPr>
              <w:pStyle w:val="P68B1DB1-Normal23"/>
              <w:spacing w:after="0"/>
              <w:jc w:val="both"/>
              <w:rPr>
                <w:rFonts w:eastAsia="Calibri" w:cs="Calibri"/>
                <w:noProof/>
              </w:rPr>
            </w:pPr>
            <w:r>
              <w:rPr>
                <w:noProof/>
              </w:rPr>
              <w:t>Slutförande av ”Science XXI campus” och ”Science Desk” och tillhandahållande av tjänster genom det nationella programmet för öppen vetenskap och öppna forskningsdata (PNCADAI)</w:t>
            </w:r>
          </w:p>
        </w:tc>
      </w:tr>
      <w:tr w:rsidR="00E040FD" w14:paraId="7A31595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5C6871" w14:textId="77777777" w:rsidR="00E040FD" w:rsidRDefault="00740D64">
            <w:pPr>
              <w:pStyle w:val="P68B1DB1-Normal23"/>
              <w:spacing w:after="0"/>
              <w:jc w:val="center"/>
              <w:rPr>
                <w:rFonts w:eastAsia="Calibri" w:cs="Calibri"/>
                <w:noProof/>
              </w:rPr>
            </w:pPr>
            <w:r>
              <w:rPr>
                <w:noProof/>
              </w:rPr>
              <w:t>5.40</w:t>
            </w:r>
          </w:p>
        </w:tc>
        <w:tc>
          <w:tcPr>
            <w:tcW w:w="1760" w:type="dxa"/>
            <w:tcBorders>
              <w:top w:val="nil"/>
              <w:left w:val="nil"/>
              <w:bottom w:val="single" w:sz="4" w:space="0" w:color="auto"/>
              <w:right w:val="single" w:sz="4" w:space="0" w:color="auto"/>
            </w:tcBorders>
            <w:shd w:val="clear" w:color="auto" w:fill="C4EFCE"/>
            <w:vAlign w:val="center"/>
            <w:hideMark/>
          </w:tcPr>
          <w:p w14:paraId="2F1FA845" w14:textId="77777777" w:rsidR="00E040FD" w:rsidRDefault="00740D64">
            <w:pPr>
              <w:pStyle w:val="P68B1DB1-Normal23"/>
              <w:spacing w:after="0"/>
              <w:jc w:val="center"/>
              <w:rPr>
                <w:rFonts w:eastAsia="Calibri" w:cs="Calibri"/>
                <w:noProof/>
              </w:rPr>
            </w:pPr>
            <w:r>
              <w:rPr>
                <w:noProof/>
              </w:rPr>
              <w:t>RE-C05-i09</w:t>
            </w:r>
          </w:p>
        </w:tc>
        <w:tc>
          <w:tcPr>
            <w:tcW w:w="1520" w:type="dxa"/>
            <w:tcBorders>
              <w:top w:val="nil"/>
              <w:left w:val="nil"/>
              <w:bottom w:val="single" w:sz="4" w:space="0" w:color="auto"/>
              <w:right w:val="single" w:sz="4" w:space="0" w:color="auto"/>
            </w:tcBorders>
            <w:shd w:val="clear" w:color="auto" w:fill="C4EFCE"/>
            <w:vAlign w:val="center"/>
            <w:hideMark/>
          </w:tcPr>
          <w:p w14:paraId="6C872439"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8591A6" w14:textId="77777777" w:rsidR="00E040FD" w:rsidRDefault="00740D64">
            <w:pPr>
              <w:pStyle w:val="P68B1DB1-Normal23"/>
              <w:spacing w:after="0"/>
              <w:jc w:val="both"/>
              <w:rPr>
                <w:rFonts w:eastAsia="Calibri" w:cs="Calibri"/>
                <w:noProof/>
              </w:rPr>
            </w:pPr>
            <w:r>
              <w:rPr>
                <w:noProof/>
              </w:rPr>
              <w:t>Slutförande av 168 produkter, processer eller tjänster.</w:t>
            </w:r>
          </w:p>
        </w:tc>
      </w:tr>
      <w:tr w:rsidR="00E040FD" w14:paraId="421627E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3DDFE9" w14:textId="77777777" w:rsidR="00E040FD" w:rsidRDefault="00740D64">
            <w:pPr>
              <w:pStyle w:val="P68B1DB1-Normal23"/>
              <w:spacing w:after="0"/>
              <w:jc w:val="center"/>
              <w:rPr>
                <w:rFonts w:eastAsia="Calibri" w:cs="Calibri"/>
                <w:noProof/>
              </w:rPr>
            </w:pPr>
            <w:r>
              <w:rPr>
                <w:noProof/>
              </w:rPr>
              <w:t>5.42</w:t>
            </w:r>
          </w:p>
        </w:tc>
        <w:tc>
          <w:tcPr>
            <w:tcW w:w="1760" w:type="dxa"/>
            <w:tcBorders>
              <w:top w:val="nil"/>
              <w:left w:val="nil"/>
              <w:bottom w:val="single" w:sz="4" w:space="0" w:color="auto"/>
              <w:right w:val="single" w:sz="4" w:space="0" w:color="auto"/>
            </w:tcBorders>
            <w:shd w:val="clear" w:color="auto" w:fill="C4EFCE"/>
            <w:vAlign w:val="center"/>
            <w:hideMark/>
          </w:tcPr>
          <w:p w14:paraId="2AC3BE32" w14:textId="77777777" w:rsidR="00E040FD" w:rsidRDefault="00740D64">
            <w:pPr>
              <w:pStyle w:val="P68B1DB1-Normal23"/>
              <w:spacing w:after="0"/>
              <w:jc w:val="center"/>
              <w:rPr>
                <w:rFonts w:eastAsia="Calibri" w:cs="Calibri"/>
                <w:noProof/>
              </w:rPr>
            </w:pPr>
            <w:r>
              <w:rPr>
                <w:noProof/>
              </w:rPr>
              <w:t>RE-C05-i10</w:t>
            </w:r>
          </w:p>
        </w:tc>
        <w:tc>
          <w:tcPr>
            <w:tcW w:w="1520" w:type="dxa"/>
            <w:tcBorders>
              <w:top w:val="nil"/>
              <w:left w:val="nil"/>
              <w:bottom w:val="single" w:sz="4" w:space="0" w:color="auto"/>
              <w:right w:val="single" w:sz="4" w:space="0" w:color="auto"/>
            </w:tcBorders>
            <w:shd w:val="clear" w:color="auto" w:fill="C4EFCE"/>
            <w:vAlign w:val="center"/>
            <w:hideMark/>
          </w:tcPr>
          <w:p w14:paraId="326441C2"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B3B6ECA" w14:textId="77777777" w:rsidR="00E040FD" w:rsidRDefault="00740D64">
            <w:pPr>
              <w:pStyle w:val="P68B1DB1-Normal23"/>
              <w:spacing w:after="0"/>
              <w:jc w:val="both"/>
              <w:rPr>
                <w:rFonts w:eastAsia="Calibri" w:cs="Calibri"/>
                <w:noProof/>
              </w:rPr>
            </w:pPr>
            <w:r>
              <w:rPr>
                <w:noProof/>
              </w:rPr>
              <w:t>Slutförande av produkter, processer eller tjänster (PPS) som är relevanta för en koldioxidsnål ekonomi, motståndskraft mot och anpassning till klimatförändringar.</w:t>
            </w:r>
          </w:p>
        </w:tc>
      </w:tr>
      <w:tr w:rsidR="00E040FD" w14:paraId="14988A7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04BD2D" w14:textId="77777777" w:rsidR="00E040FD" w:rsidRDefault="00740D64">
            <w:pPr>
              <w:pStyle w:val="P68B1DB1-Normal23"/>
              <w:spacing w:after="0"/>
              <w:jc w:val="center"/>
              <w:rPr>
                <w:rFonts w:eastAsia="Calibri" w:cs="Calibri"/>
                <w:noProof/>
              </w:rPr>
            </w:pPr>
            <w:r>
              <w:rPr>
                <w:noProof/>
              </w:rPr>
              <w:t>6.2</w:t>
            </w:r>
          </w:p>
        </w:tc>
        <w:tc>
          <w:tcPr>
            <w:tcW w:w="1760" w:type="dxa"/>
            <w:tcBorders>
              <w:top w:val="nil"/>
              <w:left w:val="nil"/>
              <w:bottom w:val="single" w:sz="4" w:space="0" w:color="auto"/>
              <w:right w:val="single" w:sz="4" w:space="0" w:color="auto"/>
            </w:tcBorders>
            <w:shd w:val="clear" w:color="auto" w:fill="C4EFCE"/>
            <w:vAlign w:val="center"/>
            <w:hideMark/>
          </w:tcPr>
          <w:p w14:paraId="3BDA4A67" w14:textId="77777777" w:rsidR="00E040FD" w:rsidRDefault="00740D64">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4065303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4F70C1E" w14:textId="77777777" w:rsidR="00E040FD" w:rsidRDefault="00740D64">
            <w:pPr>
              <w:pStyle w:val="P68B1DB1-Normal23"/>
              <w:spacing w:after="0"/>
              <w:jc w:val="both"/>
              <w:rPr>
                <w:rFonts w:eastAsia="Calibri" w:cs="Calibri"/>
                <w:noProof/>
              </w:rPr>
            </w:pPr>
            <w:r>
              <w:rPr>
                <w:noProof/>
              </w:rPr>
              <w:t>Renoverade eller byggda specialiserade teknikcentrum</w:t>
            </w:r>
          </w:p>
        </w:tc>
      </w:tr>
      <w:tr w:rsidR="00E040FD" w14:paraId="67A0ACB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055146" w14:textId="77777777" w:rsidR="00E040FD" w:rsidRDefault="00740D64">
            <w:pPr>
              <w:pStyle w:val="P68B1DB1-Normal23"/>
              <w:spacing w:after="0"/>
              <w:jc w:val="center"/>
              <w:rPr>
                <w:rFonts w:eastAsia="Calibri" w:cs="Calibri"/>
                <w:noProof/>
              </w:rPr>
            </w:pPr>
            <w:r>
              <w:rPr>
                <w:noProof/>
              </w:rPr>
              <w:t>6.4</w:t>
            </w:r>
          </w:p>
        </w:tc>
        <w:tc>
          <w:tcPr>
            <w:tcW w:w="1760" w:type="dxa"/>
            <w:tcBorders>
              <w:top w:val="nil"/>
              <w:left w:val="nil"/>
              <w:bottom w:val="single" w:sz="4" w:space="0" w:color="auto"/>
              <w:right w:val="single" w:sz="4" w:space="0" w:color="auto"/>
            </w:tcBorders>
            <w:shd w:val="clear" w:color="auto" w:fill="C4EFCE"/>
            <w:vAlign w:val="center"/>
            <w:hideMark/>
          </w:tcPr>
          <w:p w14:paraId="560BB3EF" w14:textId="77777777" w:rsidR="00E040FD" w:rsidRDefault="00740D64">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1A02B8EF"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7D6BE2" w14:textId="77777777" w:rsidR="00E040FD" w:rsidRDefault="00740D64">
            <w:pPr>
              <w:pStyle w:val="P68B1DB1-Normal23"/>
              <w:spacing w:after="0"/>
              <w:jc w:val="both"/>
              <w:rPr>
                <w:rFonts w:eastAsia="Calibri" w:cs="Calibri"/>
                <w:noProof/>
              </w:rPr>
            </w:pPr>
            <w:r>
              <w:rPr>
                <w:noProof/>
              </w:rPr>
              <w:t>Uppgraderade utbildningsstationer</w:t>
            </w:r>
          </w:p>
        </w:tc>
      </w:tr>
      <w:tr w:rsidR="00E040FD" w14:paraId="5E314A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A0FE7BE" w14:textId="77777777" w:rsidR="00E040FD" w:rsidRDefault="00740D64">
            <w:pPr>
              <w:pStyle w:val="P68B1DB1-Normal23"/>
              <w:spacing w:after="0"/>
              <w:jc w:val="center"/>
              <w:rPr>
                <w:rFonts w:eastAsia="Calibri" w:cs="Calibri"/>
                <w:noProof/>
              </w:rPr>
            </w:pPr>
            <w:r>
              <w:rPr>
                <w:noProof/>
              </w:rPr>
              <w:t>6.6</w:t>
            </w:r>
          </w:p>
        </w:tc>
        <w:tc>
          <w:tcPr>
            <w:tcW w:w="1760" w:type="dxa"/>
            <w:tcBorders>
              <w:top w:val="nil"/>
              <w:left w:val="nil"/>
              <w:bottom w:val="single" w:sz="4" w:space="0" w:color="auto"/>
              <w:right w:val="single" w:sz="4" w:space="0" w:color="auto"/>
            </w:tcBorders>
            <w:shd w:val="clear" w:color="auto" w:fill="C4EFCE"/>
            <w:vAlign w:val="center"/>
            <w:hideMark/>
          </w:tcPr>
          <w:p w14:paraId="6F3A1B05" w14:textId="77777777" w:rsidR="00E040FD" w:rsidRDefault="00740D64">
            <w:pPr>
              <w:pStyle w:val="P68B1DB1-Normal23"/>
              <w:spacing w:after="0"/>
              <w:jc w:val="center"/>
              <w:rPr>
                <w:rFonts w:eastAsia="Calibri" w:cs="Calibri"/>
                <w:noProof/>
              </w:rPr>
            </w:pPr>
            <w:r>
              <w:rPr>
                <w:noProof/>
              </w:rPr>
              <w:t>RE-C06-i03</w:t>
            </w:r>
          </w:p>
        </w:tc>
        <w:tc>
          <w:tcPr>
            <w:tcW w:w="1520" w:type="dxa"/>
            <w:tcBorders>
              <w:top w:val="nil"/>
              <w:left w:val="nil"/>
              <w:bottom w:val="single" w:sz="4" w:space="0" w:color="auto"/>
              <w:right w:val="single" w:sz="4" w:space="0" w:color="auto"/>
            </w:tcBorders>
            <w:shd w:val="clear" w:color="auto" w:fill="C4EFCE"/>
            <w:vAlign w:val="center"/>
            <w:hideMark/>
          </w:tcPr>
          <w:p w14:paraId="232B7518"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37F14F" w14:textId="77777777" w:rsidR="00E040FD" w:rsidRDefault="00740D64">
            <w:pPr>
              <w:pStyle w:val="P68B1DB1-Normal23"/>
              <w:spacing w:after="0"/>
              <w:jc w:val="both"/>
              <w:rPr>
                <w:rFonts w:eastAsia="Calibri" w:cs="Calibri"/>
                <w:noProof/>
              </w:rPr>
            </w:pPr>
            <w:r>
              <w:rPr>
                <w:noProof/>
              </w:rPr>
              <w:t>Ytterligare deltagare i åtgärder för att stödja kompetenshöjning för vuxna</w:t>
            </w:r>
          </w:p>
        </w:tc>
      </w:tr>
      <w:tr w:rsidR="00E040FD" w14:paraId="050A7C9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403F26F" w14:textId="77777777" w:rsidR="00E040FD" w:rsidRDefault="00740D64">
            <w:pPr>
              <w:pStyle w:val="P68B1DB1-Normal23"/>
              <w:spacing w:after="0"/>
              <w:jc w:val="center"/>
              <w:rPr>
                <w:rFonts w:eastAsia="Calibri" w:cs="Calibri"/>
                <w:noProof/>
              </w:rPr>
            </w:pPr>
            <w:r>
              <w:rPr>
                <w:noProof/>
              </w:rPr>
              <w:t>6.7</w:t>
            </w:r>
          </w:p>
        </w:tc>
        <w:tc>
          <w:tcPr>
            <w:tcW w:w="1760" w:type="dxa"/>
            <w:tcBorders>
              <w:top w:val="nil"/>
              <w:left w:val="nil"/>
              <w:bottom w:val="single" w:sz="4" w:space="0" w:color="auto"/>
              <w:right w:val="single" w:sz="4" w:space="0" w:color="auto"/>
            </w:tcBorders>
            <w:shd w:val="clear" w:color="auto" w:fill="C4EFCE"/>
            <w:vAlign w:val="center"/>
            <w:hideMark/>
          </w:tcPr>
          <w:p w14:paraId="46784F4F" w14:textId="77777777" w:rsidR="00E040FD" w:rsidRDefault="00740D64">
            <w:pPr>
              <w:pStyle w:val="P68B1DB1-Normal23"/>
              <w:spacing w:after="0"/>
              <w:jc w:val="center"/>
              <w:rPr>
                <w:rFonts w:eastAsia="Calibri" w:cs="Calibri"/>
                <w:noProof/>
              </w:rPr>
            </w:pPr>
            <w:r>
              <w:rPr>
                <w:noProof/>
              </w:rPr>
              <w:t>RE-C06-i04</w:t>
            </w:r>
          </w:p>
        </w:tc>
        <w:tc>
          <w:tcPr>
            <w:tcW w:w="1520" w:type="dxa"/>
            <w:tcBorders>
              <w:top w:val="nil"/>
              <w:left w:val="nil"/>
              <w:bottom w:val="single" w:sz="4" w:space="0" w:color="auto"/>
              <w:right w:val="single" w:sz="4" w:space="0" w:color="auto"/>
            </w:tcBorders>
            <w:shd w:val="clear" w:color="auto" w:fill="C4EFCE"/>
            <w:vAlign w:val="center"/>
            <w:hideMark/>
          </w:tcPr>
          <w:p w14:paraId="10877261"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73B9D33" w14:textId="77777777" w:rsidR="00E040FD" w:rsidRDefault="00740D64">
            <w:pPr>
              <w:pStyle w:val="P68B1DB1-Normal23"/>
              <w:spacing w:after="0"/>
              <w:jc w:val="both"/>
              <w:rPr>
                <w:rFonts w:eastAsia="Calibri" w:cs="Calibri"/>
                <w:noProof/>
              </w:rPr>
            </w:pPr>
            <w:r>
              <w:rPr>
                <w:noProof/>
              </w:rPr>
              <w:t>Ytterligare Ciência Viva klubbar</w:t>
            </w:r>
          </w:p>
        </w:tc>
      </w:tr>
      <w:tr w:rsidR="00E040FD" w14:paraId="5829166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5A0571" w14:textId="77777777" w:rsidR="00E040FD" w:rsidRDefault="00740D64">
            <w:pPr>
              <w:pStyle w:val="P68B1DB1-Normal23"/>
              <w:spacing w:after="0"/>
              <w:jc w:val="center"/>
              <w:rPr>
                <w:rFonts w:eastAsia="Calibri" w:cs="Calibri"/>
                <w:noProof/>
              </w:rPr>
            </w:pPr>
            <w:r>
              <w:rPr>
                <w:noProof/>
              </w:rPr>
              <w:t>6.9</w:t>
            </w:r>
          </w:p>
        </w:tc>
        <w:tc>
          <w:tcPr>
            <w:tcW w:w="1760" w:type="dxa"/>
            <w:tcBorders>
              <w:top w:val="nil"/>
              <w:left w:val="nil"/>
              <w:bottom w:val="single" w:sz="4" w:space="0" w:color="auto"/>
              <w:right w:val="single" w:sz="4" w:space="0" w:color="auto"/>
            </w:tcBorders>
            <w:shd w:val="clear" w:color="auto" w:fill="C4EFCE"/>
            <w:vAlign w:val="center"/>
            <w:hideMark/>
          </w:tcPr>
          <w:p w14:paraId="5E8FAB6C" w14:textId="77777777" w:rsidR="00E040FD" w:rsidRDefault="00740D64">
            <w:pPr>
              <w:pStyle w:val="P68B1DB1-Normal23"/>
              <w:spacing w:after="0"/>
              <w:jc w:val="center"/>
              <w:rPr>
                <w:rFonts w:eastAsia="Calibri" w:cs="Calibri"/>
                <w:noProof/>
              </w:rPr>
            </w:pPr>
            <w:r>
              <w:rPr>
                <w:noProof/>
              </w:rPr>
              <w:t>RE-C06-i04</w:t>
            </w:r>
          </w:p>
        </w:tc>
        <w:tc>
          <w:tcPr>
            <w:tcW w:w="1520" w:type="dxa"/>
            <w:tcBorders>
              <w:top w:val="nil"/>
              <w:left w:val="nil"/>
              <w:bottom w:val="single" w:sz="4" w:space="0" w:color="auto"/>
              <w:right w:val="single" w:sz="4" w:space="0" w:color="auto"/>
            </w:tcBorders>
            <w:shd w:val="clear" w:color="auto" w:fill="C4EFCE"/>
            <w:vAlign w:val="center"/>
            <w:hideMark/>
          </w:tcPr>
          <w:p w14:paraId="48B03350"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AD5F2D" w14:textId="77777777" w:rsidR="00E040FD" w:rsidRDefault="00740D64">
            <w:pPr>
              <w:pStyle w:val="P68B1DB1-Normal23"/>
              <w:spacing w:after="0"/>
              <w:jc w:val="both"/>
              <w:rPr>
                <w:rFonts w:eastAsia="Calibri" w:cs="Calibri"/>
                <w:noProof/>
              </w:rPr>
            </w:pPr>
            <w:r>
              <w:rPr>
                <w:noProof/>
              </w:rPr>
              <w:t>Ytterligare antal studenter som tagit examen i högre utbildning i naturvetenskap, teknik, ingenjörsvetenskap och matematik</w:t>
            </w:r>
          </w:p>
        </w:tc>
      </w:tr>
      <w:tr w:rsidR="00E040FD" w14:paraId="3C70A66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4CDA63" w14:textId="77777777" w:rsidR="00E040FD" w:rsidRDefault="00740D64">
            <w:pPr>
              <w:pStyle w:val="P68B1DB1-Normal23"/>
              <w:spacing w:after="0"/>
              <w:jc w:val="center"/>
              <w:rPr>
                <w:rFonts w:eastAsia="Calibri" w:cs="Calibri"/>
                <w:noProof/>
              </w:rPr>
            </w:pPr>
            <w:r>
              <w:rPr>
                <w:noProof/>
              </w:rPr>
              <w:t>6.10</w:t>
            </w:r>
          </w:p>
        </w:tc>
        <w:tc>
          <w:tcPr>
            <w:tcW w:w="1760" w:type="dxa"/>
            <w:tcBorders>
              <w:top w:val="nil"/>
              <w:left w:val="nil"/>
              <w:bottom w:val="single" w:sz="4" w:space="0" w:color="auto"/>
              <w:right w:val="single" w:sz="4" w:space="0" w:color="auto"/>
            </w:tcBorders>
            <w:shd w:val="clear" w:color="auto" w:fill="C4EFCE"/>
            <w:vAlign w:val="center"/>
            <w:hideMark/>
          </w:tcPr>
          <w:p w14:paraId="0E62DC90" w14:textId="77777777" w:rsidR="00E040FD" w:rsidRDefault="00740D64">
            <w:pPr>
              <w:pStyle w:val="P68B1DB1-Normal23"/>
              <w:spacing w:after="0"/>
              <w:jc w:val="center"/>
              <w:rPr>
                <w:rFonts w:eastAsia="Calibri" w:cs="Calibri"/>
                <w:noProof/>
              </w:rPr>
            </w:pPr>
            <w:r>
              <w:rPr>
                <w:noProof/>
              </w:rPr>
              <w:t>RE-C06-i05-RAA</w:t>
            </w:r>
          </w:p>
        </w:tc>
        <w:tc>
          <w:tcPr>
            <w:tcW w:w="1520" w:type="dxa"/>
            <w:tcBorders>
              <w:top w:val="nil"/>
              <w:left w:val="nil"/>
              <w:bottom w:val="single" w:sz="4" w:space="0" w:color="auto"/>
              <w:right w:val="single" w:sz="4" w:space="0" w:color="auto"/>
            </w:tcBorders>
            <w:shd w:val="clear" w:color="auto" w:fill="C4EFCE"/>
            <w:vAlign w:val="center"/>
            <w:hideMark/>
          </w:tcPr>
          <w:p w14:paraId="01B43691"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99DF944" w14:textId="77777777" w:rsidR="00E040FD" w:rsidRDefault="00740D64">
            <w:pPr>
              <w:pStyle w:val="P68B1DB1-Normal23"/>
              <w:spacing w:after="0"/>
              <w:jc w:val="both"/>
              <w:rPr>
                <w:rFonts w:eastAsia="Calibri" w:cs="Calibri"/>
                <w:noProof/>
              </w:rPr>
            </w:pPr>
            <w:r>
              <w:rPr>
                <w:noProof/>
              </w:rPr>
              <w:t>Ytterligare antal vuxna som deltar i eftergymnasial utbildning och högre utbildning i den autonoma regionen Azorerna</w:t>
            </w:r>
          </w:p>
        </w:tc>
      </w:tr>
      <w:tr w:rsidR="00E040FD" w14:paraId="2B7ADEC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ADBD20" w14:textId="77777777" w:rsidR="00E040FD" w:rsidRDefault="00740D64">
            <w:pPr>
              <w:pStyle w:val="P68B1DB1-Normal23"/>
              <w:spacing w:after="0"/>
              <w:jc w:val="center"/>
              <w:rPr>
                <w:rFonts w:eastAsia="Calibri" w:cs="Calibri"/>
                <w:noProof/>
              </w:rPr>
            </w:pPr>
            <w:r>
              <w:rPr>
                <w:noProof/>
              </w:rPr>
              <w:t>6.11</w:t>
            </w:r>
          </w:p>
        </w:tc>
        <w:tc>
          <w:tcPr>
            <w:tcW w:w="1760" w:type="dxa"/>
            <w:tcBorders>
              <w:top w:val="nil"/>
              <w:left w:val="nil"/>
              <w:bottom w:val="single" w:sz="4" w:space="0" w:color="auto"/>
              <w:right w:val="single" w:sz="4" w:space="0" w:color="auto"/>
            </w:tcBorders>
            <w:shd w:val="clear" w:color="auto" w:fill="C4EFCE"/>
            <w:vAlign w:val="center"/>
            <w:hideMark/>
          </w:tcPr>
          <w:p w14:paraId="4C3D556F" w14:textId="77777777" w:rsidR="00E040FD" w:rsidRDefault="00740D64">
            <w:pPr>
              <w:pStyle w:val="P68B1DB1-Normal23"/>
              <w:spacing w:after="0"/>
              <w:jc w:val="center"/>
              <w:rPr>
                <w:rFonts w:eastAsia="Calibri" w:cs="Calibri"/>
                <w:noProof/>
              </w:rPr>
            </w:pPr>
            <w:r>
              <w:rPr>
                <w:noProof/>
              </w:rPr>
              <w:t>RE-C06-i05-RAA</w:t>
            </w:r>
          </w:p>
        </w:tc>
        <w:tc>
          <w:tcPr>
            <w:tcW w:w="1520" w:type="dxa"/>
            <w:tcBorders>
              <w:top w:val="nil"/>
              <w:left w:val="nil"/>
              <w:bottom w:val="single" w:sz="4" w:space="0" w:color="auto"/>
              <w:right w:val="single" w:sz="4" w:space="0" w:color="auto"/>
            </w:tcBorders>
            <w:shd w:val="clear" w:color="auto" w:fill="C4EFCE"/>
            <w:vAlign w:val="center"/>
            <w:hideMark/>
          </w:tcPr>
          <w:p w14:paraId="680350DF"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2427B23" w14:textId="77777777" w:rsidR="00E040FD" w:rsidRDefault="00740D64">
            <w:pPr>
              <w:pStyle w:val="P68B1DB1-Normal23"/>
              <w:spacing w:after="0"/>
              <w:jc w:val="both"/>
              <w:rPr>
                <w:rFonts w:eastAsia="Calibri" w:cs="Calibri"/>
                <w:noProof/>
              </w:rPr>
            </w:pPr>
            <w:r>
              <w:rPr>
                <w:noProof/>
              </w:rPr>
              <w:t>Uppgraderade yrkesskolor i den autonoma regionen Azorerna</w:t>
            </w:r>
          </w:p>
        </w:tc>
      </w:tr>
      <w:tr w:rsidR="00E040FD" w14:paraId="24EC007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C17C2B" w14:textId="77777777" w:rsidR="00E040FD" w:rsidRDefault="00740D64">
            <w:pPr>
              <w:pStyle w:val="P68B1DB1-Normal23"/>
              <w:spacing w:after="0"/>
              <w:jc w:val="center"/>
              <w:rPr>
                <w:rFonts w:eastAsia="Calibri" w:cs="Calibri"/>
                <w:noProof/>
              </w:rPr>
            </w:pPr>
            <w:r>
              <w:rPr>
                <w:noProof/>
              </w:rPr>
              <w:t>6.12</w:t>
            </w:r>
          </w:p>
        </w:tc>
        <w:tc>
          <w:tcPr>
            <w:tcW w:w="1760" w:type="dxa"/>
            <w:tcBorders>
              <w:top w:val="nil"/>
              <w:left w:val="nil"/>
              <w:bottom w:val="single" w:sz="4" w:space="0" w:color="auto"/>
              <w:right w:val="single" w:sz="4" w:space="0" w:color="auto"/>
            </w:tcBorders>
            <w:shd w:val="clear" w:color="auto" w:fill="C4EFCE"/>
            <w:vAlign w:val="center"/>
            <w:hideMark/>
          </w:tcPr>
          <w:p w14:paraId="50C54B79" w14:textId="77777777" w:rsidR="00E040FD" w:rsidRDefault="00740D64">
            <w:pPr>
              <w:pStyle w:val="P68B1DB1-Normal23"/>
              <w:spacing w:after="0"/>
              <w:jc w:val="center"/>
              <w:rPr>
                <w:rFonts w:eastAsia="Calibri" w:cs="Calibri"/>
                <w:noProof/>
              </w:rPr>
            </w:pPr>
            <w:r>
              <w:rPr>
                <w:noProof/>
              </w:rPr>
              <w:t>RE-C06-r14</w:t>
            </w:r>
          </w:p>
        </w:tc>
        <w:tc>
          <w:tcPr>
            <w:tcW w:w="1520" w:type="dxa"/>
            <w:tcBorders>
              <w:top w:val="nil"/>
              <w:left w:val="nil"/>
              <w:bottom w:val="single" w:sz="4" w:space="0" w:color="auto"/>
              <w:right w:val="single" w:sz="4" w:space="0" w:color="auto"/>
            </w:tcBorders>
            <w:shd w:val="clear" w:color="auto" w:fill="C4EFCE"/>
            <w:vAlign w:val="center"/>
            <w:hideMark/>
          </w:tcPr>
          <w:p w14:paraId="3BED303B"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5602805" w14:textId="77777777" w:rsidR="00E040FD" w:rsidRDefault="00740D64">
            <w:pPr>
              <w:pStyle w:val="P68B1DB1-Normal23"/>
              <w:spacing w:after="0"/>
              <w:jc w:val="both"/>
              <w:rPr>
                <w:rFonts w:eastAsia="Calibri" w:cs="Calibri"/>
                <w:noProof/>
              </w:rPr>
            </w:pPr>
            <w:r>
              <w:rPr>
                <w:noProof/>
              </w:rPr>
              <w:t>Öppnande av lediga platser för utbildning</w:t>
            </w:r>
          </w:p>
        </w:tc>
      </w:tr>
      <w:tr w:rsidR="00E040FD" w14:paraId="33E8B5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DA94FF" w14:textId="77777777" w:rsidR="00E040FD" w:rsidRDefault="00740D64">
            <w:pPr>
              <w:pStyle w:val="P68B1DB1-Normal23"/>
              <w:spacing w:after="0"/>
              <w:jc w:val="center"/>
              <w:rPr>
                <w:rFonts w:eastAsia="Calibri" w:cs="Calibri"/>
                <w:noProof/>
              </w:rPr>
            </w:pPr>
            <w:r>
              <w:rPr>
                <w:noProof/>
              </w:rPr>
              <w:t>7.3</w:t>
            </w:r>
          </w:p>
        </w:tc>
        <w:tc>
          <w:tcPr>
            <w:tcW w:w="1760" w:type="dxa"/>
            <w:tcBorders>
              <w:top w:val="nil"/>
              <w:left w:val="nil"/>
              <w:bottom w:val="single" w:sz="4" w:space="0" w:color="auto"/>
              <w:right w:val="single" w:sz="4" w:space="0" w:color="auto"/>
            </w:tcBorders>
            <w:shd w:val="clear" w:color="auto" w:fill="C4EFCE"/>
            <w:vAlign w:val="center"/>
            <w:hideMark/>
          </w:tcPr>
          <w:p w14:paraId="3892C438" w14:textId="77777777" w:rsidR="00E040FD" w:rsidRDefault="00740D64">
            <w:pPr>
              <w:pStyle w:val="P68B1DB1-Normal23"/>
              <w:spacing w:after="0"/>
              <w:jc w:val="center"/>
              <w:rPr>
                <w:rFonts w:eastAsia="Calibri" w:cs="Calibri"/>
                <w:noProof/>
              </w:rPr>
            </w:pPr>
            <w:r>
              <w:rPr>
                <w:noProof/>
              </w:rPr>
              <w:t>RE-C07-i00</w:t>
            </w:r>
          </w:p>
        </w:tc>
        <w:tc>
          <w:tcPr>
            <w:tcW w:w="1520" w:type="dxa"/>
            <w:tcBorders>
              <w:top w:val="nil"/>
              <w:left w:val="nil"/>
              <w:bottom w:val="single" w:sz="4" w:space="0" w:color="auto"/>
              <w:right w:val="single" w:sz="4" w:space="0" w:color="auto"/>
            </w:tcBorders>
            <w:shd w:val="clear" w:color="auto" w:fill="C4EFCE"/>
            <w:vAlign w:val="center"/>
            <w:hideMark/>
          </w:tcPr>
          <w:p w14:paraId="717E5A0E"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51B064" w14:textId="15C38C04" w:rsidR="00E040FD" w:rsidRDefault="00740D64">
            <w:pPr>
              <w:pStyle w:val="P68B1DB1-Normal23"/>
              <w:spacing w:after="0"/>
              <w:jc w:val="both"/>
              <w:rPr>
                <w:rFonts w:eastAsia="Calibri" w:cs="Calibri"/>
                <w:noProof/>
              </w:rPr>
            </w:pPr>
            <w:r>
              <w:rPr>
                <w:noProof/>
              </w:rPr>
              <w:t>Allmänt tillgängliga laddningsstationer för elfordon</w:t>
            </w:r>
          </w:p>
        </w:tc>
      </w:tr>
      <w:tr w:rsidR="00E040FD" w14:paraId="650DC73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9A4D3B" w14:textId="77777777" w:rsidR="00E040FD" w:rsidRDefault="00740D64">
            <w:pPr>
              <w:pStyle w:val="P68B1DB1-Normal23"/>
              <w:spacing w:after="0"/>
              <w:jc w:val="center"/>
              <w:rPr>
                <w:rFonts w:eastAsia="Calibri" w:cs="Calibri"/>
                <w:noProof/>
              </w:rPr>
            </w:pPr>
            <w:r>
              <w:rPr>
                <w:noProof/>
              </w:rPr>
              <w:t>7.5</w:t>
            </w:r>
          </w:p>
        </w:tc>
        <w:tc>
          <w:tcPr>
            <w:tcW w:w="1760" w:type="dxa"/>
            <w:tcBorders>
              <w:top w:val="nil"/>
              <w:left w:val="nil"/>
              <w:bottom w:val="single" w:sz="4" w:space="0" w:color="auto"/>
              <w:right w:val="single" w:sz="4" w:space="0" w:color="auto"/>
            </w:tcBorders>
            <w:shd w:val="clear" w:color="auto" w:fill="C4EFCE"/>
            <w:vAlign w:val="center"/>
            <w:hideMark/>
          </w:tcPr>
          <w:p w14:paraId="17918B41" w14:textId="77777777" w:rsidR="00E040FD" w:rsidRDefault="00740D64">
            <w:pPr>
              <w:pStyle w:val="P68B1DB1-Normal23"/>
              <w:spacing w:after="0"/>
              <w:jc w:val="center"/>
              <w:rPr>
                <w:rFonts w:eastAsia="Calibri" w:cs="Calibri"/>
                <w:noProof/>
              </w:rPr>
            </w:pPr>
            <w:r>
              <w:rPr>
                <w:noProof/>
              </w:rPr>
              <w:t>RE-C07-i01</w:t>
            </w:r>
          </w:p>
        </w:tc>
        <w:tc>
          <w:tcPr>
            <w:tcW w:w="1520" w:type="dxa"/>
            <w:tcBorders>
              <w:top w:val="nil"/>
              <w:left w:val="nil"/>
              <w:bottom w:val="single" w:sz="4" w:space="0" w:color="auto"/>
              <w:right w:val="single" w:sz="4" w:space="0" w:color="auto"/>
            </w:tcBorders>
            <w:shd w:val="clear" w:color="auto" w:fill="C4EFCE"/>
            <w:vAlign w:val="center"/>
            <w:hideMark/>
          </w:tcPr>
          <w:p w14:paraId="459806A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443B899" w14:textId="77777777" w:rsidR="00E040FD" w:rsidRDefault="00740D64">
            <w:pPr>
              <w:pStyle w:val="P68B1DB1-Normal23"/>
              <w:spacing w:after="0"/>
              <w:jc w:val="both"/>
              <w:rPr>
                <w:rFonts w:eastAsia="Calibri" w:cs="Calibri"/>
                <w:noProof/>
              </w:rPr>
            </w:pPr>
            <w:r>
              <w:rPr>
                <w:noProof/>
              </w:rPr>
              <w:t>Slutförande av insatser i utvalda mottagningsområden för företag</w:t>
            </w:r>
          </w:p>
        </w:tc>
      </w:tr>
      <w:tr w:rsidR="00E040FD" w14:paraId="6CD2520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A01F62" w14:textId="77777777" w:rsidR="00E040FD" w:rsidRDefault="00740D64">
            <w:pPr>
              <w:pStyle w:val="P68B1DB1-Normal23"/>
              <w:spacing w:after="0"/>
              <w:jc w:val="center"/>
              <w:rPr>
                <w:rFonts w:eastAsia="Calibri" w:cs="Calibri"/>
                <w:noProof/>
              </w:rPr>
            </w:pPr>
            <w:r>
              <w:rPr>
                <w:noProof/>
              </w:rPr>
              <w:t>7.8</w:t>
            </w:r>
          </w:p>
        </w:tc>
        <w:tc>
          <w:tcPr>
            <w:tcW w:w="1760" w:type="dxa"/>
            <w:tcBorders>
              <w:top w:val="nil"/>
              <w:left w:val="nil"/>
              <w:bottom w:val="single" w:sz="4" w:space="0" w:color="auto"/>
              <w:right w:val="single" w:sz="4" w:space="0" w:color="auto"/>
            </w:tcBorders>
            <w:shd w:val="clear" w:color="auto" w:fill="C4EFCE"/>
            <w:vAlign w:val="center"/>
            <w:hideMark/>
          </w:tcPr>
          <w:p w14:paraId="05E0D85C" w14:textId="77777777" w:rsidR="00E040FD" w:rsidRDefault="00740D64">
            <w:pPr>
              <w:pStyle w:val="P68B1DB1-Normal23"/>
              <w:spacing w:after="0"/>
              <w:jc w:val="center"/>
              <w:rPr>
                <w:rFonts w:eastAsia="Calibri" w:cs="Calibri"/>
                <w:noProof/>
              </w:rPr>
            </w:pPr>
            <w:r>
              <w:rPr>
                <w:noProof/>
              </w:rPr>
              <w:t>RE-C07-i02</w:t>
            </w:r>
          </w:p>
        </w:tc>
        <w:tc>
          <w:tcPr>
            <w:tcW w:w="1520" w:type="dxa"/>
            <w:tcBorders>
              <w:top w:val="nil"/>
              <w:left w:val="nil"/>
              <w:bottom w:val="single" w:sz="4" w:space="0" w:color="auto"/>
              <w:right w:val="single" w:sz="4" w:space="0" w:color="auto"/>
            </w:tcBorders>
            <w:shd w:val="clear" w:color="auto" w:fill="C4EFCE"/>
            <w:vAlign w:val="center"/>
            <w:hideMark/>
          </w:tcPr>
          <w:p w14:paraId="1DD8E82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4F4337" w14:textId="77777777" w:rsidR="00E040FD" w:rsidRDefault="00740D64">
            <w:pPr>
              <w:pStyle w:val="P68B1DB1-Normal23"/>
              <w:spacing w:after="0"/>
              <w:jc w:val="both"/>
              <w:rPr>
                <w:rFonts w:eastAsia="Calibri" w:cs="Calibri"/>
                <w:noProof/>
              </w:rPr>
            </w:pPr>
            <w:r>
              <w:rPr>
                <w:noProof/>
              </w:rPr>
              <w:t>Vägar som har byggts eller renoverats</w:t>
            </w:r>
          </w:p>
        </w:tc>
      </w:tr>
      <w:tr w:rsidR="00E040FD" w14:paraId="377F20C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BA2719F" w14:textId="77777777" w:rsidR="00E040FD" w:rsidRDefault="00740D64">
            <w:pPr>
              <w:pStyle w:val="P68B1DB1-Normal23"/>
              <w:spacing w:after="0"/>
              <w:jc w:val="center"/>
              <w:rPr>
                <w:rFonts w:eastAsia="Calibri" w:cs="Calibri"/>
                <w:noProof/>
              </w:rPr>
            </w:pPr>
            <w:r>
              <w:rPr>
                <w:noProof/>
              </w:rPr>
              <w:t>8.1</w:t>
            </w:r>
          </w:p>
        </w:tc>
        <w:tc>
          <w:tcPr>
            <w:tcW w:w="1760" w:type="dxa"/>
            <w:tcBorders>
              <w:top w:val="nil"/>
              <w:left w:val="nil"/>
              <w:bottom w:val="single" w:sz="4" w:space="0" w:color="auto"/>
              <w:right w:val="single" w:sz="4" w:space="0" w:color="auto"/>
            </w:tcBorders>
            <w:shd w:val="clear" w:color="auto" w:fill="C4EFCE"/>
            <w:vAlign w:val="center"/>
            <w:hideMark/>
          </w:tcPr>
          <w:p w14:paraId="01EDC3E5" w14:textId="77777777" w:rsidR="00E040FD" w:rsidRDefault="00740D64">
            <w:pPr>
              <w:pStyle w:val="P68B1DB1-Normal23"/>
              <w:spacing w:after="0"/>
              <w:jc w:val="center"/>
              <w:rPr>
                <w:rFonts w:eastAsia="Calibri" w:cs="Calibri"/>
                <w:noProof/>
              </w:rPr>
            </w:pPr>
            <w:r>
              <w:rPr>
                <w:noProof/>
              </w:rPr>
              <w:t>RE-C08-i01</w:t>
            </w:r>
          </w:p>
        </w:tc>
        <w:tc>
          <w:tcPr>
            <w:tcW w:w="1520" w:type="dxa"/>
            <w:tcBorders>
              <w:top w:val="nil"/>
              <w:left w:val="nil"/>
              <w:bottom w:val="single" w:sz="4" w:space="0" w:color="auto"/>
              <w:right w:val="single" w:sz="4" w:space="0" w:color="auto"/>
            </w:tcBorders>
            <w:shd w:val="clear" w:color="auto" w:fill="C4EFCE"/>
            <w:vAlign w:val="center"/>
            <w:hideMark/>
          </w:tcPr>
          <w:p w14:paraId="1980E79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1410C3D" w14:textId="77777777" w:rsidR="00E040FD" w:rsidRDefault="00740D64">
            <w:pPr>
              <w:pStyle w:val="P68B1DB1-Normal23"/>
              <w:spacing w:after="0"/>
              <w:jc w:val="both"/>
              <w:rPr>
                <w:rFonts w:eastAsia="Calibri" w:cs="Calibri"/>
                <w:noProof/>
              </w:rPr>
            </w:pPr>
            <w:r>
              <w:rPr>
                <w:noProof/>
              </w:rPr>
              <w:t>Utveckling av program för landskapsplanering och landskapsvård (PRGP) i de områden som definieras som sårbara.</w:t>
            </w:r>
          </w:p>
        </w:tc>
      </w:tr>
      <w:tr w:rsidR="00E040FD" w14:paraId="57C9696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18667B" w14:textId="77777777" w:rsidR="00E040FD" w:rsidRDefault="00740D64">
            <w:pPr>
              <w:pStyle w:val="P68B1DB1-Normal23"/>
              <w:spacing w:after="0"/>
              <w:jc w:val="center"/>
              <w:rPr>
                <w:rFonts w:eastAsia="Calibri" w:cs="Calibri"/>
                <w:noProof/>
              </w:rPr>
            </w:pPr>
            <w:r>
              <w:rPr>
                <w:noProof/>
              </w:rPr>
              <w:t>8.2</w:t>
            </w:r>
          </w:p>
        </w:tc>
        <w:tc>
          <w:tcPr>
            <w:tcW w:w="1760" w:type="dxa"/>
            <w:tcBorders>
              <w:top w:val="nil"/>
              <w:left w:val="nil"/>
              <w:bottom w:val="single" w:sz="4" w:space="0" w:color="auto"/>
              <w:right w:val="single" w:sz="4" w:space="0" w:color="auto"/>
            </w:tcBorders>
            <w:shd w:val="clear" w:color="auto" w:fill="C4EFCE"/>
            <w:vAlign w:val="center"/>
            <w:hideMark/>
          </w:tcPr>
          <w:p w14:paraId="7A203DDE" w14:textId="77777777" w:rsidR="00E040FD" w:rsidRDefault="00740D64">
            <w:pPr>
              <w:pStyle w:val="P68B1DB1-Normal23"/>
              <w:spacing w:after="0"/>
              <w:jc w:val="center"/>
              <w:rPr>
                <w:rFonts w:eastAsia="Calibri" w:cs="Calibri"/>
                <w:noProof/>
              </w:rPr>
            </w:pPr>
            <w:r>
              <w:rPr>
                <w:noProof/>
              </w:rPr>
              <w:t>RE-C08-i01</w:t>
            </w:r>
          </w:p>
        </w:tc>
        <w:tc>
          <w:tcPr>
            <w:tcW w:w="1520" w:type="dxa"/>
            <w:tcBorders>
              <w:top w:val="nil"/>
              <w:left w:val="nil"/>
              <w:bottom w:val="single" w:sz="4" w:space="0" w:color="auto"/>
              <w:right w:val="single" w:sz="4" w:space="0" w:color="auto"/>
            </w:tcBorders>
            <w:shd w:val="clear" w:color="auto" w:fill="C4EFCE"/>
            <w:noWrap/>
            <w:vAlign w:val="center"/>
            <w:hideMark/>
          </w:tcPr>
          <w:p w14:paraId="41F26EE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noWrap/>
            <w:vAlign w:val="center"/>
            <w:hideMark/>
          </w:tcPr>
          <w:p w14:paraId="0C955423" w14:textId="77777777" w:rsidR="00E040FD" w:rsidRDefault="00740D64">
            <w:pPr>
              <w:pStyle w:val="P68B1DB1-Normal23"/>
              <w:spacing w:after="0"/>
              <w:jc w:val="both"/>
              <w:rPr>
                <w:rFonts w:eastAsia="Calibri" w:cs="Calibri"/>
                <w:noProof/>
              </w:rPr>
            </w:pPr>
            <w:r>
              <w:rPr>
                <w:noProof/>
              </w:rPr>
              <w:t xml:space="preserve"> Publicering av integrerade insatser för landskapsförvaltning (OIGP) i Diário da Republica</w:t>
            </w:r>
          </w:p>
        </w:tc>
      </w:tr>
      <w:tr w:rsidR="00E040FD" w14:paraId="7FAC8B4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4DC7D96" w14:textId="77777777" w:rsidR="00E040FD" w:rsidRDefault="00740D64">
            <w:pPr>
              <w:pStyle w:val="P68B1DB1-Normal23"/>
              <w:spacing w:after="0"/>
              <w:jc w:val="center"/>
              <w:rPr>
                <w:rFonts w:eastAsia="Calibri" w:cs="Calibri"/>
                <w:noProof/>
              </w:rPr>
            </w:pPr>
            <w:r>
              <w:rPr>
                <w:noProof/>
              </w:rPr>
              <w:t>8.3</w:t>
            </w:r>
          </w:p>
        </w:tc>
        <w:tc>
          <w:tcPr>
            <w:tcW w:w="1760" w:type="dxa"/>
            <w:tcBorders>
              <w:top w:val="nil"/>
              <w:left w:val="nil"/>
              <w:bottom w:val="single" w:sz="4" w:space="0" w:color="auto"/>
              <w:right w:val="single" w:sz="4" w:space="0" w:color="auto"/>
            </w:tcBorders>
            <w:shd w:val="clear" w:color="auto" w:fill="C4EFCE"/>
            <w:vAlign w:val="center"/>
            <w:hideMark/>
          </w:tcPr>
          <w:p w14:paraId="79CACB0A" w14:textId="77777777" w:rsidR="00E040FD" w:rsidRDefault="00740D64">
            <w:pPr>
              <w:pStyle w:val="P68B1DB1-Normal23"/>
              <w:spacing w:after="0"/>
              <w:jc w:val="center"/>
              <w:rPr>
                <w:rFonts w:eastAsia="Calibri" w:cs="Calibri"/>
                <w:noProof/>
              </w:rPr>
            </w:pPr>
            <w:r>
              <w:rPr>
                <w:noProof/>
              </w:rPr>
              <w:t>RE-C08-i01</w:t>
            </w:r>
          </w:p>
        </w:tc>
        <w:tc>
          <w:tcPr>
            <w:tcW w:w="1520" w:type="dxa"/>
            <w:tcBorders>
              <w:top w:val="nil"/>
              <w:left w:val="nil"/>
              <w:bottom w:val="single" w:sz="4" w:space="0" w:color="auto"/>
              <w:right w:val="single" w:sz="4" w:space="0" w:color="auto"/>
            </w:tcBorders>
            <w:shd w:val="clear" w:color="auto" w:fill="C4EFCE"/>
            <w:vAlign w:val="center"/>
            <w:hideMark/>
          </w:tcPr>
          <w:p w14:paraId="73DC3FE2"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38BA7AD" w14:textId="77777777" w:rsidR="00E040FD" w:rsidRDefault="00740D64">
            <w:pPr>
              <w:pStyle w:val="P68B1DB1-Normal23"/>
              <w:spacing w:after="0"/>
              <w:jc w:val="both"/>
              <w:rPr>
                <w:rFonts w:eastAsia="Calibri" w:cs="Calibri"/>
                <w:noProof/>
              </w:rPr>
            </w:pPr>
            <w:r>
              <w:rPr>
                <w:noProof/>
              </w:rPr>
              <w:t>Byar med bränsleförvaltningsprojekt</w:t>
            </w:r>
          </w:p>
        </w:tc>
      </w:tr>
      <w:tr w:rsidR="00E040FD" w14:paraId="61C196A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9695262" w14:textId="77777777" w:rsidR="00E040FD" w:rsidRDefault="00740D64">
            <w:pPr>
              <w:pStyle w:val="P68B1DB1-Normal23"/>
              <w:spacing w:after="0"/>
              <w:jc w:val="center"/>
              <w:rPr>
                <w:rFonts w:eastAsia="Calibri" w:cs="Calibri"/>
                <w:noProof/>
              </w:rPr>
            </w:pPr>
            <w:r>
              <w:rPr>
                <w:noProof/>
              </w:rPr>
              <w:t>8.8</w:t>
            </w:r>
          </w:p>
        </w:tc>
        <w:tc>
          <w:tcPr>
            <w:tcW w:w="1760" w:type="dxa"/>
            <w:tcBorders>
              <w:top w:val="nil"/>
              <w:left w:val="nil"/>
              <w:bottom w:val="single" w:sz="4" w:space="0" w:color="auto"/>
              <w:right w:val="single" w:sz="4" w:space="0" w:color="auto"/>
            </w:tcBorders>
            <w:shd w:val="clear" w:color="auto" w:fill="C4EFCE"/>
            <w:vAlign w:val="center"/>
            <w:hideMark/>
          </w:tcPr>
          <w:p w14:paraId="788A36AA" w14:textId="77777777" w:rsidR="00E040FD" w:rsidRDefault="00740D64">
            <w:pPr>
              <w:pStyle w:val="P68B1DB1-Normal23"/>
              <w:spacing w:after="0"/>
              <w:jc w:val="center"/>
              <w:rPr>
                <w:rFonts w:eastAsia="Calibri" w:cs="Calibri"/>
                <w:noProof/>
              </w:rPr>
            </w:pPr>
            <w:r>
              <w:rPr>
                <w:noProof/>
              </w:rPr>
              <w:t>RE-C08-i03</w:t>
            </w:r>
          </w:p>
        </w:tc>
        <w:tc>
          <w:tcPr>
            <w:tcW w:w="1520" w:type="dxa"/>
            <w:tcBorders>
              <w:top w:val="nil"/>
              <w:left w:val="nil"/>
              <w:bottom w:val="single" w:sz="4" w:space="0" w:color="auto"/>
              <w:right w:val="single" w:sz="4" w:space="0" w:color="auto"/>
            </w:tcBorders>
            <w:shd w:val="clear" w:color="auto" w:fill="C4EFCE"/>
            <w:vAlign w:val="center"/>
            <w:hideMark/>
          </w:tcPr>
          <w:p w14:paraId="69601962"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6BAA7BC" w14:textId="77777777" w:rsidR="00E040FD" w:rsidRDefault="00740D64">
            <w:pPr>
              <w:pStyle w:val="P68B1DB1-Normal23"/>
              <w:spacing w:after="0"/>
              <w:jc w:val="both"/>
              <w:rPr>
                <w:rFonts w:eastAsia="Calibri" w:cs="Calibri"/>
                <w:noProof/>
              </w:rPr>
            </w:pPr>
            <w:r>
              <w:rPr>
                <w:noProof/>
              </w:rPr>
              <w:t>Etablerat servitut</w:t>
            </w:r>
          </w:p>
        </w:tc>
      </w:tr>
      <w:tr w:rsidR="00E040FD" w14:paraId="0F8A647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BEAB0A" w14:textId="77777777" w:rsidR="00E040FD" w:rsidRDefault="00740D64">
            <w:pPr>
              <w:pStyle w:val="P68B1DB1-Normal23"/>
              <w:spacing w:after="0"/>
              <w:jc w:val="center"/>
              <w:rPr>
                <w:rFonts w:eastAsia="Calibri" w:cs="Calibri"/>
                <w:noProof/>
              </w:rPr>
            </w:pPr>
            <w:r>
              <w:rPr>
                <w:noProof/>
              </w:rPr>
              <w:t>8.9</w:t>
            </w:r>
          </w:p>
        </w:tc>
        <w:tc>
          <w:tcPr>
            <w:tcW w:w="1760" w:type="dxa"/>
            <w:tcBorders>
              <w:top w:val="nil"/>
              <w:left w:val="nil"/>
              <w:bottom w:val="single" w:sz="4" w:space="0" w:color="auto"/>
              <w:right w:val="single" w:sz="4" w:space="0" w:color="auto"/>
            </w:tcBorders>
            <w:shd w:val="clear" w:color="auto" w:fill="C4EFCE"/>
            <w:vAlign w:val="center"/>
            <w:hideMark/>
          </w:tcPr>
          <w:p w14:paraId="5FB474F3" w14:textId="77777777" w:rsidR="00E040FD" w:rsidRDefault="00740D64">
            <w:pPr>
              <w:pStyle w:val="P68B1DB1-Normal23"/>
              <w:spacing w:after="0"/>
              <w:jc w:val="center"/>
              <w:rPr>
                <w:rFonts w:eastAsia="Calibri" w:cs="Calibri"/>
                <w:noProof/>
              </w:rPr>
            </w:pPr>
            <w:r>
              <w:rPr>
                <w:noProof/>
              </w:rPr>
              <w:t>RE-C08-i03</w:t>
            </w:r>
          </w:p>
        </w:tc>
        <w:tc>
          <w:tcPr>
            <w:tcW w:w="1520" w:type="dxa"/>
            <w:tcBorders>
              <w:top w:val="nil"/>
              <w:left w:val="nil"/>
              <w:bottom w:val="single" w:sz="4" w:space="0" w:color="auto"/>
              <w:right w:val="single" w:sz="4" w:space="0" w:color="auto"/>
            </w:tcBorders>
            <w:shd w:val="clear" w:color="auto" w:fill="C4EFCE"/>
            <w:vAlign w:val="center"/>
            <w:hideMark/>
          </w:tcPr>
          <w:p w14:paraId="28F771B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7D20804" w14:textId="77777777" w:rsidR="00E040FD" w:rsidRDefault="00740D64">
            <w:pPr>
              <w:pStyle w:val="P68B1DB1-Normal23"/>
              <w:spacing w:after="0"/>
              <w:jc w:val="both"/>
              <w:rPr>
                <w:rFonts w:eastAsia="Calibri" w:cs="Calibri"/>
                <w:noProof/>
              </w:rPr>
            </w:pPr>
            <w:r>
              <w:rPr>
                <w:noProof/>
              </w:rPr>
              <w:t>Genomförande av struktureringsnätverket för hantering av primärt bränsle (Primary Fuel Management Breaks Structuring Network, RPFGC)</w:t>
            </w:r>
          </w:p>
        </w:tc>
      </w:tr>
      <w:tr w:rsidR="00E040FD" w14:paraId="743370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3BCE24" w14:textId="77777777" w:rsidR="00E040FD" w:rsidRDefault="00740D64">
            <w:pPr>
              <w:pStyle w:val="P68B1DB1-Normal23"/>
              <w:spacing w:after="0"/>
              <w:jc w:val="center"/>
              <w:rPr>
                <w:rFonts w:eastAsia="Calibri" w:cs="Calibri"/>
                <w:noProof/>
              </w:rPr>
            </w:pPr>
            <w:r>
              <w:rPr>
                <w:noProof/>
              </w:rPr>
              <w:t>8.11</w:t>
            </w:r>
          </w:p>
        </w:tc>
        <w:tc>
          <w:tcPr>
            <w:tcW w:w="1760" w:type="dxa"/>
            <w:tcBorders>
              <w:top w:val="nil"/>
              <w:left w:val="nil"/>
              <w:bottom w:val="single" w:sz="4" w:space="0" w:color="auto"/>
              <w:right w:val="single" w:sz="4" w:space="0" w:color="auto"/>
            </w:tcBorders>
            <w:shd w:val="clear" w:color="auto" w:fill="C4EFCE"/>
            <w:vAlign w:val="center"/>
            <w:hideMark/>
          </w:tcPr>
          <w:p w14:paraId="5060106C" w14:textId="77777777" w:rsidR="00E040FD" w:rsidRDefault="00740D64">
            <w:pPr>
              <w:pStyle w:val="P68B1DB1-Normal23"/>
              <w:spacing w:after="0"/>
              <w:jc w:val="center"/>
              <w:rPr>
                <w:rFonts w:eastAsia="Calibri" w:cs="Calibri"/>
                <w:noProof/>
              </w:rPr>
            </w:pPr>
            <w:r>
              <w:rPr>
                <w:noProof/>
              </w:rPr>
              <w:t>RE-C08-i04</w:t>
            </w:r>
          </w:p>
        </w:tc>
        <w:tc>
          <w:tcPr>
            <w:tcW w:w="1520" w:type="dxa"/>
            <w:tcBorders>
              <w:top w:val="nil"/>
              <w:left w:val="nil"/>
              <w:bottom w:val="single" w:sz="4" w:space="0" w:color="auto"/>
              <w:right w:val="single" w:sz="4" w:space="0" w:color="auto"/>
            </w:tcBorders>
            <w:shd w:val="clear" w:color="auto" w:fill="C4EFCE"/>
            <w:vAlign w:val="center"/>
            <w:hideMark/>
          </w:tcPr>
          <w:p w14:paraId="1062D4CE"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8AA6F2" w14:textId="77777777" w:rsidR="00E040FD" w:rsidRDefault="00740D64">
            <w:pPr>
              <w:pStyle w:val="P68B1DB1-Normal23"/>
              <w:spacing w:after="0"/>
              <w:jc w:val="both"/>
              <w:rPr>
                <w:rFonts w:eastAsia="Calibri" w:cs="Calibri"/>
                <w:noProof/>
              </w:rPr>
            </w:pPr>
            <w:r>
              <w:rPr>
                <w:noProof/>
              </w:rPr>
              <w:t>Leverans av lätta och medeltunga brandmanshelikoptrar</w:t>
            </w:r>
          </w:p>
        </w:tc>
      </w:tr>
      <w:tr w:rsidR="00E040FD" w14:paraId="029E127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45D7569" w14:textId="77777777" w:rsidR="00E040FD" w:rsidRDefault="00740D64">
            <w:pPr>
              <w:pStyle w:val="P68B1DB1-Normal23"/>
              <w:spacing w:after="0"/>
              <w:jc w:val="center"/>
              <w:rPr>
                <w:rFonts w:eastAsia="Calibri" w:cs="Calibri"/>
                <w:noProof/>
              </w:rPr>
            </w:pPr>
            <w:r>
              <w:rPr>
                <w:noProof/>
              </w:rPr>
              <w:t>8.16</w:t>
            </w:r>
          </w:p>
        </w:tc>
        <w:tc>
          <w:tcPr>
            <w:tcW w:w="1760" w:type="dxa"/>
            <w:tcBorders>
              <w:top w:val="nil"/>
              <w:left w:val="nil"/>
              <w:bottom w:val="single" w:sz="4" w:space="0" w:color="auto"/>
              <w:right w:val="single" w:sz="4" w:space="0" w:color="auto"/>
            </w:tcBorders>
            <w:shd w:val="clear" w:color="auto" w:fill="C4EFCE"/>
            <w:vAlign w:val="center"/>
            <w:hideMark/>
          </w:tcPr>
          <w:p w14:paraId="406E3841" w14:textId="77777777" w:rsidR="00E040FD" w:rsidRDefault="00740D64">
            <w:pPr>
              <w:pStyle w:val="P68B1DB1-Normal23"/>
              <w:spacing w:after="0"/>
              <w:jc w:val="center"/>
              <w:rPr>
                <w:rFonts w:eastAsia="Calibri" w:cs="Calibri"/>
                <w:noProof/>
              </w:rPr>
            </w:pPr>
            <w:r>
              <w:rPr>
                <w:noProof/>
              </w:rPr>
              <w:t>RE-C08-i05</w:t>
            </w:r>
          </w:p>
        </w:tc>
        <w:tc>
          <w:tcPr>
            <w:tcW w:w="1520" w:type="dxa"/>
            <w:tcBorders>
              <w:top w:val="nil"/>
              <w:left w:val="nil"/>
              <w:bottom w:val="single" w:sz="4" w:space="0" w:color="auto"/>
              <w:right w:val="single" w:sz="4" w:space="0" w:color="auto"/>
            </w:tcBorders>
            <w:shd w:val="clear" w:color="auto" w:fill="C4EFCE"/>
            <w:vAlign w:val="center"/>
            <w:hideMark/>
          </w:tcPr>
          <w:p w14:paraId="5F70D9DF"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632C10" w14:textId="77777777" w:rsidR="00E040FD" w:rsidRDefault="00740D64">
            <w:pPr>
              <w:pStyle w:val="P68B1DB1-Normal23"/>
              <w:spacing w:after="0"/>
              <w:jc w:val="both"/>
              <w:rPr>
                <w:rFonts w:eastAsia="Calibri" w:cs="Calibri"/>
                <w:noProof/>
              </w:rPr>
            </w:pPr>
            <w:r>
              <w:rPr>
                <w:noProof/>
              </w:rPr>
              <w:t>Genomförande av ett nationellt utbildningsprogram</w:t>
            </w:r>
          </w:p>
        </w:tc>
      </w:tr>
      <w:tr w:rsidR="00E040FD" w14:paraId="151E9F4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364E79" w14:textId="77777777" w:rsidR="00E040FD" w:rsidRDefault="00740D64">
            <w:pPr>
              <w:pStyle w:val="P68B1DB1-Normal23"/>
              <w:spacing w:after="0"/>
              <w:jc w:val="center"/>
              <w:rPr>
                <w:rFonts w:eastAsia="Calibri" w:cs="Calibri"/>
                <w:noProof/>
              </w:rPr>
            </w:pPr>
            <w:r>
              <w:rPr>
                <w:noProof/>
              </w:rPr>
              <w:t>8.20</w:t>
            </w:r>
          </w:p>
        </w:tc>
        <w:tc>
          <w:tcPr>
            <w:tcW w:w="1760" w:type="dxa"/>
            <w:tcBorders>
              <w:top w:val="nil"/>
              <w:left w:val="nil"/>
              <w:bottom w:val="single" w:sz="4" w:space="0" w:color="auto"/>
              <w:right w:val="single" w:sz="4" w:space="0" w:color="auto"/>
            </w:tcBorders>
            <w:shd w:val="clear" w:color="auto" w:fill="C4EFCE"/>
            <w:vAlign w:val="center"/>
            <w:hideMark/>
          </w:tcPr>
          <w:p w14:paraId="0F6D2E23" w14:textId="77777777" w:rsidR="00E040FD" w:rsidRDefault="00740D64">
            <w:pPr>
              <w:pStyle w:val="P68B1DB1-Normal23"/>
              <w:spacing w:after="0"/>
              <w:jc w:val="center"/>
              <w:rPr>
                <w:rFonts w:eastAsia="Calibri" w:cs="Calibri"/>
                <w:noProof/>
              </w:rPr>
            </w:pPr>
            <w:r>
              <w:rPr>
                <w:noProof/>
              </w:rPr>
              <w:t>RE-C08-i01</w:t>
            </w:r>
          </w:p>
        </w:tc>
        <w:tc>
          <w:tcPr>
            <w:tcW w:w="1520" w:type="dxa"/>
            <w:tcBorders>
              <w:top w:val="nil"/>
              <w:left w:val="nil"/>
              <w:bottom w:val="single" w:sz="4" w:space="0" w:color="auto"/>
              <w:right w:val="single" w:sz="4" w:space="0" w:color="auto"/>
            </w:tcBorders>
            <w:shd w:val="clear" w:color="auto" w:fill="C4EFCE"/>
            <w:vAlign w:val="center"/>
            <w:hideMark/>
          </w:tcPr>
          <w:p w14:paraId="6A8FA55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C69A6A" w14:textId="77777777" w:rsidR="00E040FD" w:rsidRDefault="00740D64">
            <w:pPr>
              <w:pStyle w:val="P68B1DB1-Normal23"/>
              <w:spacing w:after="0"/>
              <w:jc w:val="both"/>
              <w:rPr>
                <w:rFonts w:eastAsia="Calibri" w:cs="Calibri"/>
                <w:noProof/>
              </w:rPr>
            </w:pPr>
            <w:r>
              <w:rPr>
                <w:noProof/>
              </w:rPr>
              <w:t>Genomförande av arronderingsåtgärder Programa ”Emparcelar para Ordenar”</w:t>
            </w:r>
          </w:p>
        </w:tc>
      </w:tr>
      <w:tr w:rsidR="00E040FD" w14:paraId="3400313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D197FF" w14:textId="77777777" w:rsidR="00E040FD" w:rsidRDefault="00740D64">
            <w:pPr>
              <w:pStyle w:val="P68B1DB1-Normal23"/>
              <w:spacing w:after="0"/>
              <w:jc w:val="center"/>
              <w:rPr>
                <w:rFonts w:eastAsia="Calibri" w:cs="Calibri"/>
                <w:noProof/>
              </w:rPr>
            </w:pPr>
            <w:r>
              <w:rPr>
                <w:noProof/>
              </w:rPr>
              <w:t>9.13</w:t>
            </w:r>
          </w:p>
        </w:tc>
        <w:tc>
          <w:tcPr>
            <w:tcW w:w="1760" w:type="dxa"/>
            <w:tcBorders>
              <w:top w:val="nil"/>
              <w:left w:val="nil"/>
              <w:bottom w:val="single" w:sz="4" w:space="0" w:color="auto"/>
              <w:right w:val="single" w:sz="4" w:space="0" w:color="auto"/>
            </w:tcBorders>
            <w:shd w:val="clear" w:color="auto" w:fill="C4EFCE"/>
            <w:vAlign w:val="center"/>
            <w:hideMark/>
          </w:tcPr>
          <w:p w14:paraId="4DC101BB" w14:textId="77777777" w:rsidR="00E040FD" w:rsidRDefault="00740D64">
            <w:pPr>
              <w:pStyle w:val="P68B1DB1-Normal23"/>
              <w:spacing w:after="0"/>
              <w:jc w:val="center"/>
              <w:rPr>
                <w:rFonts w:eastAsia="Calibri" w:cs="Calibri"/>
                <w:noProof/>
              </w:rPr>
            </w:pPr>
            <w:r>
              <w:rPr>
                <w:noProof/>
              </w:rPr>
              <w:t>RE-C09-i03-RAM</w:t>
            </w:r>
          </w:p>
        </w:tc>
        <w:tc>
          <w:tcPr>
            <w:tcW w:w="1520" w:type="dxa"/>
            <w:tcBorders>
              <w:top w:val="nil"/>
              <w:left w:val="nil"/>
              <w:bottom w:val="single" w:sz="4" w:space="0" w:color="auto"/>
              <w:right w:val="single" w:sz="4" w:space="0" w:color="auto"/>
            </w:tcBorders>
            <w:shd w:val="clear" w:color="auto" w:fill="C4EFCE"/>
            <w:vAlign w:val="center"/>
            <w:hideMark/>
          </w:tcPr>
          <w:p w14:paraId="006C329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1DD5B30" w14:textId="77777777" w:rsidR="00E040FD" w:rsidRDefault="00740D64">
            <w:pPr>
              <w:pStyle w:val="P68B1DB1-Normal23"/>
              <w:spacing w:after="0"/>
              <w:jc w:val="both"/>
              <w:rPr>
                <w:rFonts w:eastAsia="Calibri" w:cs="Calibri"/>
                <w:noProof/>
              </w:rPr>
            </w:pPr>
            <w:r>
              <w:rPr>
                <w:noProof/>
              </w:rPr>
              <w:t>Ytterligare vattenvolym som görs tillgänglig på den södra delen av ön Madeira för offentlig försörjning och bevattning</w:t>
            </w:r>
          </w:p>
        </w:tc>
      </w:tr>
      <w:tr w:rsidR="00E040FD" w14:paraId="785F1D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66C8B5C" w14:textId="77777777" w:rsidR="00E040FD" w:rsidRDefault="00740D64">
            <w:pPr>
              <w:pStyle w:val="P68B1DB1-Normal23"/>
              <w:spacing w:after="0"/>
              <w:jc w:val="center"/>
              <w:rPr>
                <w:rFonts w:eastAsia="Calibri" w:cs="Calibri"/>
                <w:noProof/>
              </w:rPr>
            </w:pPr>
            <w:r>
              <w:rPr>
                <w:noProof/>
              </w:rPr>
              <w:t>10.2</w:t>
            </w:r>
          </w:p>
        </w:tc>
        <w:tc>
          <w:tcPr>
            <w:tcW w:w="1760" w:type="dxa"/>
            <w:tcBorders>
              <w:top w:val="nil"/>
              <w:left w:val="nil"/>
              <w:bottom w:val="single" w:sz="4" w:space="0" w:color="auto"/>
              <w:right w:val="single" w:sz="4" w:space="0" w:color="auto"/>
            </w:tcBorders>
            <w:shd w:val="clear" w:color="auto" w:fill="C4EFCE"/>
            <w:vAlign w:val="center"/>
            <w:hideMark/>
          </w:tcPr>
          <w:p w14:paraId="0D2AF861" w14:textId="77777777" w:rsidR="00E040FD" w:rsidRDefault="00740D64">
            <w:pPr>
              <w:pStyle w:val="P68B1DB1-Normal23"/>
              <w:spacing w:after="0"/>
              <w:jc w:val="center"/>
              <w:rPr>
                <w:rFonts w:eastAsia="Calibri" w:cs="Calibri"/>
                <w:noProof/>
              </w:rPr>
            </w:pPr>
            <w:r>
              <w:rPr>
                <w:noProof/>
              </w:rPr>
              <w:t>TC-C10-I01</w:t>
            </w:r>
          </w:p>
        </w:tc>
        <w:tc>
          <w:tcPr>
            <w:tcW w:w="1520" w:type="dxa"/>
            <w:tcBorders>
              <w:top w:val="nil"/>
              <w:left w:val="nil"/>
              <w:bottom w:val="single" w:sz="4" w:space="0" w:color="auto"/>
              <w:right w:val="single" w:sz="4" w:space="0" w:color="auto"/>
            </w:tcBorders>
            <w:shd w:val="clear" w:color="auto" w:fill="C4EFCE"/>
            <w:vAlign w:val="center"/>
            <w:hideMark/>
          </w:tcPr>
          <w:p w14:paraId="44875E4E"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39B19A" w14:textId="77777777" w:rsidR="00E040FD" w:rsidRDefault="00740D64">
            <w:pPr>
              <w:pStyle w:val="P68B1DB1-Normal23"/>
              <w:spacing w:after="0"/>
              <w:jc w:val="both"/>
              <w:rPr>
                <w:rFonts w:eastAsia="Calibri" w:cs="Calibri"/>
                <w:noProof/>
              </w:rPr>
            </w:pPr>
            <w:r>
              <w:rPr>
                <w:noProof/>
              </w:rPr>
              <w:t>Slutförande av Blue Hub School modernisering och förstärkning av utbud och utrustning</w:t>
            </w:r>
          </w:p>
        </w:tc>
      </w:tr>
      <w:tr w:rsidR="00E040FD" w14:paraId="5CCE596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FDF520" w14:textId="77777777" w:rsidR="00E040FD" w:rsidRDefault="00740D64">
            <w:pPr>
              <w:pStyle w:val="P68B1DB1-Normal23"/>
              <w:spacing w:after="0"/>
              <w:jc w:val="center"/>
              <w:rPr>
                <w:rFonts w:eastAsia="Calibri" w:cs="Calibri"/>
                <w:noProof/>
              </w:rPr>
            </w:pPr>
            <w:r>
              <w:rPr>
                <w:noProof/>
              </w:rPr>
              <w:t>10.3</w:t>
            </w:r>
          </w:p>
        </w:tc>
        <w:tc>
          <w:tcPr>
            <w:tcW w:w="1760" w:type="dxa"/>
            <w:tcBorders>
              <w:top w:val="nil"/>
              <w:left w:val="nil"/>
              <w:bottom w:val="single" w:sz="4" w:space="0" w:color="auto"/>
              <w:right w:val="single" w:sz="4" w:space="0" w:color="auto"/>
            </w:tcBorders>
            <w:shd w:val="clear" w:color="auto" w:fill="C4EFCE"/>
            <w:vAlign w:val="center"/>
            <w:hideMark/>
          </w:tcPr>
          <w:p w14:paraId="70B1C854" w14:textId="77777777" w:rsidR="00E040FD" w:rsidRDefault="00740D64">
            <w:pPr>
              <w:pStyle w:val="P68B1DB1-Normal23"/>
              <w:spacing w:after="0"/>
              <w:jc w:val="center"/>
              <w:rPr>
                <w:rFonts w:eastAsia="Calibri" w:cs="Calibri"/>
                <w:noProof/>
              </w:rPr>
            </w:pPr>
            <w:r>
              <w:rPr>
                <w:noProof/>
              </w:rPr>
              <w:t>TC-C10-I01</w:t>
            </w:r>
          </w:p>
        </w:tc>
        <w:tc>
          <w:tcPr>
            <w:tcW w:w="1520" w:type="dxa"/>
            <w:tcBorders>
              <w:top w:val="nil"/>
              <w:left w:val="nil"/>
              <w:bottom w:val="single" w:sz="4" w:space="0" w:color="auto"/>
              <w:right w:val="single" w:sz="4" w:space="0" w:color="auto"/>
            </w:tcBorders>
            <w:shd w:val="clear" w:color="auto" w:fill="C4EFCE"/>
            <w:vAlign w:val="center"/>
            <w:hideMark/>
          </w:tcPr>
          <w:p w14:paraId="6F5F3A8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54F1D5" w14:textId="77777777" w:rsidR="00E040FD" w:rsidRDefault="00740D64">
            <w:pPr>
              <w:pStyle w:val="P68B1DB1-Normal23"/>
              <w:spacing w:after="0"/>
              <w:jc w:val="both"/>
              <w:rPr>
                <w:rFonts w:eastAsia="Calibri" w:cs="Calibri"/>
                <w:noProof/>
              </w:rPr>
            </w:pPr>
            <w:r>
              <w:rPr>
                <w:noProof/>
              </w:rPr>
              <w:t>Slutförande av installationen och/eller uppgraderingen av knutpunkterna för Blue Hub</w:t>
            </w:r>
          </w:p>
        </w:tc>
      </w:tr>
      <w:tr w:rsidR="00E040FD" w14:paraId="7B6EB3C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48F399" w14:textId="77777777" w:rsidR="00E040FD" w:rsidRDefault="00740D64">
            <w:pPr>
              <w:pStyle w:val="P68B1DB1-Normal23"/>
              <w:spacing w:after="0"/>
              <w:jc w:val="center"/>
              <w:rPr>
                <w:rFonts w:eastAsia="Calibri" w:cs="Calibri"/>
                <w:noProof/>
              </w:rPr>
            </w:pPr>
            <w:r>
              <w:rPr>
                <w:noProof/>
              </w:rPr>
              <w:t>10.4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0B62858" w14:textId="77777777" w:rsidR="00E040FD" w:rsidRDefault="00740D64">
            <w:pPr>
              <w:pStyle w:val="P68B1DB1-Normal23"/>
              <w:spacing w:after="0"/>
              <w:jc w:val="center"/>
              <w:rPr>
                <w:rFonts w:eastAsia="Calibri" w:cs="Calibri"/>
                <w:noProof/>
              </w:rPr>
            </w:pPr>
            <w:r>
              <w:rPr>
                <w:noProof/>
              </w:rPr>
              <w:t>TC-C10-I02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736AA3B"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2D99B7" w14:textId="77777777" w:rsidR="00E040FD" w:rsidRDefault="00740D64">
            <w:pPr>
              <w:pStyle w:val="P68B1DB1-Normal23"/>
              <w:spacing w:after="0"/>
              <w:jc w:val="both"/>
              <w:rPr>
                <w:rFonts w:eastAsia="Calibri" w:cs="Calibri"/>
                <w:noProof/>
              </w:rPr>
            </w:pPr>
            <w:r>
              <w:rPr>
                <w:noProof/>
              </w:rPr>
              <w:t>Godkännande av slutrapporterna för 70 projekt till stöd för innovation, energiomställning och minskning av miljöpåverkan för enheter inom fiskesektorn</w:t>
            </w:r>
          </w:p>
        </w:tc>
      </w:tr>
      <w:tr w:rsidR="00E040FD" w14:paraId="2377D9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F2EEBE" w14:textId="77777777" w:rsidR="00E040FD" w:rsidRDefault="00740D64">
            <w:pPr>
              <w:pStyle w:val="P68B1DB1-Normal23"/>
              <w:spacing w:after="0"/>
              <w:jc w:val="center"/>
              <w:rPr>
                <w:rFonts w:eastAsia="Calibri" w:cs="Calibri"/>
                <w:noProof/>
              </w:rPr>
            </w:pPr>
            <w:r>
              <w:rPr>
                <w:noProof/>
              </w:rPr>
              <w:t>10.9</w:t>
            </w:r>
          </w:p>
        </w:tc>
        <w:tc>
          <w:tcPr>
            <w:tcW w:w="1760" w:type="dxa"/>
            <w:tcBorders>
              <w:top w:val="nil"/>
              <w:left w:val="nil"/>
              <w:bottom w:val="single" w:sz="4" w:space="0" w:color="auto"/>
              <w:right w:val="single" w:sz="4" w:space="0" w:color="auto"/>
            </w:tcBorders>
            <w:shd w:val="clear" w:color="auto" w:fill="C4EFCE"/>
            <w:vAlign w:val="center"/>
            <w:hideMark/>
          </w:tcPr>
          <w:p w14:paraId="62BDE422" w14:textId="77777777" w:rsidR="00E040FD" w:rsidRDefault="00740D64">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29E5E8E2"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423FB98" w14:textId="77777777" w:rsidR="00E040FD" w:rsidRDefault="00740D64">
            <w:pPr>
              <w:pStyle w:val="P68B1DB1-Normal23"/>
              <w:spacing w:after="0"/>
              <w:jc w:val="both"/>
              <w:rPr>
                <w:rFonts w:eastAsia="Calibri" w:cs="Calibri"/>
                <w:noProof/>
              </w:rPr>
            </w:pPr>
            <w:r>
              <w:rPr>
                <w:noProof/>
              </w:rPr>
              <w:t>Leverans av ett forskningsfartyg</w:t>
            </w:r>
          </w:p>
        </w:tc>
      </w:tr>
      <w:tr w:rsidR="00E040FD" w14:paraId="64CC4D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E87070" w14:textId="77777777" w:rsidR="00E040FD" w:rsidRDefault="00740D64">
            <w:pPr>
              <w:pStyle w:val="P68B1DB1-Normal23"/>
              <w:spacing w:after="0"/>
              <w:jc w:val="center"/>
              <w:rPr>
                <w:rFonts w:eastAsia="Calibri" w:cs="Calibri"/>
                <w:noProof/>
              </w:rPr>
            </w:pPr>
            <w:r>
              <w:rPr>
                <w:noProof/>
              </w:rPr>
              <w:t>10.16</w:t>
            </w:r>
          </w:p>
        </w:tc>
        <w:tc>
          <w:tcPr>
            <w:tcW w:w="1760" w:type="dxa"/>
            <w:tcBorders>
              <w:top w:val="nil"/>
              <w:left w:val="nil"/>
              <w:bottom w:val="single" w:sz="4" w:space="0" w:color="auto"/>
              <w:right w:val="single" w:sz="4" w:space="0" w:color="auto"/>
            </w:tcBorders>
            <w:shd w:val="clear" w:color="auto" w:fill="C4EFCE"/>
            <w:vAlign w:val="center"/>
            <w:hideMark/>
          </w:tcPr>
          <w:p w14:paraId="3B2E578C" w14:textId="77777777" w:rsidR="00E040FD" w:rsidRDefault="00740D64">
            <w:pPr>
              <w:pStyle w:val="P68B1DB1-Normal23"/>
              <w:spacing w:after="0"/>
              <w:jc w:val="center"/>
              <w:rPr>
                <w:rFonts w:eastAsia="Calibri" w:cs="Calibri"/>
                <w:noProof/>
              </w:rPr>
            </w:pPr>
            <w:r>
              <w:rPr>
                <w:noProof/>
              </w:rPr>
              <w:t>TC-C10-i06-RAM</w:t>
            </w:r>
          </w:p>
        </w:tc>
        <w:tc>
          <w:tcPr>
            <w:tcW w:w="1520" w:type="dxa"/>
            <w:tcBorders>
              <w:top w:val="nil"/>
              <w:left w:val="nil"/>
              <w:bottom w:val="single" w:sz="4" w:space="0" w:color="auto"/>
              <w:right w:val="single" w:sz="4" w:space="0" w:color="auto"/>
            </w:tcBorders>
            <w:shd w:val="clear" w:color="auto" w:fill="C4EFCE"/>
            <w:vAlign w:val="center"/>
            <w:hideMark/>
          </w:tcPr>
          <w:p w14:paraId="7BE16E0C"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247BA8C" w14:textId="77777777" w:rsidR="00E040FD" w:rsidRDefault="00740D64">
            <w:pPr>
              <w:pStyle w:val="P68B1DB1-Normal23"/>
              <w:spacing w:after="0"/>
              <w:jc w:val="both"/>
              <w:rPr>
                <w:rFonts w:eastAsia="Calibri" w:cs="Calibri"/>
                <w:noProof/>
              </w:rPr>
            </w:pPr>
            <w:r>
              <w:rPr>
                <w:noProof/>
              </w:rPr>
              <w:t>Leverans av autonoma obemannade fordon</w:t>
            </w:r>
          </w:p>
        </w:tc>
      </w:tr>
      <w:tr w:rsidR="00E040FD" w14:paraId="260DB7C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D25DA4" w14:textId="77777777" w:rsidR="00E040FD" w:rsidRDefault="00740D64">
            <w:pPr>
              <w:pStyle w:val="P68B1DB1-Normal23"/>
              <w:spacing w:after="0"/>
              <w:jc w:val="center"/>
              <w:rPr>
                <w:rFonts w:eastAsia="Calibri" w:cs="Calibri"/>
                <w:noProof/>
              </w:rPr>
            </w:pPr>
            <w:r>
              <w:rPr>
                <w:noProof/>
              </w:rPr>
              <w:t>11.3</w:t>
            </w:r>
          </w:p>
        </w:tc>
        <w:tc>
          <w:tcPr>
            <w:tcW w:w="1760" w:type="dxa"/>
            <w:tcBorders>
              <w:top w:val="nil"/>
              <w:left w:val="nil"/>
              <w:bottom w:val="single" w:sz="4" w:space="0" w:color="auto"/>
              <w:right w:val="single" w:sz="4" w:space="0" w:color="auto"/>
            </w:tcBorders>
            <w:shd w:val="clear" w:color="auto" w:fill="C4EFCE"/>
            <w:vAlign w:val="center"/>
            <w:hideMark/>
          </w:tcPr>
          <w:p w14:paraId="7D5F02B7" w14:textId="77777777" w:rsidR="00E040FD" w:rsidRDefault="00740D64">
            <w:pPr>
              <w:pStyle w:val="P68B1DB1-Normal23"/>
              <w:spacing w:after="0"/>
              <w:jc w:val="center"/>
              <w:rPr>
                <w:rFonts w:eastAsia="Calibri" w:cs="Calibri"/>
                <w:noProof/>
              </w:rPr>
            </w:pPr>
            <w:r>
              <w:rPr>
                <w:noProof/>
              </w:rPr>
              <w:t>TC-C11-I01</w:t>
            </w:r>
          </w:p>
        </w:tc>
        <w:tc>
          <w:tcPr>
            <w:tcW w:w="1520" w:type="dxa"/>
            <w:tcBorders>
              <w:top w:val="nil"/>
              <w:left w:val="nil"/>
              <w:bottom w:val="single" w:sz="4" w:space="0" w:color="auto"/>
              <w:right w:val="single" w:sz="4" w:space="0" w:color="auto"/>
            </w:tcBorders>
            <w:shd w:val="clear" w:color="auto" w:fill="C4EFCE"/>
            <w:vAlign w:val="center"/>
            <w:hideMark/>
          </w:tcPr>
          <w:p w14:paraId="40F811C7"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CEDD55" w14:textId="77777777" w:rsidR="00E040FD" w:rsidRDefault="00740D64">
            <w:pPr>
              <w:pStyle w:val="P68B1DB1-Normal23"/>
              <w:spacing w:after="0"/>
              <w:jc w:val="both"/>
              <w:rPr>
                <w:rFonts w:eastAsia="Calibri" w:cs="Calibri"/>
                <w:noProof/>
              </w:rPr>
            </w:pPr>
            <w:r>
              <w:rPr>
                <w:noProof/>
              </w:rPr>
              <w:t>Ekonomiskt stöd till industriella projekt för utfasning av fossila bränslen</w:t>
            </w:r>
          </w:p>
        </w:tc>
      </w:tr>
      <w:tr w:rsidR="00E040FD" w14:paraId="52A5E53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504C71" w14:textId="77777777" w:rsidR="00E040FD" w:rsidRDefault="00740D64">
            <w:pPr>
              <w:pStyle w:val="P68B1DB1-Normal23"/>
              <w:spacing w:after="0"/>
              <w:jc w:val="center"/>
              <w:rPr>
                <w:rFonts w:eastAsia="Calibri" w:cs="Calibri"/>
                <w:noProof/>
              </w:rPr>
            </w:pPr>
            <w:r>
              <w:rPr>
                <w:noProof/>
              </w:rPr>
              <w:t>12.3</w:t>
            </w:r>
          </w:p>
        </w:tc>
        <w:tc>
          <w:tcPr>
            <w:tcW w:w="1760" w:type="dxa"/>
            <w:tcBorders>
              <w:top w:val="nil"/>
              <w:left w:val="nil"/>
              <w:bottom w:val="single" w:sz="4" w:space="0" w:color="auto"/>
              <w:right w:val="single" w:sz="4" w:space="0" w:color="auto"/>
            </w:tcBorders>
            <w:shd w:val="clear" w:color="auto" w:fill="C4EFCE"/>
            <w:vAlign w:val="center"/>
            <w:hideMark/>
          </w:tcPr>
          <w:p w14:paraId="5E91949E" w14:textId="77777777" w:rsidR="00E040FD" w:rsidRDefault="00740D64">
            <w:pPr>
              <w:pStyle w:val="P68B1DB1-Normal23"/>
              <w:spacing w:after="0"/>
              <w:jc w:val="center"/>
              <w:rPr>
                <w:rFonts w:eastAsia="Calibri" w:cs="Calibri"/>
                <w:noProof/>
              </w:rPr>
            </w:pPr>
            <w:r>
              <w:rPr>
                <w:noProof/>
              </w:rPr>
              <w:t>TC-C12-I01</w:t>
            </w:r>
          </w:p>
        </w:tc>
        <w:tc>
          <w:tcPr>
            <w:tcW w:w="1520" w:type="dxa"/>
            <w:tcBorders>
              <w:top w:val="nil"/>
              <w:left w:val="nil"/>
              <w:bottom w:val="single" w:sz="4" w:space="0" w:color="auto"/>
              <w:right w:val="single" w:sz="4" w:space="0" w:color="auto"/>
            </w:tcBorders>
            <w:shd w:val="clear" w:color="auto" w:fill="C4EFCE"/>
            <w:vAlign w:val="center"/>
            <w:hideMark/>
          </w:tcPr>
          <w:p w14:paraId="11FF5E1F"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CCA943F" w14:textId="77777777" w:rsidR="00E040FD" w:rsidRDefault="00740D64">
            <w:pPr>
              <w:pStyle w:val="P68B1DB1-Normal23"/>
              <w:spacing w:after="0"/>
              <w:jc w:val="both"/>
              <w:rPr>
                <w:rFonts w:eastAsia="Calibri" w:cs="Calibri"/>
                <w:noProof/>
              </w:rPr>
            </w:pPr>
            <w:r>
              <w:rPr>
                <w:noProof/>
              </w:rPr>
              <w:t>Nya produkter, ny teknik och pilotprocesser som integrerar biobaserade resurser</w:t>
            </w:r>
          </w:p>
        </w:tc>
      </w:tr>
      <w:tr w:rsidR="00E040FD" w14:paraId="6307650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574EE4" w14:textId="77777777" w:rsidR="00E040FD" w:rsidRDefault="00740D64">
            <w:pPr>
              <w:pStyle w:val="P68B1DB1-Normal23"/>
              <w:spacing w:after="0"/>
              <w:jc w:val="center"/>
              <w:rPr>
                <w:rFonts w:eastAsia="Calibri" w:cs="Calibri"/>
                <w:noProof/>
              </w:rPr>
            </w:pPr>
            <w:r>
              <w:rPr>
                <w:noProof/>
              </w:rPr>
              <w:t>12.4</w:t>
            </w:r>
          </w:p>
        </w:tc>
        <w:tc>
          <w:tcPr>
            <w:tcW w:w="1760" w:type="dxa"/>
            <w:tcBorders>
              <w:top w:val="nil"/>
              <w:left w:val="nil"/>
              <w:bottom w:val="single" w:sz="4" w:space="0" w:color="auto"/>
              <w:right w:val="single" w:sz="4" w:space="0" w:color="auto"/>
            </w:tcBorders>
            <w:shd w:val="clear" w:color="auto" w:fill="C4EFCE"/>
            <w:vAlign w:val="center"/>
            <w:hideMark/>
          </w:tcPr>
          <w:p w14:paraId="4D7A477C" w14:textId="77777777" w:rsidR="00E040FD" w:rsidRDefault="00740D64">
            <w:pPr>
              <w:pStyle w:val="P68B1DB1-Normal23"/>
              <w:spacing w:after="0"/>
              <w:jc w:val="center"/>
              <w:rPr>
                <w:rFonts w:eastAsia="Calibri" w:cs="Calibri"/>
                <w:noProof/>
              </w:rPr>
            </w:pPr>
            <w:r>
              <w:rPr>
                <w:noProof/>
              </w:rPr>
              <w:t>TC-C12-I01</w:t>
            </w:r>
          </w:p>
        </w:tc>
        <w:tc>
          <w:tcPr>
            <w:tcW w:w="1520" w:type="dxa"/>
            <w:tcBorders>
              <w:top w:val="nil"/>
              <w:left w:val="nil"/>
              <w:bottom w:val="single" w:sz="4" w:space="0" w:color="auto"/>
              <w:right w:val="single" w:sz="4" w:space="0" w:color="auto"/>
            </w:tcBorders>
            <w:shd w:val="clear" w:color="auto" w:fill="C4EFCE"/>
            <w:vAlign w:val="center"/>
            <w:hideMark/>
          </w:tcPr>
          <w:p w14:paraId="671544E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6011820" w14:textId="77777777" w:rsidR="00E040FD" w:rsidRDefault="00740D64">
            <w:pPr>
              <w:pStyle w:val="P68B1DB1-Normal23"/>
              <w:spacing w:after="0"/>
              <w:jc w:val="both"/>
              <w:rPr>
                <w:rFonts w:eastAsia="Calibri" w:cs="Calibri"/>
                <w:noProof/>
              </w:rPr>
            </w:pPr>
            <w:r>
              <w:rPr>
                <w:noProof/>
              </w:rPr>
              <w:t>Utveckling av havstallskogar med potential att producera harts</w:t>
            </w:r>
          </w:p>
        </w:tc>
      </w:tr>
      <w:tr w:rsidR="00E040FD" w14:paraId="420B45B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BBC2D8" w14:textId="77777777" w:rsidR="00E040FD" w:rsidRDefault="00740D64">
            <w:pPr>
              <w:pStyle w:val="P68B1DB1-Normal23"/>
              <w:spacing w:after="0"/>
              <w:jc w:val="center"/>
              <w:rPr>
                <w:rFonts w:eastAsia="Calibri" w:cs="Calibri"/>
                <w:noProof/>
              </w:rPr>
            </w:pPr>
            <w:r>
              <w:rPr>
                <w:noProof/>
              </w:rPr>
              <w:t>12.9</w:t>
            </w:r>
          </w:p>
        </w:tc>
        <w:tc>
          <w:tcPr>
            <w:tcW w:w="1760" w:type="dxa"/>
            <w:tcBorders>
              <w:top w:val="nil"/>
              <w:left w:val="nil"/>
              <w:bottom w:val="single" w:sz="4" w:space="0" w:color="auto"/>
              <w:right w:val="single" w:sz="4" w:space="0" w:color="auto"/>
            </w:tcBorders>
            <w:shd w:val="clear" w:color="auto" w:fill="C4EFCE"/>
            <w:vAlign w:val="center"/>
            <w:hideMark/>
          </w:tcPr>
          <w:p w14:paraId="172E9144" w14:textId="77777777" w:rsidR="00E040FD" w:rsidRDefault="00740D64">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7087AB67"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FC7761F" w14:textId="77777777" w:rsidR="00E040FD" w:rsidRDefault="00740D64">
            <w:pPr>
              <w:pStyle w:val="P68B1DB1-Normal23"/>
              <w:spacing w:after="0"/>
              <w:jc w:val="both"/>
              <w:rPr>
                <w:rFonts w:eastAsia="Calibri" w:cs="Calibri"/>
                <w:noProof/>
              </w:rPr>
            </w:pPr>
            <w:r>
              <w:rPr>
                <w:noProof/>
              </w:rPr>
              <w:t>System för återtagande av avfall som utgörs av eller innehåller elektriska eller elektroniska produkter</w:t>
            </w:r>
          </w:p>
        </w:tc>
      </w:tr>
      <w:tr w:rsidR="00E040FD" w14:paraId="7F4AB35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7EA878" w14:textId="77777777" w:rsidR="00E040FD" w:rsidRDefault="00740D64">
            <w:pPr>
              <w:pStyle w:val="P68B1DB1-Normal23"/>
              <w:spacing w:after="0"/>
              <w:jc w:val="center"/>
              <w:rPr>
                <w:rFonts w:eastAsia="Calibri" w:cs="Calibri"/>
                <w:noProof/>
              </w:rPr>
            </w:pPr>
            <w:r>
              <w:rPr>
                <w:noProof/>
              </w:rPr>
              <w:t>13.3</w:t>
            </w:r>
          </w:p>
        </w:tc>
        <w:tc>
          <w:tcPr>
            <w:tcW w:w="1760" w:type="dxa"/>
            <w:tcBorders>
              <w:top w:val="nil"/>
              <w:left w:val="nil"/>
              <w:bottom w:val="single" w:sz="4" w:space="0" w:color="auto"/>
              <w:right w:val="single" w:sz="4" w:space="0" w:color="auto"/>
            </w:tcBorders>
            <w:shd w:val="clear" w:color="auto" w:fill="C4EFCE"/>
            <w:vAlign w:val="center"/>
            <w:hideMark/>
          </w:tcPr>
          <w:p w14:paraId="2711CA67" w14:textId="77777777" w:rsidR="00E040FD" w:rsidRDefault="00740D64">
            <w:pPr>
              <w:pStyle w:val="P68B1DB1-Normal23"/>
              <w:spacing w:after="0"/>
              <w:jc w:val="center"/>
              <w:rPr>
                <w:rFonts w:eastAsia="Calibri" w:cs="Calibri"/>
                <w:noProof/>
              </w:rPr>
            </w:pPr>
            <w:r>
              <w:rPr>
                <w:noProof/>
              </w:rPr>
              <w:t>TC-C13-I01</w:t>
            </w:r>
          </w:p>
        </w:tc>
        <w:tc>
          <w:tcPr>
            <w:tcW w:w="1520" w:type="dxa"/>
            <w:tcBorders>
              <w:top w:val="nil"/>
              <w:left w:val="nil"/>
              <w:bottom w:val="single" w:sz="4" w:space="0" w:color="auto"/>
              <w:right w:val="single" w:sz="4" w:space="0" w:color="auto"/>
            </w:tcBorders>
            <w:shd w:val="clear" w:color="auto" w:fill="C4EFCE"/>
            <w:vAlign w:val="center"/>
            <w:hideMark/>
          </w:tcPr>
          <w:p w14:paraId="708E9DD8"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4A4BCD" w14:textId="77777777" w:rsidR="00E040FD" w:rsidRDefault="00740D64">
            <w:pPr>
              <w:pStyle w:val="P68B1DB1-Normal23"/>
              <w:spacing w:after="0"/>
              <w:jc w:val="both"/>
              <w:rPr>
                <w:rFonts w:eastAsia="Calibri" w:cs="Calibri"/>
                <w:noProof/>
              </w:rPr>
            </w:pPr>
            <w:r>
              <w:rPr>
                <w:noProof/>
              </w:rPr>
              <w:t>”Effektivitetsvouchrar” som delas ut till hushåll som lever i energifattigdom för att ersätta gammal utrustning och anta energieffektiva lösningar</w:t>
            </w:r>
          </w:p>
        </w:tc>
      </w:tr>
      <w:tr w:rsidR="00E040FD" w14:paraId="10CFDBA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CEEF76" w14:textId="77777777" w:rsidR="00E040FD" w:rsidRDefault="00740D64">
            <w:pPr>
              <w:pStyle w:val="P68B1DB1-Normal23"/>
              <w:spacing w:after="0"/>
              <w:jc w:val="center"/>
              <w:rPr>
                <w:rFonts w:eastAsia="Calibri" w:cs="Calibri"/>
                <w:noProof/>
              </w:rPr>
            </w:pPr>
            <w:r>
              <w:rPr>
                <w:noProof/>
              </w:rPr>
              <w:t>13.4</w:t>
            </w:r>
          </w:p>
        </w:tc>
        <w:tc>
          <w:tcPr>
            <w:tcW w:w="1760" w:type="dxa"/>
            <w:tcBorders>
              <w:top w:val="nil"/>
              <w:left w:val="nil"/>
              <w:bottom w:val="single" w:sz="4" w:space="0" w:color="auto"/>
              <w:right w:val="single" w:sz="4" w:space="0" w:color="auto"/>
            </w:tcBorders>
            <w:shd w:val="clear" w:color="auto" w:fill="C4EFCE"/>
            <w:vAlign w:val="center"/>
            <w:hideMark/>
          </w:tcPr>
          <w:p w14:paraId="70C58091" w14:textId="77777777" w:rsidR="00E040FD" w:rsidRDefault="00740D64">
            <w:pPr>
              <w:pStyle w:val="P68B1DB1-Normal23"/>
              <w:spacing w:after="0"/>
              <w:jc w:val="center"/>
              <w:rPr>
                <w:rFonts w:eastAsia="Calibri" w:cs="Calibri"/>
                <w:noProof/>
              </w:rPr>
            </w:pPr>
            <w:r>
              <w:rPr>
                <w:noProof/>
              </w:rPr>
              <w:t>TC-C13-I01</w:t>
            </w:r>
          </w:p>
        </w:tc>
        <w:tc>
          <w:tcPr>
            <w:tcW w:w="1520" w:type="dxa"/>
            <w:tcBorders>
              <w:top w:val="nil"/>
              <w:left w:val="nil"/>
              <w:bottom w:val="single" w:sz="4" w:space="0" w:color="auto"/>
              <w:right w:val="single" w:sz="4" w:space="0" w:color="auto"/>
            </w:tcBorders>
            <w:shd w:val="clear" w:color="auto" w:fill="C4EFCE"/>
            <w:vAlign w:val="center"/>
            <w:hideMark/>
          </w:tcPr>
          <w:p w14:paraId="63E240DF"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9DF9123" w14:textId="77777777" w:rsidR="00E040FD" w:rsidRDefault="00740D64">
            <w:pPr>
              <w:pStyle w:val="P68B1DB1-Normal23"/>
              <w:spacing w:after="0"/>
              <w:jc w:val="both"/>
              <w:rPr>
                <w:rFonts w:eastAsia="Calibri" w:cs="Calibri"/>
                <w:noProof/>
              </w:rPr>
            </w:pPr>
            <w:r>
              <w:rPr>
                <w:noProof/>
              </w:rPr>
              <w:t>Ytterligare produktionskapacitet för förnybar energi för egenförbrukning och för användning i lokalsamhällen som satsar på förnybar energi i den privata bostadssektorn</w:t>
            </w:r>
          </w:p>
        </w:tc>
      </w:tr>
      <w:tr w:rsidR="00E040FD" w14:paraId="5266E99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2AA442" w14:textId="77777777" w:rsidR="00E040FD" w:rsidRDefault="00740D64">
            <w:pPr>
              <w:pStyle w:val="P68B1DB1-Normal23"/>
              <w:spacing w:after="0"/>
              <w:jc w:val="center"/>
              <w:rPr>
                <w:rFonts w:eastAsia="Calibri" w:cs="Calibri"/>
                <w:noProof/>
              </w:rPr>
            </w:pPr>
            <w:r>
              <w:rPr>
                <w:noProof/>
              </w:rPr>
              <w:t>13.6</w:t>
            </w:r>
          </w:p>
        </w:tc>
        <w:tc>
          <w:tcPr>
            <w:tcW w:w="1760" w:type="dxa"/>
            <w:tcBorders>
              <w:top w:val="nil"/>
              <w:left w:val="nil"/>
              <w:bottom w:val="single" w:sz="4" w:space="0" w:color="auto"/>
              <w:right w:val="single" w:sz="4" w:space="0" w:color="auto"/>
            </w:tcBorders>
            <w:shd w:val="clear" w:color="auto" w:fill="C4EFCE"/>
            <w:vAlign w:val="center"/>
            <w:hideMark/>
          </w:tcPr>
          <w:p w14:paraId="2BEC44DB" w14:textId="77777777" w:rsidR="00E040FD" w:rsidRDefault="00740D64">
            <w:pPr>
              <w:pStyle w:val="P68B1DB1-Normal23"/>
              <w:spacing w:after="0"/>
              <w:jc w:val="center"/>
              <w:rPr>
                <w:rFonts w:eastAsia="Calibri" w:cs="Calibri"/>
                <w:noProof/>
              </w:rPr>
            </w:pPr>
            <w:r>
              <w:rPr>
                <w:noProof/>
              </w:rPr>
              <w:t>TC-C13-I02</w:t>
            </w:r>
          </w:p>
        </w:tc>
        <w:tc>
          <w:tcPr>
            <w:tcW w:w="1520" w:type="dxa"/>
            <w:tcBorders>
              <w:top w:val="nil"/>
              <w:left w:val="nil"/>
              <w:bottom w:val="single" w:sz="4" w:space="0" w:color="auto"/>
              <w:right w:val="single" w:sz="4" w:space="0" w:color="auto"/>
            </w:tcBorders>
            <w:shd w:val="clear" w:color="auto" w:fill="C4EFCE"/>
            <w:vAlign w:val="center"/>
            <w:hideMark/>
          </w:tcPr>
          <w:p w14:paraId="221A46F9"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52187E3" w14:textId="77777777" w:rsidR="00E040FD" w:rsidRDefault="00740D64">
            <w:pPr>
              <w:pStyle w:val="P68B1DB1-Normal23"/>
              <w:spacing w:after="0"/>
              <w:jc w:val="both"/>
              <w:rPr>
                <w:rFonts w:eastAsia="Calibri" w:cs="Calibri"/>
                <w:noProof/>
              </w:rPr>
            </w:pPr>
            <w:r>
              <w:rPr>
                <w:noProof/>
              </w:rPr>
              <w:t>Energieffektiv renovering av statliga myndigheters byggnader</w:t>
            </w:r>
          </w:p>
        </w:tc>
      </w:tr>
      <w:tr w:rsidR="00E040FD" w14:paraId="3C9445D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11CA67D" w14:textId="77777777" w:rsidR="00E040FD" w:rsidRDefault="00740D64">
            <w:pPr>
              <w:pStyle w:val="P68B1DB1-Normal23"/>
              <w:spacing w:after="0"/>
              <w:jc w:val="center"/>
              <w:rPr>
                <w:rFonts w:eastAsia="Calibri" w:cs="Calibri"/>
                <w:noProof/>
              </w:rPr>
            </w:pPr>
            <w:r>
              <w:rPr>
                <w:noProof/>
              </w:rPr>
              <w:t>13.7</w:t>
            </w:r>
          </w:p>
        </w:tc>
        <w:tc>
          <w:tcPr>
            <w:tcW w:w="1760" w:type="dxa"/>
            <w:tcBorders>
              <w:top w:val="nil"/>
              <w:left w:val="nil"/>
              <w:bottom w:val="single" w:sz="4" w:space="0" w:color="auto"/>
              <w:right w:val="single" w:sz="4" w:space="0" w:color="auto"/>
            </w:tcBorders>
            <w:shd w:val="clear" w:color="auto" w:fill="C4EFCE"/>
            <w:vAlign w:val="center"/>
            <w:hideMark/>
          </w:tcPr>
          <w:p w14:paraId="532BF8AE" w14:textId="77777777" w:rsidR="00E040FD" w:rsidRDefault="00740D64">
            <w:pPr>
              <w:pStyle w:val="P68B1DB1-Normal23"/>
              <w:spacing w:after="0"/>
              <w:jc w:val="center"/>
              <w:rPr>
                <w:rFonts w:eastAsia="Calibri" w:cs="Calibri"/>
                <w:noProof/>
              </w:rPr>
            </w:pPr>
            <w:r>
              <w:rPr>
                <w:noProof/>
              </w:rPr>
              <w:t>TC-C13-I02</w:t>
            </w:r>
          </w:p>
        </w:tc>
        <w:tc>
          <w:tcPr>
            <w:tcW w:w="1520" w:type="dxa"/>
            <w:tcBorders>
              <w:top w:val="nil"/>
              <w:left w:val="nil"/>
              <w:bottom w:val="single" w:sz="4" w:space="0" w:color="auto"/>
              <w:right w:val="single" w:sz="4" w:space="0" w:color="auto"/>
            </w:tcBorders>
            <w:shd w:val="clear" w:color="auto" w:fill="C4EFCE"/>
            <w:vAlign w:val="center"/>
            <w:hideMark/>
          </w:tcPr>
          <w:p w14:paraId="58EFFAEF"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97A86DB" w14:textId="77777777" w:rsidR="00E040FD" w:rsidRDefault="00740D64">
            <w:pPr>
              <w:pStyle w:val="P68B1DB1-Normal23"/>
              <w:spacing w:after="0"/>
              <w:jc w:val="both"/>
              <w:rPr>
                <w:rFonts w:eastAsia="Calibri" w:cs="Calibri"/>
                <w:noProof/>
              </w:rPr>
            </w:pPr>
            <w:r>
              <w:rPr>
                <w:noProof/>
              </w:rPr>
              <w:t>Ytterligare produktionskapacitet för förnybar energi för egenförbrukning och för användning i gemenskaper för förnybar energi i statliga byggnader</w:t>
            </w:r>
          </w:p>
        </w:tc>
      </w:tr>
      <w:tr w:rsidR="00E040FD" w14:paraId="3D6B69D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48317C" w14:textId="77777777" w:rsidR="00E040FD" w:rsidRDefault="00740D64">
            <w:pPr>
              <w:pStyle w:val="P68B1DB1-Normal23"/>
              <w:spacing w:after="0"/>
              <w:jc w:val="center"/>
              <w:rPr>
                <w:rFonts w:eastAsia="Calibri" w:cs="Calibri"/>
                <w:noProof/>
              </w:rPr>
            </w:pPr>
            <w:r>
              <w:rPr>
                <w:noProof/>
              </w:rPr>
              <w:t>13.9</w:t>
            </w:r>
          </w:p>
        </w:tc>
        <w:tc>
          <w:tcPr>
            <w:tcW w:w="1760" w:type="dxa"/>
            <w:tcBorders>
              <w:top w:val="nil"/>
              <w:left w:val="nil"/>
              <w:bottom w:val="single" w:sz="4" w:space="0" w:color="auto"/>
              <w:right w:val="single" w:sz="4" w:space="0" w:color="auto"/>
            </w:tcBorders>
            <w:shd w:val="clear" w:color="auto" w:fill="C4EFCE"/>
            <w:vAlign w:val="center"/>
            <w:hideMark/>
          </w:tcPr>
          <w:p w14:paraId="2F9F167F" w14:textId="77777777" w:rsidR="00E040FD" w:rsidRDefault="00740D64">
            <w:pPr>
              <w:pStyle w:val="P68B1DB1-Normal23"/>
              <w:spacing w:after="0"/>
              <w:jc w:val="center"/>
              <w:rPr>
                <w:rFonts w:eastAsia="Calibri" w:cs="Calibri"/>
                <w:noProof/>
              </w:rPr>
            </w:pPr>
            <w:r>
              <w:rPr>
                <w:noProof/>
              </w:rPr>
              <w:t>TC-C13-I03</w:t>
            </w:r>
          </w:p>
        </w:tc>
        <w:tc>
          <w:tcPr>
            <w:tcW w:w="1520" w:type="dxa"/>
            <w:tcBorders>
              <w:top w:val="nil"/>
              <w:left w:val="nil"/>
              <w:bottom w:val="single" w:sz="4" w:space="0" w:color="auto"/>
              <w:right w:val="single" w:sz="4" w:space="0" w:color="auto"/>
            </w:tcBorders>
            <w:shd w:val="clear" w:color="auto" w:fill="C4EFCE"/>
            <w:vAlign w:val="center"/>
            <w:hideMark/>
          </w:tcPr>
          <w:p w14:paraId="052EE5AD"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32DC1A9" w14:textId="77777777" w:rsidR="00E040FD" w:rsidRDefault="00740D64">
            <w:pPr>
              <w:pStyle w:val="P68B1DB1-Normal23"/>
              <w:spacing w:after="0"/>
              <w:jc w:val="both"/>
              <w:rPr>
                <w:rFonts w:eastAsia="Calibri" w:cs="Calibri"/>
                <w:noProof/>
              </w:rPr>
            </w:pPr>
            <w:r>
              <w:rPr>
                <w:noProof/>
              </w:rPr>
              <w:t>Energieffektiv renovering av byggnader för privata tjänster</w:t>
            </w:r>
          </w:p>
        </w:tc>
      </w:tr>
      <w:tr w:rsidR="00E040FD" w14:paraId="142EE0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C8BAF7" w14:textId="77777777" w:rsidR="00E040FD" w:rsidRDefault="00740D64">
            <w:pPr>
              <w:pStyle w:val="P68B1DB1-Normal23"/>
              <w:spacing w:after="0"/>
              <w:jc w:val="center"/>
              <w:rPr>
                <w:rFonts w:eastAsia="Calibri" w:cs="Calibri"/>
                <w:noProof/>
              </w:rPr>
            </w:pPr>
            <w:r>
              <w:rPr>
                <w:noProof/>
              </w:rPr>
              <w:t>13.10</w:t>
            </w:r>
          </w:p>
        </w:tc>
        <w:tc>
          <w:tcPr>
            <w:tcW w:w="1760" w:type="dxa"/>
            <w:tcBorders>
              <w:top w:val="nil"/>
              <w:left w:val="nil"/>
              <w:bottom w:val="single" w:sz="4" w:space="0" w:color="auto"/>
              <w:right w:val="single" w:sz="4" w:space="0" w:color="auto"/>
            </w:tcBorders>
            <w:shd w:val="clear" w:color="auto" w:fill="C4EFCE"/>
            <w:vAlign w:val="center"/>
            <w:hideMark/>
          </w:tcPr>
          <w:p w14:paraId="1BB98FB7" w14:textId="77777777" w:rsidR="00E040FD" w:rsidRDefault="00740D64">
            <w:pPr>
              <w:pStyle w:val="P68B1DB1-Normal23"/>
              <w:spacing w:after="0"/>
              <w:jc w:val="center"/>
              <w:rPr>
                <w:rFonts w:eastAsia="Calibri" w:cs="Calibri"/>
                <w:noProof/>
              </w:rPr>
            </w:pPr>
            <w:r>
              <w:rPr>
                <w:noProof/>
              </w:rPr>
              <w:t>TC-C13-I03</w:t>
            </w:r>
          </w:p>
        </w:tc>
        <w:tc>
          <w:tcPr>
            <w:tcW w:w="1520" w:type="dxa"/>
            <w:tcBorders>
              <w:top w:val="nil"/>
              <w:left w:val="nil"/>
              <w:bottom w:val="single" w:sz="4" w:space="0" w:color="auto"/>
              <w:right w:val="single" w:sz="4" w:space="0" w:color="auto"/>
            </w:tcBorders>
            <w:shd w:val="clear" w:color="auto" w:fill="C4EFCE"/>
            <w:vAlign w:val="center"/>
            <w:hideMark/>
          </w:tcPr>
          <w:p w14:paraId="38CB2E3B"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5B96399" w14:textId="77777777" w:rsidR="00E040FD" w:rsidRDefault="00740D64">
            <w:pPr>
              <w:pStyle w:val="P68B1DB1-Normal23"/>
              <w:spacing w:after="0"/>
              <w:jc w:val="both"/>
              <w:rPr>
                <w:rFonts w:eastAsia="Calibri" w:cs="Calibri"/>
                <w:noProof/>
              </w:rPr>
            </w:pPr>
            <w:r>
              <w:rPr>
                <w:noProof/>
              </w:rPr>
              <w:t>Ytterligare produktionskapacitet för förnybar energi för egenförbrukning och för användning i gemenskaper för förnybar energi i den privata tjänstesektorn</w:t>
            </w:r>
          </w:p>
        </w:tc>
      </w:tr>
      <w:tr w:rsidR="00E040FD" w14:paraId="1F41F64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5650C31" w14:textId="77777777" w:rsidR="00E040FD" w:rsidRDefault="00740D64">
            <w:pPr>
              <w:pStyle w:val="P68B1DB1-Normal23"/>
              <w:spacing w:after="0"/>
              <w:jc w:val="center"/>
              <w:rPr>
                <w:rFonts w:eastAsia="Calibri" w:cs="Calibri"/>
                <w:noProof/>
              </w:rPr>
            </w:pPr>
            <w:r>
              <w:rPr>
                <w:noProof/>
              </w:rPr>
              <w:t>14.9</w:t>
            </w:r>
          </w:p>
        </w:tc>
        <w:tc>
          <w:tcPr>
            <w:tcW w:w="1760" w:type="dxa"/>
            <w:tcBorders>
              <w:top w:val="nil"/>
              <w:left w:val="nil"/>
              <w:bottom w:val="single" w:sz="4" w:space="0" w:color="auto"/>
              <w:right w:val="single" w:sz="4" w:space="0" w:color="auto"/>
            </w:tcBorders>
            <w:shd w:val="clear" w:color="auto" w:fill="C4EFCE"/>
            <w:vAlign w:val="center"/>
            <w:hideMark/>
          </w:tcPr>
          <w:p w14:paraId="70919607" w14:textId="77777777" w:rsidR="00E040FD" w:rsidRDefault="00740D64">
            <w:pPr>
              <w:pStyle w:val="P68B1DB1-Normal23"/>
              <w:spacing w:after="0"/>
              <w:jc w:val="center"/>
              <w:rPr>
                <w:rFonts w:eastAsia="Calibri" w:cs="Calibri"/>
                <w:noProof/>
              </w:rPr>
            </w:pPr>
            <w:r>
              <w:rPr>
                <w:noProof/>
              </w:rPr>
              <w:t>TC-C14-i02-RAM</w:t>
            </w:r>
          </w:p>
        </w:tc>
        <w:tc>
          <w:tcPr>
            <w:tcW w:w="1520" w:type="dxa"/>
            <w:tcBorders>
              <w:top w:val="nil"/>
              <w:left w:val="nil"/>
              <w:bottom w:val="single" w:sz="4" w:space="0" w:color="auto"/>
              <w:right w:val="single" w:sz="4" w:space="0" w:color="auto"/>
            </w:tcBorders>
            <w:shd w:val="clear" w:color="auto" w:fill="C4EFCE"/>
            <w:vAlign w:val="center"/>
            <w:hideMark/>
          </w:tcPr>
          <w:p w14:paraId="1C358FC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DD92A8B" w14:textId="77777777" w:rsidR="00E040FD" w:rsidRDefault="00740D64">
            <w:pPr>
              <w:pStyle w:val="P68B1DB1-Normal23"/>
              <w:spacing w:after="0"/>
              <w:jc w:val="both"/>
              <w:rPr>
                <w:rFonts w:eastAsia="Calibri" w:cs="Calibri"/>
                <w:noProof/>
              </w:rPr>
            </w:pPr>
            <w:r>
              <w:rPr>
                <w:noProof/>
              </w:rPr>
              <w:t>Installation av smarta mätare</w:t>
            </w:r>
          </w:p>
        </w:tc>
      </w:tr>
      <w:tr w:rsidR="00E040FD" w14:paraId="41E9423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90FAB3" w14:textId="77777777" w:rsidR="00E040FD" w:rsidRDefault="00740D64">
            <w:pPr>
              <w:pStyle w:val="P68B1DB1-Normal23"/>
              <w:spacing w:after="0"/>
              <w:jc w:val="center"/>
              <w:rPr>
                <w:rFonts w:eastAsia="Calibri" w:cs="Calibri"/>
                <w:noProof/>
              </w:rPr>
            </w:pPr>
            <w:r>
              <w:rPr>
                <w:noProof/>
              </w:rPr>
              <w:t>14.10</w:t>
            </w:r>
          </w:p>
        </w:tc>
        <w:tc>
          <w:tcPr>
            <w:tcW w:w="1760" w:type="dxa"/>
            <w:tcBorders>
              <w:top w:val="nil"/>
              <w:left w:val="nil"/>
              <w:bottom w:val="single" w:sz="4" w:space="0" w:color="auto"/>
              <w:right w:val="single" w:sz="4" w:space="0" w:color="auto"/>
            </w:tcBorders>
            <w:shd w:val="clear" w:color="auto" w:fill="C4EFCE"/>
            <w:vAlign w:val="center"/>
            <w:hideMark/>
          </w:tcPr>
          <w:p w14:paraId="14EE6BC3" w14:textId="77777777" w:rsidR="00E040FD" w:rsidRDefault="00740D64">
            <w:pPr>
              <w:pStyle w:val="P68B1DB1-Normal23"/>
              <w:spacing w:after="0"/>
              <w:jc w:val="center"/>
              <w:rPr>
                <w:rFonts w:eastAsia="Calibri" w:cs="Calibri"/>
                <w:noProof/>
              </w:rPr>
            </w:pPr>
            <w:r>
              <w:rPr>
                <w:noProof/>
              </w:rPr>
              <w:t>TC-C14-i02-RAM</w:t>
            </w:r>
          </w:p>
        </w:tc>
        <w:tc>
          <w:tcPr>
            <w:tcW w:w="1520" w:type="dxa"/>
            <w:tcBorders>
              <w:top w:val="nil"/>
              <w:left w:val="nil"/>
              <w:bottom w:val="single" w:sz="4" w:space="0" w:color="auto"/>
              <w:right w:val="single" w:sz="4" w:space="0" w:color="auto"/>
            </w:tcBorders>
            <w:shd w:val="clear" w:color="auto" w:fill="C4EFCE"/>
            <w:vAlign w:val="center"/>
            <w:hideMark/>
          </w:tcPr>
          <w:p w14:paraId="19A8DD4D"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E3E950E" w14:textId="77777777" w:rsidR="00E040FD" w:rsidRDefault="00740D64">
            <w:pPr>
              <w:pStyle w:val="P68B1DB1-Normal23"/>
              <w:spacing w:after="0"/>
              <w:jc w:val="both"/>
              <w:rPr>
                <w:rFonts w:eastAsia="Calibri" w:cs="Calibri"/>
                <w:noProof/>
              </w:rPr>
            </w:pPr>
            <w:r>
              <w:rPr>
                <w:noProof/>
              </w:rPr>
              <w:t>Byte av gatubelysningsställen</w:t>
            </w:r>
          </w:p>
        </w:tc>
      </w:tr>
      <w:tr w:rsidR="00E040FD" w14:paraId="1259CE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C9EACEC" w14:textId="77777777" w:rsidR="00E040FD" w:rsidRDefault="00740D64">
            <w:pPr>
              <w:pStyle w:val="P68B1DB1-Normal23"/>
              <w:spacing w:after="0"/>
              <w:jc w:val="center"/>
              <w:rPr>
                <w:rFonts w:eastAsia="Calibri" w:cs="Calibri"/>
                <w:noProof/>
              </w:rPr>
            </w:pPr>
            <w:r>
              <w:rPr>
                <w:noProof/>
              </w:rPr>
              <w:t>14.14</w:t>
            </w:r>
          </w:p>
        </w:tc>
        <w:tc>
          <w:tcPr>
            <w:tcW w:w="1760" w:type="dxa"/>
            <w:tcBorders>
              <w:top w:val="nil"/>
              <w:left w:val="nil"/>
              <w:bottom w:val="single" w:sz="4" w:space="0" w:color="auto"/>
              <w:right w:val="single" w:sz="4" w:space="0" w:color="auto"/>
            </w:tcBorders>
            <w:shd w:val="clear" w:color="auto" w:fill="C4EFCE"/>
            <w:vAlign w:val="center"/>
            <w:hideMark/>
          </w:tcPr>
          <w:p w14:paraId="5E5CAB41" w14:textId="77777777" w:rsidR="00E040FD" w:rsidRDefault="00740D64">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2422CE6E"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656286D" w14:textId="77777777" w:rsidR="00E040FD" w:rsidRDefault="00740D64">
            <w:pPr>
              <w:pStyle w:val="P68B1DB1-Normal23"/>
              <w:spacing w:after="0"/>
              <w:jc w:val="both"/>
              <w:rPr>
                <w:rFonts w:eastAsia="Calibri" w:cs="Calibri"/>
                <w:noProof/>
              </w:rPr>
            </w:pPr>
            <w:r>
              <w:rPr>
                <w:noProof/>
              </w:rPr>
              <w:t>Installation av små solcellsanläggningar för lokal elproduktion och elförbrukning</w:t>
            </w:r>
          </w:p>
        </w:tc>
      </w:tr>
      <w:tr w:rsidR="00E040FD" w14:paraId="28AF185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A65ACC1" w14:textId="77777777" w:rsidR="00E040FD" w:rsidRDefault="00740D64">
            <w:pPr>
              <w:pStyle w:val="P68B1DB1-Normal23"/>
              <w:spacing w:after="0"/>
              <w:jc w:val="center"/>
              <w:rPr>
                <w:rFonts w:eastAsia="Calibri" w:cs="Calibri"/>
                <w:noProof/>
              </w:rPr>
            </w:pPr>
            <w:r>
              <w:rPr>
                <w:noProof/>
              </w:rPr>
              <w:t>16.3</w:t>
            </w:r>
          </w:p>
        </w:tc>
        <w:tc>
          <w:tcPr>
            <w:tcW w:w="1760" w:type="dxa"/>
            <w:tcBorders>
              <w:top w:val="nil"/>
              <w:left w:val="nil"/>
              <w:bottom w:val="single" w:sz="4" w:space="0" w:color="auto"/>
              <w:right w:val="single" w:sz="4" w:space="0" w:color="auto"/>
            </w:tcBorders>
            <w:shd w:val="clear" w:color="auto" w:fill="C4EFCE"/>
            <w:vAlign w:val="center"/>
            <w:hideMark/>
          </w:tcPr>
          <w:p w14:paraId="49A1257B" w14:textId="77777777" w:rsidR="00E040FD" w:rsidRDefault="00740D64">
            <w:pPr>
              <w:pStyle w:val="P68B1DB1-Normal23"/>
              <w:spacing w:after="0"/>
              <w:jc w:val="center"/>
              <w:rPr>
                <w:rFonts w:eastAsia="Calibri" w:cs="Calibri"/>
                <w:noProof/>
              </w:rPr>
            </w:pPr>
            <w:r>
              <w:rPr>
                <w:noProof/>
              </w:rPr>
              <w:t>TD-C16-i01</w:t>
            </w:r>
          </w:p>
        </w:tc>
        <w:tc>
          <w:tcPr>
            <w:tcW w:w="1520" w:type="dxa"/>
            <w:tcBorders>
              <w:top w:val="nil"/>
              <w:left w:val="nil"/>
              <w:bottom w:val="single" w:sz="4" w:space="0" w:color="auto"/>
              <w:right w:val="single" w:sz="4" w:space="0" w:color="auto"/>
            </w:tcBorders>
            <w:shd w:val="clear" w:color="auto" w:fill="C4EFCE"/>
            <w:vAlign w:val="center"/>
            <w:hideMark/>
          </w:tcPr>
          <w:p w14:paraId="4627B07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BA94AFF" w14:textId="77777777" w:rsidR="00E040FD" w:rsidRDefault="00740D64">
            <w:pPr>
              <w:pStyle w:val="P68B1DB1-Normal23"/>
              <w:spacing w:after="0"/>
              <w:jc w:val="both"/>
              <w:rPr>
                <w:rFonts w:eastAsia="Calibri" w:cs="Calibri"/>
                <w:noProof/>
              </w:rPr>
            </w:pPr>
            <w:r>
              <w:rPr>
                <w:noProof/>
              </w:rPr>
              <w:t>Sysselsättning + deltagare i digital utbildning</w:t>
            </w:r>
          </w:p>
        </w:tc>
      </w:tr>
      <w:tr w:rsidR="00E040FD" w14:paraId="1C0A03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44A2AE" w14:textId="77777777" w:rsidR="00E040FD" w:rsidRDefault="00740D64">
            <w:pPr>
              <w:pStyle w:val="P68B1DB1-Normal23"/>
              <w:spacing w:after="0"/>
              <w:jc w:val="center"/>
              <w:rPr>
                <w:rFonts w:eastAsia="Calibri" w:cs="Calibri"/>
                <w:noProof/>
              </w:rPr>
            </w:pPr>
            <w:r>
              <w:rPr>
                <w:noProof/>
              </w:rPr>
              <w:t>16.4</w:t>
            </w:r>
          </w:p>
        </w:tc>
        <w:tc>
          <w:tcPr>
            <w:tcW w:w="1760" w:type="dxa"/>
            <w:tcBorders>
              <w:top w:val="nil"/>
              <w:left w:val="nil"/>
              <w:bottom w:val="single" w:sz="4" w:space="0" w:color="auto"/>
              <w:right w:val="single" w:sz="4" w:space="0" w:color="auto"/>
            </w:tcBorders>
            <w:shd w:val="clear" w:color="auto" w:fill="C4EFCE"/>
            <w:vAlign w:val="center"/>
            <w:hideMark/>
          </w:tcPr>
          <w:p w14:paraId="4421E373" w14:textId="77777777" w:rsidR="00E040FD" w:rsidRDefault="00740D64">
            <w:pPr>
              <w:pStyle w:val="P68B1DB1-Normal23"/>
              <w:spacing w:after="0"/>
              <w:jc w:val="center"/>
              <w:rPr>
                <w:rFonts w:eastAsia="Calibri" w:cs="Calibri"/>
                <w:noProof/>
              </w:rPr>
            </w:pPr>
            <w:r>
              <w:rPr>
                <w:noProof/>
              </w:rPr>
              <w:t>TD-C16-i01</w:t>
            </w:r>
          </w:p>
        </w:tc>
        <w:tc>
          <w:tcPr>
            <w:tcW w:w="1520" w:type="dxa"/>
            <w:tcBorders>
              <w:top w:val="nil"/>
              <w:left w:val="nil"/>
              <w:bottom w:val="single" w:sz="4" w:space="0" w:color="auto"/>
              <w:right w:val="single" w:sz="4" w:space="0" w:color="auto"/>
            </w:tcBorders>
            <w:shd w:val="clear" w:color="auto" w:fill="C4EFCE"/>
            <w:vAlign w:val="center"/>
            <w:hideMark/>
          </w:tcPr>
          <w:p w14:paraId="631F7E61"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A4033A4" w14:textId="77777777" w:rsidR="00E040FD" w:rsidRDefault="00740D64">
            <w:pPr>
              <w:pStyle w:val="P68B1DB1-Normal23"/>
              <w:spacing w:after="0"/>
              <w:jc w:val="both"/>
              <w:rPr>
                <w:rFonts w:eastAsia="Calibri" w:cs="Calibri"/>
                <w:noProof/>
              </w:rPr>
            </w:pPr>
            <w:r>
              <w:rPr>
                <w:noProof/>
              </w:rPr>
              <w:t>Utbildningsdeltagare i Portugals digitala akademi</w:t>
            </w:r>
          </w:p>
        </w:tc>
      </w:tr>
      <w:tr w:rsidR="00E040FD" w14:paraId="1F4920F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3CE429" w14:textId="77777777" w:rsidR="00E040FD" w:rsidRDefault="00740D64">
            <w:pPr>
              <w:pStyle w:val="P68B1DB1-Normal23"/>
              <w:spacing w:after="0"/>
              <w:jc w:val="center"/>
              <w:rPr>
                <w:rFonts w:eastAsia="Calibri" w:cs="Calibri"/>
                <w:noProof/>
              </w:rPr>
            </w:pPr>
            <w:r>
              <w:rPr>
                <w:noProof/>
              </w:rPr>
              <w:t>16.8</w:t>
            </w:r>
          </w:p>
        </w:tc>
        <w:tc>
          <w:tcPr>
            <w:tcW w:w="1760" w:type="dxa"/>
            <w:tcBorders>
              <w:top w:val="nil"/>
              <w:left w:val="nil"/>
              <w:bottom w:val="single" w:sz="4" w:space="0" w:color="auto"/>
              <w:right w:val="single" w:sz="4" w:space="0" w:color="auto"/>
            </w:tcBorders>
            <w:shd w:val="clear" w:color="auto" w:fill="C4EFCE"/>
            <w:vAlign w:val="center"/>
            <w:hideMark/>
          </w:tcPr>
          <w:p w14:paraId="0609D596" w14:textId="77777777" w:rsidR="00E040FD" w:rsidRDefault="00740D6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4253830E"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D78655" w14:textId="77777777" w:rsidR="00E040FD" w:rsidRDefault="00740D64">
            <w:pPr>
              <w:pStyle w:val="P68B1DB1-Normal23"/>
              <w:spacing w:after="0"/>
              <w:jc w:val="both"/>
              <w:rPr>
                <w:rFonts w:eastAsia="Calibri" w:cs="Calibri"/>
                <w:noProof/>
              </w:rPr>
            </w:pPr>
            <w:r>
              <w:rPr>
                <w:noProof/>
              </w:rPr>
              <w:t xml:space="preserve">Nationella pilotprodukter och pilottjänster för testbäddnätverket </w:t>
            </w:r>
          </w:p>
        </w:tc>
      </w:tr>
      <w:tr w:rsidR="00E040FD" w14:paraId="292D08F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382F634" w14:textId="77777777" w:rsidR="00E040FD" w:rsidRDefault="00740D64">
            <w:pPr>
              <w:pStyle w:val="P68B1DB1-Normal23"/>
              <w:spacing w:after="0"/>
              <w:jc w:val="center"/>
              <w:rPr>
                <w:rFonts w:eastAsia="Calibri" w:cs="Calibri"/>
                <w:noProof/>
              </w:rPr>
            </w:pPr>
            <w:r>
              <w:rPr>
                <w:noProof/>
              </w:rPr>
              <w:t>16.9</w:t>
            </w:r>
          </w:p>
        </w:tc>
        <w:tc>
          <w:tcPr>
            <w:tcW w:w="1760" w:type="dxa"/>
            <w:tcBorders>
              <w:top w:val="nil"/>
              <w:left w:val="nil"/>
              <w:bottom w:val="single" w:sz="4" w:space="0" w:color="auto"/>
              <w:right w:val="single" w:sz="4" w:space="0" w:color="auto"/>
            </w:tcBorders>
            <w:shd w:val="clear" w:color="auto" w:fill="C4EFCE"/>
            <w:vAlign w:val="center"/>
            <w:hideMark/>
          </w:tcPr>
          <w:p w14:paraId="622C0B7F" w14:textId="77777777" w:rsidR="00E040FD" w:rsidRDefault="00740D6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4EC1E279"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F1A25E7" w14:textId="77777777" w:rsidR="00E040FD" w:rsidRDefault="00740D64">
            <w:pPr>
              <w:pStyle w:val="P68B1DB1-Normal23"/>
              <w:spacing w:after="0"/>
              <w:jc w:val="both"/>
              <w:rPr>
                <w:rFonts w:eastAsia="Calibri" w:cs="Calibri"/>
                <w:noProof/>
              </w:rPr>
            </w:pPr>
            <w:r>
              <w:rPr>
                <w:noProof/>
              </w:rPr>
              <w:t>Digitala handelsområden</w:t>
            </w:r>
          </w:p>
        </w:tc>
      </w:tr>
      <w:tr w:rsidR="00E040FD" w14:paraId="0F2201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BE349D" w14:textId="77777777" w:rsidR="00E040FD" w:rsidRDefault="00740D64">
            <w:pPr>
              <w:pStyle w:val="P68B1DB1-Normal23"/>
              <w:spacing w:after="0"/>
              <w:jc w:val="center"/>
              <w:rPr>
                <w:rFonts w:eastAsia="Calibri" w:cs="Calibri"/>
                <w:noProof/>
              </w:rPr>
            </w:pPr>
            <w:r>
              <w:rPr>
                <w:noProof/>
              </w:rPr>
              <w:t>16.10</w:t>
            </w:r>
          </w:p>
        </w:tc>
        <w:tc>
          <w:tcPr>
            <w:tcW w:w="1760" w:type="dxa"/>
            <w:tcBorders>
              <w:top w:val="nil"/>
              <w:left w:val="nil"/>
              <w:bottom w:val="single" w:sz="4" w:space="0" w:color="auto"/>
              <w:right w:val="single" w:sz="4" w:space="0" w:color="auto"/>
            </w:tcBorders>
            <w:shd w:val="clear" w:color="auto" w:fill="C4EFCE"/>
            <w:vAlign w:val="center"/>
            <w:hideMark/>
          </w:tcPr>
          <w:p w14:paraId="7EF5440C" w14:textId="77777777" w:rsidR="00E040FD" w:rsidRDefault="00740D6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22407879"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E5A7407" w14:textId="77777777" w:rsidR="00E040FD" w:rsidRDefault="00740D64">
            <w:pPr>
              <w:pStyle w:val="P68B1DB1-Normal23"/>
              <w:spacing w:after="0"/>
              <w:jc w:val="both"/>
              <w:rPr>
                <w:rFonts w:eastAsia="Calibri" w:cs="Calibri"/>
                <w:noProof/>
              </w:rPr>
            </w:pPr>
            <w:r>
              <w:rPr>
                <w:noProof/>
              </w:rPr>
              <w:t>Små och medelstora företag som stöds av acceleratorer för digital handel</w:t>
            </w:r>
          </w:p>
        </w:tc>
      </w:tr>
      <w:tr w:rsidR="00E040FD" w14:paraId="395EF5A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6A4D268" w14:textId="77777777" w:rsidR="00E040FD" w:rsidRDefault="00740D64">
            <w:pPr>
              <w:pStyle w:val="P68B1DB1-Normal23"/>
              <w:spacing w:after="0"/>
              <w:jc w:val="center"/>
              <w:rPr>
                <w:rFonts w:eastAsia="Calibri" w:cs="Calibri"/>
                <w:noProof/>
              </w:rPr>
            </w:pPr>
            <w:r>
              <w:rPr>
                <w:noProof/>
              </w:rPr>
              <w:t>16.11</w:t>
            </w:r>
          </w:p>
        </w:tc>
        <w:tc>
          <w:tcPr>
            <w:tcW w:w="1760" w:type="dxa"/>
            <w:tcBorders>
              <w:top w:val="nil"/>
              <w:left w:val="nil"/>
              <w:bottom w:val="single" w:sz="4" w:space="0" w:color="auto"/>
              <w:right w:val="single" w:sz="4" w:space="0" w:color="auto"/>
            </w:tcBorders>
            <w:shd w:val="clear" w:color="auto" w:fill="C4EFCE"/>
            <w:vAlign w:val="center"/>
            <w:hideMark/>
          </w:tcPr>
          <w:p w14:paraId="1C28A89D" w14:textId="77777777" w:rsidR="00E040FD" w:rsidRDefault="00740D6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5ED957C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309C888" w14:textId="77777777" w:rsidR="00E040FD" w:rsidRDefault="00740D64">
            <w:pPr>
              <w:pStyle w:val="P68B1DB1-Normal23"/>
              <w:spacing w:after="0"/>
              <w:jc w:val="both"/>
              <w:rPr>
                <w:rFonts w:eastAsia="Calibri" w:cs="Calibri"/>
                <w:noProof/>
              </w:rPr>
            </w:pPr>
            <w:r>
              <w:rPr>
                <w:noProof/>
              </w:rPr>
              <w:t>Små och medelstora företag och företagskuvöser för nystartade företag som får direkt stöd genom digitaliseringsprogram</w:t>
            </w:r>
          </w:p>
        </w:tc>
      </w:tr>
      <w:tr w:rsidR="00E040FD" w14:paraId="2F2CE55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B03D9BF" w14:textId="77777777" w:rsidR="00E040FD" w:rsidRDefault="00740D64">
            <w:pPr>
              <w:pStyle w:val="P68B1DB1-Normal23"/>
              <w:spacing w:after="0"/>
              <w:jc w:val="center"/>
              <w:rPr>
                <w:rFonts w:eastAsia="Calibri" w:cs="Calibri"/>
                <w:noProof/>
              </w:rPr>
            </w:pPr>
            <w:r>
              <w:rPr>
                <w:noProof/>
              </w:rPr>
              <w:t>16.12</w:t>
            </w:r>
          </w:p>
        </w:tc>
        <w:tc>
          <w:tcPr>
            <w:tcW w:w="1760" w:type="dxa"/>
            <w:tcBorders>
              <w:top w:val="nil"/>
              <w:left w:val="nil"/>
              <w:bottom w:val="single" w:sz="4" w:space="0" w:color="auto"/>
              <w:right w:val="single" w:sz="4" w:space="0" w:color="auto"/>
            </w:tcBorders>
            <w:shd w:val="clear" w:color="auto" w:fill="C4EFCE"/>
            <w:vAlign w:val="center"/>
            <w:hideMark/>
          </w:tcPr>
          <w:p w14:paraId="2DC53D71" w14:textId="77777777" w:rsidR="00E040FD" w:rsidRDefault="00740D6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02D2F5B7"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2922E7" w14:textId="77777777" w:rsidR="00E040FD" w:rsidRDefault="00740D64">
            <w:pPr>
              <w:pStyle w:val="P68B1DB1-Normal23"/>
              <w:spacing w:after="0"/>
              <w:jc w:val="both"/>
              <w:rPr>
                <w:rFonts w:eastAsia="Calibri" w:cs="Calibri"/>
                <w:noProof/>
              </w:rPr>
            </w:pPr>
            <w:r>
              <w:rPr>
                <w:noProof/>
              </w:rPr>
              <w:t>Nystartade företag kartlagda på Startup Portugals plattform</w:t>
            </w:r>
          </w:p>
        </w:tc>
      </w:tr>
      <w:tr w:rsidR="00E040FD" w14:paraId="1185F1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8662678" w14:textId="77777777" w:rsidR="00E040FD" w:rsidRDefault="00740D64">
            <w:pPr>
              <w:pStyle w:val="P68B1DB1-Normal23"/>
              <w:spacing w:after="0"/>
              <w:jc w:val="center"/>
              <w:rPr>
                <w:rFonts w:eastAsia="Calibri" w:cs="Calibri"/>
                <w:noProof/>
              </w:rPr>
            </w:pPr>
            <w:r>
              <w:rPr>
                <w:noProof/>
              </w:rPr>
              <w:t>16.15</w:t>
            </w:r>
          </w:p>
        </w:tc>
        <w:tc>
          <w:tcPr>
            <w:tcW w:w="1760" w:type="dxa"/>
            <w:tcBorders>
              <w:top w:val="nil"/>
              <w:left w:val="nil"/>
              <w:bottom w:val="single" w:sz="4" w:space="0" w:color="auto"/>
              <w:right w:val="single" w:sz="4" w:space="0" w:color="auto"/>
            </w:tcBorders>
            <w:shd w:val="clear" w:color="auto" w:fill="C4EFCE"/>
            <w:vAlign w:val="center"/>
            <w:hideMark/>
          </w:tcPr>
          <w:p w14:paraId="31DEC5D3" w14:textId="77777777" w:rsidR="00E040FD" w:rsidRDefault="00740D64">
            <w:pPr>
              <w:pStyle w:val="P68B1DB1-Normal23"/>
              <w:spacing w:after="0"/>
              <w:jc w:val="center"/>
              <w:rPr>
                <w:rFonts w:eastAsia="Calibri" w:cs="Calibri"/>
                <w:noProof/>
              </w:rPr>
            </w:pPr>
            <w:r>
              <w:rPr>
                <w:noProof/>
              </w:rPr>
              <w:t>TD-C16-i03</w:t>
            </w:r>
          </w:p>
        </w:tc>
        <w:tc>
          <w:tcPr>
            <w:tcW w:w="1520" w:type="dxa"/>
            <w:tcBorders>
              <w:top w:val="nil"/>
              <w:left w:val="nil"/>
              <w:bottom w:val="single" w:sz="4" w:space="0" w:color="auto"/>
              <w:right w:val="single" w:sz="4" w:space="0" w:color="auto"/>
            </w:tcBorders>
            <w:shd w:val="clear" w:color="auto" w:fill="C4EFCE"/>
            <w:vAlign w:val="center"/>
            <w:hideMark/>
          </w:tcPr>
          <w:p w14:paraId="4A580FA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F5CADD8" w14:textId="77777777" w:rsidR="00E040FD" w:rsidRDefault="00740D64">
            <w:pPr>
              <w:pStyle w:val="P68B1DB1-Normal23"/>
              <w:spacing w:after="0"/>
              <w:jc w:val="both"/>
              <w:rPr>
                <w:rFonts w:eastAsia="Calibri" w:cs="Calibri"/>
                <w:noProof/>
              </w:rPr>
            </w:pPr>
            <w:r>
              <w:rPr>
                <w:noProof/>
              </w:rPr>
              <w:t>Mottagare av konsulttjänster från digitala innovationsknutpunkter</w:t>
            </w:r>
          </w:p>
        </w:tc>
      </w:tr>
      <w:tr w:rsidR="00E040FD" w14:paraId="161C3A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9B8BB0" w14:textId="77777777" w:rsidR="00E040FD" w:rsidRDefault="00740D64">
            <w:pPr>
              <w:pStyle w:val="P68B1DB1-Normal23"/>
              <w:spacing w:after="0"/>
              <w:jc w:val="center"/>
              <w:rPr>
                <w:rFonts w:eastAsia="Calibri" w:cs="Calibri"/>
                <w:noProof/>
              </w:rPr>
            </w:pPr>
            <w:r>
              <w:rPr>
                <w:noProof/>
              </w:rPr>
              <w:t>16.17</w:t>
            </w:r>
          </w:p>
        </w:tc>
        <w:tc>
          <w:tcPr>
            <w:tcW w:w="1760" w:type="dxa"/>
            <w:tcBorders>
              <w:top w:val="nil"/>
              <w:left w:val="nil"/>
              <w:bottom w:val="single" w:sz="4" w:space="0" w:color="auto"/>
              <w:right w:val="single" w:sz="4" w:space="0" w:color="auto"/>
            </w:tcBorders>
            <w:shd w:val="clear" w:color="auto" w:fill="C4EFCE"/>
            <w:vAlign w:val="center"/>
            <w:hideMark/>
          </w:tcPr>
          <w:p w14:paraId="1C4ABCD3" w14:textId="77777777" w:rsidR="00E040FD" w:rsidRDefault="00740D64">
            <w:pPr>
              <w:pStyle w:val="P68B1DB1-Normal23"/>
              <w:spacing w:after="0"/>
              <w:jc w:val="center"/>
              <w:rPr>
                <w:rFonts w:eastAsia="Calibri" w:cs="Calibri"/>
                <w:noProof/>
              </w:rPr>
            </w:pPr>
            <w:r>
              <w:rPr>
                <w:noProof/>
              </w:rPr>
              <w:t>TD-C16-i04</w:t>
            </w:r>
          </w:p>
        </w:tc>
        <w:tc>
          <w:tcPr>
            <w:tcW w:w="1520" w:type="dxa"/>
            <w:tcBorders>
              <w:top w:val="nil"/>
              <w:left w:val="nil"/>
              <w:bottom w:val="single" w:sz="4" w:space="0" w:color="auto"/>
              <w:right w:val="single" w:sz="4" w:space="0" w:color="auto"/>
            </w:tcBorders>
            <w:shd w:val="clear" w:color="auto" w:fill="C4EFCE"/>
            <w:vAlign w:val="center"/>
            <w:hideMark/>
          </w:tcPr>
          <w:p w14:paraId="7A3AB4F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93DE237" w14:textId="77777777" w:rsidR="00E040FD" w:rsidRDefault="00740D64">
            <w:pPr>
              <w:pStyle w:val="P68B1DB1-Normal23"/>
              <w:spacing w:after="0"/>
              <w:jc w:val="both"/>
              <w:rPr>
                <w:rFonts w:eastAsia="Calibri" w:cs="Calibri"/>
                <w:noProof/>
              </w:rPr>
            </w:pPr>
            <w:r>
              <w:rPr>
                <w:noProof/>
              </w:rPr>
              <w:t>Slutförande av projekt inom Industri 4.0</w:t>
            </w:r>
          </w:p>
        </w:tc>
      </w:tr>
      <w:tr w:rsidR="00E040FD" w14:paraId="2775448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8F97AC" w14:textId="77777777" w:rsidR="00E040FD" w:rsidRDefault="00740D64">
            <w:pPr>
              <w:pStyle w:val="P68B1DB1-Normal23"/>
              <w:spacing w:after="0"/>
              <w:jc w:val="center"/>
              <w:rPr>
                <w:rFonts w:eastAsia="Calibri" w:cs="Calibri"/>
                <w:noProof/>
              </w:rPr>
            </w:pPr>
            <w:r>
              <w:rPr>
                <w:noProof/>
              </w:rPr>
              <w:t>16.20</w:t>
            </w:r>
          </w:p>
        </w:tc>
        <w:tc>
          <w:tcPr>
            <w:tcW w:w="1760" w:type="dxa"/>
            <w:tcBorders>
              <w:top w:val="nil"/>
              <w:left w:val="nil"/>
              <w:bottom w:val="single" w:sz="4" w:space="0" w:color="auto"/>
              <w:right w:val="single" w:sz="4" w:space="0" w:color="auto"/>
            </w:tcBorders>
            <w:shd w:val="clear" w:color="auto" w:fill="C4EFCE"/>
            <w:vAlign w:val="center"/>
            <w:hideMark/>
          </w:tcPr>
          <w:p w14:paraId="6BBA6CB6" w14:textId="42406519" w:rsidR="00E040FD" w:rsidRDefault="00740D64">
            <w:pPr>
              <w:pStyle w:val="P68B1DB1-Normal23"/>
              <w:spacing w:after="0"/>
              <w:jc w:val="center"/>
              <w:rPr>
                <w:rFonts w:eastAsia="Calibri" w:cs="Calibri"/>
                <w:noProof/>
              </w:rPr>
            </w:pPr>
            <w:r>
              <w:rPr>
                <w:noProof/>
              </w:rPr>
              <w:t>TD-C16-i06-RAM</w:t>
            </w:r>
          </w:p>
        </w:tc>
        <w:tc>
          <w:tcPr>
            <w:tcW w:w="1520" w:type="dxa"/>
            <w:tcBorders>
              <w:top w:val="nil"/>
              <w:left w:val="nil"/>
              <w:bottom w:val="single" w:sz="4" w:space="0" w:color="auto"/>
              <w:right w:val="single" w:sz="4" w:space="0" w:color="auto"/>
            </w:tcBorders>
            <w:shd w:val="clear" w:color="auto" w:fill="C4EFCE"/>
            <w:vAlign w:val="center"/>
            <w:hideMark/>
          </w:tcPr>
          <w:p w14:paraId="69E96A0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95FF70" w14:textId="3BE1C11E" w:rsidR="00E040FD" w:rsidRDefault="00740D64">
            <w:pPr>
              <w:pStyle w:val="P68B1DB1-Normal23"/>
              <w:spacing w:after="0"/>
              <w:jc w:val="both"/>
              <w:rPr>
                <w:rFonts w:eastAsia="Calibri" w:cs="Calibri"/>
                <w:noProof/>
              </w:rPr>
            </w:pPr>
            <w:r>
              <w:rPr>
                <w:noProof/>
              </w:rPr>
              <w:t>Näringsliv 4.0</w:t>
            </w:r>
          </w:p>
        </w:tc>
      </w:tr>
      <w:tr w:rsidR="00E040FD" w14:paraId="5F8D113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8D3BF65" w14:textId="77777777" w:rsidR="00E040FD" w:rsidRDefault="00740D64">
            <w:pPr>
              <w:pStyle w:val="P68B1DB1-Normal23"/>
              <w:spacing w:after="0"/>
              <w:jc w:val="center"/>
              <w:rPr>
                <w:rFonts w:eastAsia="Calibri" w:cs="Calibri"/>
                <w:noProof/>
              </w:rPr>
            </w:pPr>
            <w:r>
              <w:rPr>
                <w:noProof/>
              </w:rPr>
              <w:t>17.4</w:t>
            </w:r>
          </w:p>
        </w:tc>
        <w:tc>
          <w:tcPr>
            <w:tcW w:w="1760" w:type="dxa"/>
            <w:tcBorders>
              <w:top w:val="nil"/>
              <w:left w:val="nil"/>
              <w:bottom w:val="single" w:sz="4" w:space="0" w:color="auto"/>
              <w:right w:val="single" w:sz="4" w:space="0" w:color="auto"/>
            </w:tcBorders>
            <w:shd w:val="clear" w:color="auto" w:fill="C4EFCE"/>
            <w:vAlign w:val="center"/>
            <w:hideMark/>
          </w:tcPr>
          <w:p w14:paraId="4E626E4A" w14:textId="77777777" w:rsidR="00E040FD" w:rsidRDefault="00740D64">
            <w:pPr>
              <w:pStyle w:val="P68B1DB1-Normal23"/>
              <w:spacing w:after="0"/>
              <w:jc w:val="center"/>
              <w:rPr>
                <w:rFonts w:eastAsia="Calibri" w:cs="Calibri"/>
                <w:noProof/>
              </w:rPr>
            </w:pPr>
            <w:r>
              <w:rPr>
                <w:noProof/>
              </w:rPr>
              <w:t>TD-C17-r32</w:t>
            </w:r>
          </w:p>
        </w:tc>
        <w:tc>
          <w:tcPr>
            <w:tcW w:w="1520" w:type="dxa"/>
            <w:tcBorders>
              <w:top w:val="nil"/>
              <w:left w:val="nil"/>
              <w:bottom w:val="single" w:sz="4" w:space="0" w:color="auto"/>
              <w:right w:val="single" w:sz="4" w:space="0" w:color="auto"/>
            </w:tcBorders>
            <w:shd w:val="clear" w:color="auto" w:fill="C4EFCE"/>
            <w:vAlign w:val="center"/>
            <w:hideMark/>
          </w:tcPr>
          <w:p w14:paraId="312DFC9A"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40731E" w14:textId="77777777" w:rsidR="00E040FD" w:rsidRDefault="00740D64">
            <w:pPr>
              <w:pStyle w:val="P68B1DB1-Normal23"/>
              <w:spacing w:after="0"/>
              <w:jc w:val="both"/>
              <w:rPr>
                <w:rFonts w:eastAsia="Calibri" w:cs="Calibri"/>
                <w:noProof/>
              </w:rPr>
            </w:pPr>
            <w:r>
              <w:rPr>
                <w:noProof/>
              </w:rPr>
              <w:t>Antagande av kostnadsmodellen för programbudgetering</w:t>
            </w:r>
          </w:p>
        </w:tc>
      </w:tr>
      <w:tr w:rsidR="00E040FD" w14:paraId="28486F3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1D9C06C" w14:textId="77777777" w:rsidR="00E040FD" w:rsidRDefault="00740D64">
            <w:pPr>
              <w:pStyle w:val="P68B1DB1-Normal23"/>
              <w:spacing w:after="0"/>
              <w:jc w:val="center"/>
              <w:rPr>
                <w:rFonts w:eastAsia="Calibri" w:cs="Calibri"/>
                <w:noProof/>
              </w:rPr>
            </w:pPr>
            <w:r>
              <w:rPr>
                <w:noProof/>
              </w:rPr>
              <w:t>17.8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9B7C27A" w14:textId="77777777" w:rsidR="00E040FD" w:rsidRDefault="00740D64">
            <w:pPr>
              <w:pStyle w:val="P68B1DB1-Normal23"/>
              <w:spacing w:after="0"/>
              <w:jc w:val="center"/>
              <w:rPr>
                <w:rFonts w:eastAsia="Calibri" w:cs="Calibri"/>
                <w:noProof/>
              </w:rPr>
            </w:pPr>
            <w:r>
              <w:rPr>
                <w:noProof/>
              </w:rPr>
              <w:t>TD-C17-r32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9ACBAF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8D0D69" w14:textId="77777777" w:rsidR="00E040FD" w:rsidRDefault="00740D64">
            <w:pPr>
              <w:pStyle w:val="P68B1DB1-Normal23"/>
              <w:spacing w:after="0"/>
              <w:jc w:val="both"/>
              <w:rPr>
                <w:rFonts w:eastAsia="Calibri" w:cs="Calibri"/>
                <w:noProof/>
              </w:rPr>
            </w:pPr>
            <w:r>
              <w:rPr>
                <w:noProof/>
              </w:rPr>
              <w:t>Antal budget- och verksamhetsplaner för statsägda företag som konsekvent godkänts av finansministern och respektive linjeminister</w:t>
            </w:r>
          </w:p>
        </w:tc>
      </w:tr>
      <w:tr w:rsidR="00E040FD" w14:paraId="0FFE3D6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DEF3AE" w14:textId="77777777" w:rsidR="00E040FD" w:rsidRDefault="00740D64">
            <w:pPr>
              <w:pStyle w:val="P68B1DB1-Normal23"/>
              <w:spacing w:after="0"/>
              <w:jc w:val="center"/>
              <w:rPr>
                <w:rFonts w:eastAsia="Calibri" w:cs="Calibri"/>
                <w:noProof/>
              </w:rPr>
            </w:pPr>
            <w:r>
              <w:rPr>
                <w:noProof/>
              </w:rPr>
              <w:t>17.11</w:t>
            </w:r>
          </w:p>
        </w:tc>
        <w:tc>
          <w:tcPr>
            <w:tcW w:w="1760" w:type="dxa"/>
            <w:tcBorders>
              <w:top w:val="nil"/>
              <w:left w:val="nil"/>
              <w:bottom w:val="single" w:sz="4" w:space="0" w:color="auto"/>
              <w:right w:val="single" w:sz="4" w:space="0" w:color="auto"/>
            </w:tcBorders>
            <w:shd w:val="clear" w:color="auto" w:fill="C4EFCE"/>
            <w:vAlign w:val="center"/>
            <w:hideMark/>
          </w:tcPr>
          <w:p w14:paraId="6D375996" w14:textId="77777777" w:rsidR="00E040FD" w:rsidRDefault="00740D64">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7F74C799"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E1A3F61" w14:textId="77777777" w:rsidR="00E040FD" w:rsidRDefault="00740D64">
            <w:pPr>
              <w:pStyle w:val="P68B1DB1-Normal23"/>
              <w:spacing w:after="0"/>
              <w:jc w:val="both"/>
              <w:rPr>
                <w:rFonts w:eastAsia="Calibri" w:cs="Calibri"/>
                <w:noProof/>
              </w:rPr>
            </w:pPr>
            <w:r>
              <w:rPr>
                <w:noProof/>
              </w:rPr>
              <w:t>Idrifttagande av ett stödsystem för den nya modellen för budgetkontroll och finansiell kontroll</w:t>
            </w:r>
          </w:p>
        </w:tc>
      </w:tr>
      <w:tr w:rsidR="00E040FD" w14:paraId="4E7B346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785CDF1" w14:textId="77777777" w:rsidR="00E040FD" w:rsidRDefault="00740D64">
            <w:pPr>
              <w:pStyle w:val="P68B1DB1-Normal23"/>
              <w:spacing w:after="0"/>
              <w:jc w:val="center"/>
              <w:rPr>
                <w:rFonts w:eastAsia="Calibri" w:cs="Calibri"/>
                <w:noProof/>
              </w:rPr>
            </w:pPr>
            <w:r>
              <w:rPr>
                <w:noProof/>
              </w:rPr>
              <w:t>17.14</w:t>
            </w:r>
          </w:p>
        </w:tc>
        <w:tc>
          <w:tcPr>
            <w:tcW w:w="1760" w:type="dxa"/>
            <w:tcBorders>
              <w:top w:val="nil"/>
              <w:left w:val="nil"/>
              <w:bottom w:val="single" w:sz="4" w:space="0" w:color="auto"/>
              <w:right w:val="single" w:sz="4" w:space="0" w:color="auto"/>
            </w:tcBorders>
            <w:shd w:val="clear" w:color="auto" w:fill="C4EFCE"/>
            <w:vAlign w:val="center"/>
            <w:hideMark/>
          </w:tcPr>
          <w:p w14:paraId="533A5B42" w14:textId="77777777" w:rsidR="00E040FD" w:rsidRDefault="00740D64">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00CBE279"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BBFA39" w14:textId="77777777" w:rsidR="00E040FD" w:rsidRDefault="00740D64">
            <w:pPr>
              <w:pStyle w:val="P68B1DB1-Normal23"/>
              <w:spacing w:after="0"/>
              <w:jc w:val="both"/>
              <w:rPr>
                <w:rFonts w:eastAsia="Calibri" w:cs="Calibri"/>
                <w:noProof/>
              </w:rPr>
            </w:pPr>
            <w:r>
              <w:rPr>
                <w:noProof/>
              </w:rPr>
              <w:t>Slutföra genomförandet av säkerhetscentrumet</w:t>
            </w:r>
          </w:p>
        </w:tc>
      </w:tr>
      <w:tr w:rsidR="00E040FD" w14:paraId="2825FB9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9519C8" w14:textId="77777777" w:rsidR="00E040FD" w:rsidRDefault="00740D64">
            <w:pPr>
              <w:pStyle w:val="P68B1DB1-Normal23"/>
              <w:spacing w:after="0"/>
              <w:jc w:val="center"/>
              <w:rPr>
                <w:rFonts w:eastAsia="Calibri" w:cs="Calibri"/>
                <w:noProof/>
              </w:rPr>
            </w:pPr>
            <w:r>
              <w:rPr>
                <w:noProof/>
              </w:rPr>
              <w:t>17.16</w:t>
            </w:r>
          </w:p>
        </w:tc>
        <w:tc>
          <w:tcPr>
            <w:tcW w:w="1760" w:type="dxa"/>
            <w:tcBorders>
              <w:top w:val="nil"/>
              <w:left w:val="nil"/>
              <w:bottom w:val="single" w:sz="4" w:space="0" w:color="auto"/>
              <w:right w:val="single" w:sz="4" w:space="0" w:color="auto"/>
            </w:tcBorders>
            <w:shd w:val="clear" w:color="auto" w:fill="C4EFCE"/>
            <w:vAlign w:val="center"/>
            <w:hideMark/>
          </w:tcPr>
          <w:p w14:paraId="5E0AFA27" w14:textId="77777777" w:rsidR="00E040FD" w:rsidRDefault="00740D64">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662B849B"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E8B115D" w14:textId="77777777" w:rsidR="00E040FD" w:rsidRDefault="00740D64">
            <w:pPr>
              <w:pStyle w:val="P68B1DB1-Normal23"/>
              <w:spacing w:after="0"/>
              <w:jc w:val="both"/>
              <w:rPr>
                <w:rFonts w:eastAsia="Calibri" w:cs="Calibri"/>
                <w:noProof/>
              </w:rPr>
            </w:pPr>
            <w:r>
              <w:rPr>
                <w:noProof/>
              </w:rPr>
              <w:t>Tillhandahållande och operationalisering av den slutliga versionen av informationssystemet till stöd för den förenklade bedömningen av landsbygdsfastigheter</w:t>
            </w:r>
          </w:p>
        </w:tc>
      </w:tr>
      <w:tr w:rsidR="00E040FD" w14:paraId="54C1C6B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30E143" w14:textId="77777777" w:rsidR="00E040FD" w:rsidRDefault="00740D64">
            <w:pPr>
              <w:pStyle w:val="P68B1DB1-Normal23"/>
              <w:spacing w:after="0"/>
              <w:jc w:val="center"/>
              <w:rPr>
                <w:rFonts w:eastAsia="Calibri" w:cs="Calibri"/>
                <w:noProof/>
              </w:rPr>
            </w:pPr>
            <w:r>
              <w:rPr>
                <w:noProof/>
              </w:rPr>
              <w:t>17.17</w:t>
            </w:r>
          </w:p>
        </w:tc>
        <w:tc>
          <w:tcPr>
            <w:tcW w:w="1760" w:type="dxa"/>
            <w:tcBorders>
              <w:top w:val="nil"/>
              <w:left w:val="nil"/>
              <w:bottom w:val="single" w:sz="4" w:space="0" w:color="auto"/>
              <w:right w:val="single" w:sz="4" w:space="0" w:color="auto"/>
            </w:tcBorders>
            <w:shd w:val="clear" w:color="auto" w:fill="C4EFCE"/>
            <w:vAlign w:val="center"/>
            <w:hideMark/>
          </w:tcPr>
          <w:p w14:paraId="723E9D48" w14:textId="77777777" w:rsidR="00E040FD" w:rsidRDefault="00740D64">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6724BA1B"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048DD5" w14:textId="77777777" w:rsidR="00E040FD" w:rsidRDefault="00740D64">
            <w:pPr>
              <w:pStyle w:val="P68B1DB1-Normal23"/>
              <w:spacing w:after="0"/>
              <w:jc w:val="both"/>
              <w:rPr>
                <w:rFonts w:eastAsia="Calibri" w:cs="Calibri"/>
                <w:noProof/>
              </w:rPr>
            </w:pPr>
            <w:r>
              <w:rPr>
                <w:noProof/>
              </w:rPr>
              <w:t>Slutföra karakteriseringen av Edafo-klimat-morfologiska (mark och klimat) och bedömning av landsbygdens ekonomiska potential.</w:t>
            </w:r>
          </w:p>
        </w:tc>
      </w:tr>
      <w:tr w:rsidR="00E040FD" w14:paraId="3DB5C5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8F07BD9" w14:textId="77777777" w:rsidR="00E040FD" w:rsidRDefault="00740D64">
            <w:pPr>
              <w:pStyle w:val="P68B1DB1-Normal23"/>
              <w:spacing w:after="0"/>
              <w:jc w:val="center"/>
              <w:rPr>
                <w:rFonts w:eastAsia="Calibri" w:cs="Calibri"/>
                <w:noProof/>
              </w:rPr>
            </w:pPr>
            <w:r>
              <w:rPr>
                <w:noProof/>
              </w:rPr>
              <w:t>17.18</w:t>
            </w:r>
          </w:p>
        </w:tc>
        <w:tc>
          <w:tcPr>
            <w:tcW w:w="1760" w:type="dxa"/>
            <w:tcBorders>
              <w:top w:val="nil"/>
              <w:left w:val="nil"/>
              <w:bottom w:val="single" w:sz="4" w:space="0" w:color="auto"/>
              <w:right w:val="single" w:sz="4" w:space="0" w:color="auto"/>
            </w:tcBorders>
            <w:shd w:val="clear" w:color="auto" w:fill="C4EFCE"/>
            <w:vAlign w:val="center"/>
            <w:hideMark/>
          </w:tcPr>
          <w:p w14:paraId="2CCBFDDD" w14:textId="77777777" w:rsidR="00E040FD" w:rsidRDefault="00740D64">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28D6CC72"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36DFDFD" w14:textId="77777777" w:rsidR="00E040FD" w:rsidRDefault="00740D64">
            <w:pPr>
              <w:pStyle w:val="P68B1DB1-Normal23"/>
              <w:spacing w:after="0"/>
              <w:jc w:val="both"/>
              <w:rPr>
                <w:rFonts w:eastAsia="Calibri" w:cs="Calibri"/>
                <w:noProof/>
              </w:rPr>
            </w:pPr>
            <w:r>
              <w:rPr>
                <w:noProof/>
              </w:rPr>
              <w:t>Utbyggnad av funktionerna på webbplatsen Segurança Social Direta genom att lägga till fem nya onlinetjänster</w:t>
            </w:r>
          </w:p>
        </w:tc>
      </w:tr>
      <w:tr w:rsidR="00E040FD" w14:paraId="47DDC25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5A2944" w14:textId="77777777" w:rsidR="00E040FD" w:rsidRDefault="00740D64">
            <w:pPr>
              <w:pStyle w:val="P68B1DB1-Normal23"/>
              <w:spacing w:after="0"/>
              <w:jc w:val="center"/>
              <w:rPr>
                <w:rFonts w:eastAsia="Calibri" w:cs="Calibri"/>
                <w:noProof/>
              </w:rPr>
            </w:pPr>
            <w:r>
              <w:rPr>
                <w:noProof/>
              </w:rPr>
              <w:t>17.19</w:t>
            </w:r>
          </w:p>
        </w:tc>
        <w:tc>
          <w:tcPr>
            <w:tcW w:w="1760" w:type="dxa"/>
            <w:tcBorders>
              <w:top w:val="nil"/>
              <w:left w:val="nil"/>
              <w:bottom w:val="single" w:sz="4" w:space="0" w:color="auto"/>
              <w:right w:val="single" w:sz="4" w:space="0" w:color="auto"/>
            </w:tcBorders>
            <w:shd w:val="clear" w:color="auto" w:fill="C4EFCE"/>
            <w:vAlign w:val="center"/>
            <w:hideMark/>
          </w:tcPr>
          <w:p w14:paraId="7AEDC7FA" w14:textId="77777777" w:rsidR="00E040FD" w:rsidRDefault="00740D64">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0F1DBD7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2F9E549" w14:textId="77777777" w:rsidR="00E040FD" w:rsidRDefault="00740D64">
            <w:pPr>
              <w:pStyle w:val="P68B1DB1-Normal23"/>
              <w:spacing w:after="0"/>
              <w:jc w:val="both"/>
              <w:rPr>
                <w:rFonts w:eastAsia="Calibri" w:cs="Calibri"/>
                <w:noProof/>
              </w:rPr>
            </w:pPr>
            <w:r>
              <w:rPr>
                <w:noProof/>
              </w:rPr>
              <w:t>Minskning med 80 % av det genomsnittliga antalet dagar som det tar att bevilja avgiftsfinansierade sociala förmåner för dem som har en genomsnittlig handläggningstid på mer än 10 dagar.</w:t>
            </w:r>
          </w:p>
        </w:tc>
      </w:tr>
      <w:tr w:rsidR="00E040FD" w14:paraId="5B84839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1754C84" w14:textId="77777777" w:rsidR="00E040FD" w:rsidRDefault="00740D64">
            <w:pPr>
              <w:pStyle w:val="P68B1DB1-Normal23"/>
              <w:spacing w:after="0"/>
              <w:jc w:val="center"/>
              <w:rPr>
                <w:rFonts w:eastAsia="Calibri" w:cs="Calibri"/>
                <w:noProof/>
              </w:rPr>
            </w:pPr>
            <w:r>
              <w:rPr>
                <w:noProof/>
              </w:rPr>
              <w:t>17.20</w:t>
            </w:r>
          </w:p>
        </w:tc>
        <w:tc>
          <w:tcPr>
            <w:tcW w:w="1760" w:type="dxa"/>
            <w:tcBorders>
              <w:top w:val="nil"/>
              <w:left w:val="nil"/>
              <w:bottom w:val="single" w:sz="4" w:space="0" w:color="auto"/>
              <w:right w:val="single" w:sz="4" w:space="0" w:color="auto"/>
            </w:tcBorders>
            <w:shd w:val="clear" w:color="auto" w:fill="C4EFCE"/>
            <w:vAlign w:val="center"/>
            <w:hideMark/>
          </w:tcPr>
          <w:p w14:paraId="2C052451" w14:textId="77777777" w:rsidR="00E040FD" w:rsidRDefault="00740D64">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5C4F126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0814D6F" w14:textId="77777777" w:rsidR="00E040FD" w:rsidRDefault="00740D64">
            <w:pPr>
              <w:pStyle w:val="P68B1DB1-Normal23"/>
              <w:spacing w:after="0"/>
              <w:jc w:val="both"/>
              <w:rPr>
                <w:rFonts w:eastAsia="Calibri" w:cs="Calibri"/>
                <w:noProof/>
              </w:rPr>
            </w:pPr>
            <w:r>
              <w:rPr>
                <w:noProof/>
              </w:rPr>
              <w:t>Genomförande av intelligenta övervakningsmodeller för att stödja förebyggande av bedrägerier, på grundval av maskininlärningsprocesser</w:t>
            </w:r>
          </w:p>
        </w:tc>
      </w:tr>
      <w:tr w:rsidR="00E040FD" w14:paraId="3EABB5D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BA64F9" w14:textId="77777777" w:rsidR="00E040FD" w:rsidRDefault="00740D64">
            <w:pPr>
              <w:pStyle w:val="P68B1DB1-Normal23"/>
              <w:spacing w:after="0"/>
              <w:jc w:val="center"/>
              <w:rPr>
                <w:rFonts w:eastAsia="Calibri" w:cs="Calibri"/>
                <w:noProof/>
              </w:rPr>
            </w:pPr>
            <w:r>
              <w:rPr>
                <w:noProof/>
              </w:rPr>
              <w:t>18.4</w:t>
            </w:r>
          </w:p>
        </w:tc>
        <w:tc>
          <w:tcPr>
            <w:tcW w:w="1760" w:type="dxa"/>
            <w:tcBorders>
              <w:top w:val="nil"/>
              <w:left w:val="nil"/>
              <w:bottom w:val="single" w:sz="4" w:space="0" w:color="auto"/>
              <w:right w:val="single" w:sz="4" w:space="0" w:color="auto"/>
            </w:tcBorders>
            <w:shd w:val="clear" w:color="auto" w:fill="C4EFCE"/>
            <w:vAlign w:val="center"/>
            <w:hideMark/>
          </w:tcPr>
          <w:p w14:paraId="5AC061BF" w14:textId="77777777" w:rsidR="00E040FD" w:rsidRDefault="00740D64">
            <w:pPr>
              <w:pStyle w:val="P68B1DB1-Normal23"/>
              <w:spacing w:after="0"/>
              <w:jc w:val="center"/>
              <w:rPr>
                <w:rFonts w:eastAsia="Calibri" w:cs="Calibri"/>
                <w:noProof/>
              </w:rPr>
            </w:pPr>
            <w:r>
              <w:rPr>
                <w:noProof/>
              </w:rPr>
              <w:t>TD-C18-r33</w:t>
            </w:r>
          </w:p>
        </w:tc>
        <w:tc>
          <w:tcPr>
            <w:tcW w:w="1520" w:type="dxa"/>
            <w:tcBorders>
              <w:top w:val="nil"/>
              <w:left w:val="nil"/>
              <w:bottom w:val="single" w:sz="4" w:space="0" w:color="auto"/>
              <w:right w:val="single" w:sz="4" w:space="0" w:color="auto"/>
            </w:tcBorders>
            <w:shd w:val="clear" w:color="auto" w:fill="C4EFCE"/>
            <w:vAlign w:val="center"/>
            <w:hideMark/>
          </w:tcPr>
          <w:p w14:paraId="2172CC8E"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1E3A34" w14:textId="77777777" w:rsidR="00E040FD" w:rsidRDefault="00740D64">
            <w:pPr>
              <w:pStyle w:val="P68B1DB1-Normal23"/>
              <w:spacing w:after="0"/>
              <w:jc w:val="both"/>
              <w:rPr>
                <w:rFonts w:eastAsia="Calibri" w:cs="Calibri"/>
                <w:noProof/>
              </w:rPr>
            </w:pPr>
            <w:r>
              <w:rPr>
                <w:noProof/>
              </w:rPr>
              <w:t>Ikraftträdande av lagstiftningspaketet om undanröjande av hinder för licensiering och av den nya rättsliga ramen för frivilligt administrativt arbitrage</w:t>
            </w:r>
          </w:p>
        </w:tc>
      </w:tr>
      <w:tr w:rsidR="00E040FD" w14:paraId="45D4515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6B7728" w14:textId="77777777" w:rsidR="00E040FD" w:rsidRDefault="00740D64">
            <w:pPr>
              <w:pStyle w:val="P68B1DB1-Normal23"/>
              <w:spacing w:after="0"/>
              <w:jc w:val="center"/>
              <w:rPr>
                <w:rFonts w:eastAsia="Calibri" w:cs="Calibri"/>
                <w:noProof/>
              </w:rPr>
            </w:pPr>
            <w:r>
              <w:rPr>
                <w:noProof/>
              </w:rPr>
              <w:t>18.7</w:t>
            </w:r>
          </w:p>
        </w:tc>
        <w:tc>
          <w:tcPr>
            <w:tcW w:w="1760" w:type="dxa"/>
            <w:tcBorders>
              <w:top w:val="nil"/>
              <w:left w:val="nil"/>
              <w:bottom w:val="single" w:sz="4" w:space="0" w:color="auto"/>
              <w:right w:val="single" w:sz="4" w:space="0" w:color="auto"/>
            </w:tcBorders>
            <w:shd w:val="clear" w:color="auto" w:fill="C4EFCE"/>
            <w:vAlign w:val="center"/>
            <w:hideMark/>
          </w:tcPr>
          <w:p w14:paraId="21C71E03" w14:textId="77777777" w:rsidR="00E040FD" w:rsidRDefault="00740D64">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ED722D1"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E5FA1F0" w14:textId="77777777" w:rsidR="00E040FD" w:rsidRDefault="00740D64">
            <w:pPr>
              <w:pStyle w:val="P68B1DB1-Normal23"/>
              <w:spacing w:after="0"/>
              <w:jc w:val="both"/>
              <w:rPr>
                <w:rFonts w:eastAsia="Calibri" w:cs="Calibri"/>
                <w:noProof/>
              </w:rPr>
            </w:pPr>
            <w:r>
              <w:rPr>
                <w:noProof/>
              </w:rPr>
              <w:t>Nytt informationssystem för den digitala omvandlingen av domstolar och allmänna åklagarmyndigheten</w:t>
            </w:r>
          </w:p>
        </w:tc>
      </w:tr>
      <w:tr w:rsidR="00E040FD" w14:paraId="1BD13F4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40AE85" w14:textId="77777777" w:rsidR="00E040FD" w:rsidRDefault="00740D64">
            <w:pPr>
              <w:pStyle w:val="P68B1DB1-Normal23"/>
              <w:spacing w:after="0"/>
              <w:jc w:val="center"/>
              <w:rPr>
                <w:rFonts w:eastAsia="Calibri" w:cs="Calibri"/>
                <w:noProof/>
              </w:rPr>
            </w:pPr>
            <w:r>
              <w:rPr>
                <w:noProof/>
              </w:rPr>
              <w:t>18.8</w:t>
            </w:r>
          </w:p>
        </w:tc>
        <w:tc>
          <w:tcPr>
            <w:tcW w:w="1760" w:type="dxa"/>
            <w:tcBorders>
              <w:top w:val="nil"/>
              <w:left w:val="nil"/>
              <w:bottom w:val="single" w:sz="4" w:space="0" w:color="auto"/>
              <w:right w:val="single" w:sz="4" w:space="0" w:color="auto"/>
            </w:tcBorders>
            <w:shd w:val="clear" w:color="auto" w:fill="C4EFCE"/>
            <w:vAlign w:val="center"/>
            <w:hideMark/>
          </w:tcPr>
          <w:p w14:paraId="35742E8F" w14:textId="77777777" w:rsidR="00E040FD" w:rsidRDefault="00740D64">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452B02BC"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E14B786" w14:textId="77777777" w:rsidR="00E040FD" w:rsidRDefault="00740D64">
            <w:pPr>
              <w:pStyle w:val="P68B1DB1-Normal23"/>
              <w:spacing w:after="0"/>
              <w:jc w:val="both"/>
              <w:rPr>
                <w:rFonts w:eastAsia="Calibri" w:cs="Calibri"/>
                <w:noProof/>
              </w:rPr>
            </w:pPr>
            <w:r>
              <w:rPr>
                <w:noProof/>
              </w:rPr>
              <w:t>Genomförande av den nya teknikplanen</w:t>
            </w:r>
          </w:p>
        </w:tc>
      </w:tr>
      <w:tr w:rsidR="00E040FD" w14:paraId="63D2E9F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74ADEE" w14:textId="77777777" w:rsidR="00E040FD" w:rsidRDefault="00740D64">
            <w:pPr>
              <w:pStyle w:val="P68B1DB1-Normal23"/>
              <w:spacing w:after="0"/>
              <w:jc w:val="center"/>
              <w:rPr>
                <w:rFonts w:eastAsia="Calibri" w:cs="Calibri"/>
                <w:noProof/>
              </w:rPr>
            </w:pPr>
            <w:r>
              <w:rPr>
                <w:noProof/>
              </w:rPr>
              <w:t>18.9</w:t>
            </w:r>
          </w:p>
        </w:tc>
        <w:tc>
          <w:tcPr>
            <w:tcW w:w="1760" w:type="dxa"/>
            <w:tcBorders>
              <w:top w:val="nil"/>
              <w:left w:val="nil"/>
              <w:bottom w:val="single" w:sz="4" w:space="0" w:color="auto"/>
              <w:right w:val="single" w:sz="4" w:space="0" w:color="auto"/>
            </w:tcBorders>
            <w:shd w:val="clear" w:color="auto" w:fill="C4EFCE"/>
            <w:vAlign w:val="center"/>
            <w:hideMark/>
          </w:tcPr>
          <w:p w14:paraId="28414CF8" w14:textId="77777777" w:rsidR="00E040FD" w:rsidRDefault="00740D64">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C3280D6"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8857B2A" w14:textId="77777777" w:rsidR="00E040FD" w:rsidRDefault="00740D64">
            <w:pPr>
              <w:pStyle w:val="P68B1DB1-Normal23"/>
              <w:spacing w:after="0"/>
              <w:jc w:val="both"/>
              <w:rPr>
                <w:rFonts w:eastAsia="Calibri" w:cs="Calibri"/>
                <w:noProof/>
              </w:rPr>
            </w:pPr>
            <w:r>
              <w:rPr>
                <w:noProof/>
              </w:rPr>
              <w:t>Kunskapshanteringsplattformar inom rättsväsendet</w:t>
            </w:r>
          </w:p>
        </w:tc>
      </w:tr>
      <w:tr w:rsidR="00E040FD" w14:paraId="31EEFCD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66EEFE" w14:textId="77777777" w:rsidR="00E040FD" w:rsidRDefault="00740D64">
            <w:pPr>
              <w:pStyle w:val="P68B1DB1-Normal23"/>
              <w:spacing w:after="0"/>
              <w:jc w:val="center"/>
              <w:rPr>
                <w:rFonts w:eastAsia="Calibri" w:cs="Calibri"/>
                <w:noProof/>
              </w:rPr>
            </w:pPr>
            <w:r>
              <w:rPr>
                <w:noProof/>
              </w:rPr>
              <w:t>19.13</w:t>
            </w:r>
          </w:p>
        </w:tc>
        <w:tc>
          <w:tcPr>
            <w:tcW w:w="1760" w:type="dxa"/>
            <w:tcBorders>
              <w:top w:val="nil"/>
              <w:left w:val="nil"/>
              <w:bottom w:val="single" w:sz="4" w:space="0" w:color="auto"/>
              <w:right w:val="single" w:sz="4" w:space="0" w:color="auto"/>
            </w:tcBorders>
            <w:shd w:val="clear" w:color="auto" w:fill="C4EFCE"/>
            <w:vAlign w:val="center"/>
            <w:hideMark/>
          </w:tcPr>
          <w:p w14:paraId="60EB5193" w14:textId="77777777" w:rsidR="00E040FD" w:rsidRDefault="00740D64">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3EA5634C"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9DF2DDA" w14:textId="77777777" w:rsidR="00E040FD" w:rsidRDefault="00740D64">
            <w:pPr>
              <w:pStyle w:val="P68B1DB1-Normal23"/>
              <w:spacing w:after="0"/>
              <w:jc w:val="both"/>
              <w:rPr>
                <w:rFonts w:eastAsia="Calibri" w:cs="Calibri"/>
                <w:noProof/>
              </w:rPr>
            </w:pPr>
            <w:r>
              <w:rPr>
                <w:noProof/>
              </w:rPr>
              <w:t>Slutförande av uppgraderingar av kritisk digital infrastruktur</w:t>
            </w:r>
          </w:p>
        </w:tc>
      </w:tr>
      <w:tr w:rsidR="00E040FD" w14:paraId="71D989E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663BCA" w14:textId="77777777" w:rsidR="00E040FD" w:rsidRDefault="00740D64">
            <w:pPr>
              <w:pStyle w:val="P68B1DB1-Normal23"/>
              <w:spacing w:after="0"/>
              <w:jc w:val="center"/>
              <w:rPr>
                <w:rFonts w:eastAsia="Calibri" w:cs="Calibri"/>
                <w:noProof/>
              </w:rPr>
            </w:pPr>
            <w:r>
              <w:rPr>
                <w:noProof/>
              </w:rPr>
              <w:t>19.18</w:t>
            </w:r>
          </w:p>
        </w:tc>
        <w:tc>
          <w:tcPr>
            <w:tcW w:w="1760" w:type="dxa"/>
            <w:tcBorders>
              <w:top w:val="nil"/>
              <w:left w:val="nil"/>
              <w:bottom w:val="single" w:sz="4" w:space="0" w:color="auto"/>
              <w:right w:val="single" w:sz="4" w:space="0" w:color="auto"/>
            </w:tcBorders>
            <w:shd w:val="clear" w:color="auto" w:fill="C4EFCE"/>
            <w:vAlign w:val="center"/>
            <w:hideMark/>
          </w:tcPr>
          <w:p w14:paraId="45108801" w14:textId="77777777" w:rsidR="00E040FD" w:rsidRDefault="00740D64">
            <w:pPr>
              <w:pStyle w:val="P68B1DB1-Normal23"/>
              <w:spacing w:after="0"/>
              <w:jc w:val="center"/>
              <w:rPr>
                <w:rFonts w:eastAsia="Calibri" w:cs="Calibri"/>
                <w:noProof/>
              </w:rPr>
            </w:pPr>
            <w:r>
              <w:rPr>
                <w:noProof/>
              </w:rPr>
              <w:t>TD-C19-i06-RAA</w:t>
            </w:r>
          </w:p>
        </w:tc>
        <w:tc>
          <w:tcPr>
            <w:tcW w:w="1520" w:type="dxa"/>
            <w:tcBorders>
              <w:top w:val="nil"/>
              <w:left w:val="nil"/>
              <w:bottom w:val="single" w:sz="4" w:space="0" w:color="auto"/>
              <w:right w:val="single" w:sz="4" w:space="0" w:color="auto"/>
            </w:tcBorders>
            <w:shd w:val="clear" w:color="auto" w:fill="C4EFCE"/>
            <w:vAlign w:val="center"/>
            <w:hideMark/>
          </w:tcPr>
          <w:p w14:paraId="263E5D1D"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186F7B4" w14:textId="77777777" w:rsidR="00E040FD" w:rsidRDefault="00740D64">
            <w:pPr>
              <w:pStyle w:val="P68B1DB1-Normal23"/>
              <w:spacing w:after="0"/>
              <w:jc w:val="both"/>
              <w:rPr>
                <w:rFonts w:eastAsia="Calibri" w:cs="Calibri"/>
                <w:noProof/>
              </w:rPr>
            </w:pPr>
            <w:r>
              <w:rPr>
                <w:noProof/>
              </w:rPr>
              <w:t>Digitalisering av ARA:s regionala offentliga förvaltning</w:t>
            </w:r>
          </w:p>
        </w:tc>
      </w:tr>
      <w:tr w:rsidR="00E040FD" w14:paraId="4826CD0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8B869B" w14:textId="77777777" w:rsidR="00E040FD" w:rsidRDefault="00740D64">
            <w:pPr>
              <w:pStyle w:val="P68B1DB1-Normal23"/>
              <w:spacing w:after="0"/>
              <w:jc w:val="center"/>
              <w:rPr>
                <w:rFonts w:eastAsia="Calibri" w:cs="Calibri"/>
                <w:noProof/>
              </w:rPr>
            </w:pPr>
            <w:r>
              <w:rPr>
                <w:noProof/>
              </w:rPr>
              <w:t>19.29</w:t>
            </w:r>
          </w:p>
        </w:tc>
        <w:tc>
          <w:tcPr>
            <w:tcW w:w="1760" w:type="dxa"/>
            <w:tcBorders>
              <w:top w:val="nil"/>
              <w:left w:val="nil"/>
              <w:bottom w:val="single" w:sz="4" w:space="0" w:color="auto"/>
              <w:right w:val="single" w:sz="4" w:space="0" w:color="auto"/>
            </w:tcBorders>
            <w:shd w:val="clear" w:color="auto" w:fill="C4EFCE"/>
            <w:vAlign w:val="center"/>
            <w:hideMark/>
          </w:tcPr>
          <w:p w14:paraId="20B7CA8B" w14:textId="5ECEEBAE" w:rsidR="00E040FD" w:rsidRDefault="00740D64">
            <w:pPr>
              <w:pStyle w:val="P68B1DB1-Normal23"/>
              <w:spacing w:after="0"/>
              <w:jc w:val="center"/>
              <w:rPr>
                <w:rFonts w:eastAsia="Calibri" w:cs="Calibri"/>
                <w:noProof/>
              </w:rPr>
            </w:pPr>
            <w:r>
              <w:rPr>
                <w:noProof/>
              </w:rPr>
              <w:t>TD-C19-i05-RAM</w:t>
            </w:r>
          </w:p>
        </w:tc>
        <w:tc>
          <w:tcPr>
            <w:tcW w:w="1520" w:type="dxa"/>
            <w:tcBorders>
              <w:top w:val="nil"/>
              <w:left w:val="nil"/>
              <w:bottom w:val="single" w:sz="4" w:space="0" w:color="auto"/>
              <w:right w:val="single" w:sz="4" w:space="0" w:color="auto"/>
            </w:tcBorders>
            <w:shd w:val="clear" w:color="auto" w:fill="C4EFCE"/>
            <w:vAlign w:val="center"/>
            <w:hideMark/>
          </w:tcPr>
          <w:p w14:paraId="45E1EEFE"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79A5E78" w14:textId="77777777" w:rsidR="00E040FD" w:rsidRDefault="00740D64">
            <w:pPr>
              <w:pStyle w:val="P68B1DB1-Normal23"/>
              <w:spacing w:after="0"/>
              <w:jc w:val="both"/>
              <w:rPr>
                <w:rFonts w:eastAsia="Calibri" w:cs="Calibri"/>
                <w:noProof/>
              </w:rPr>
            </w:pPr>
            <w:r>
              <w:rPr>
                <w:noProof/>
              </w:rPr>
              <w:t>Centraliserad datahanteringslösning</w:t>
            </w:r>
          </w:p>
        </w:tc>
      </w:tr>
      <w:tr w:rsidR="00E040FD" w14:paraId="4F0A919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D6A267A" w14:textId="77777777" w:rsidR="00E040FD" w:rsidRDefault="00740D64">
            <w:pPr>
              <w:pStyle w:val="P68B1DB1-Normal23"/>
              <w:spacing w:after="0"/>
              <w:jc w:val="center"/>
              <w:rPr>
                <w:rFonts w:eastAsia="Calibri" w:cs="Calibri"/>
                <w:noProof/>
              </w:rPr>
            </w:pPr>
            <w:r>
              <w:rPr>
                <w:noProof/>
              </w:rPr>
              <w:t>19.36</w:t>
            </w:r>
          </w:p>
        </w:tc>
        <w:tc>
          <w:tcPr>
            <w:tcW w:w="1760" w:type="dxa"/>
            <w:tcBorders>
              <w:top w:val="nil"/>
              <w:left w:val="nil"/>
              <w:bottom w:val="single" w:sz="4" w:space="0" w:color="auto"/>
              <w:right w:val="single" w:sz="4" w:space="0" w:color="auto"/>
            </w:tcBorders>
            <w:shd w:val="clear" w:color="auto" w:fill="C4EFCE"/>
            <w:vAlign w:val="center"/>
            <w:hideMark/>
          </w:tcPr>
          <w:p w14:paraId="4C52EF1C" w14:textId="77777777" w:rsidR="00E040FD" w:rsidRDefault="00740D64">
            <w:pPr>
              <w:pStyle w:val="P68B1DB1-Normal23"/>
              <w:spacing w:after="0"/>
              <w:jc w:val="center"/>
              <w:rPr>
                <w:rFonts w:eastAsia="Calibri" w:cs="Calibri"/>
                <w:noProof/>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24ABE861"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1FE9798" w14:textId="77777777" w:rsidR="00E040FD" w:rsidRDefault="00740D64">
            <w:pPr>
              <w:pStyle w:val="P68B1DB1-Normal23"/>
              <w:spacing w:after="0"/>
              <w:jc w:val="both"/>
              <w:rPr>
                <w:rFonts w:eastAsia="Calibri" w:cs="Calibri"/>
                <w:noProof/>
              </w:rPr>
            </w:pPr>
            <w:r>
              <w:rPr>
                <w:noProof/>
              </w:rPr>
              <w:t>Utbildning i smarta territorier</w:t>
            </w:r>
          </w:p>
        </w:tc>
      </w:tr>
      <w:tr w:rsidR="00E040FD" w14:paraId="164483C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37F1827" w14:textId="77777777" w:rsidR="00E040FD" w:rsidRDefault="00740D64">
            <w:pPr>
              <w:pStyle w:val="P68B1DB1-Normal23"/>
              <w:spacing w:after="0"/>
              <w:jc w:val="center"/>
              <w:rPr>
                <w:rFonts w:eastAsia="Calibri" w:cs="Calibri"/>
                <w:noProof/>
              </w:rPr>
            </w:pPr>
            <w:r>
              <w:rPr>
                <w:noProof/>
              </w:rPr>
              <w:t>20.1</w:t>
            </w:r>
          </w:p>
        </w:tc>
        <w:tc>
          <w:tcPr>
            <w:tcW w:w="1760" w:type="dxa"/>
            <w:tcBorders>
              <w:top w:val="nil"/>
              <w:left w:val="nil"/>
              <w:bottom w:val="single" w:sz="4" w:space="0" w:color="auto"/>
              <w:right w:val="single" w:sz="4" w:space="0" w:color="auto"/>
            </w:tcBorders>
            <w:shd w:val="clear" w:color="auto" w:fill="C4EFCE"/>
            <w:vAlign w:val="center"/>
            <w:hideMark/>
          </w:tcPr>
          <w:p w14:paraId="1DCE7E04" w14:textId="77777777" w:rsidR="00E040FD" w:rsidRDefault="00740D64">
            <w:pPr>
              <w:pStyle w:val="P68B1DB1-Normal23"/>
              <w:spacing w:after="0"/>
              <w:jc w:val="center"/>
              <w:rPr>
                <w:rFonts w:eastAsia="Calibri" w:cs="Calibri"/>
                <w:noProof/>
              </w:rPr>
            </w:pPr>
            <w:r>
              <w:rPr>
                <w:noProof/>
              </w:rPr>
              <w:t>TD-C20-r37</w:t>
            </w:r>
          </w:p>
        </w:tc>
        <w:tc>
          <w:tcPr>
            <w:tcW w:w="1520" w:type="dxa"/>
            <w:tcBorders>
              <w:top w:val="nil"/>
              <w:left w:val="nil"/>
              <w:bottom w:val="single" w:sz="4" w:space="0" w:color="auto"/>
              <w:right w:val="single" w:sz="4" w:space="0" w:color="auto"/>
            </w:tcBorders>
            <w:shd w:val="clear" w:color="auto" w:fill="C4EFCE"/>
            <w:vAlign w:val="center"/>
            <w:hideMark/>
          </w:tcPr>
          <w:p w14:paraId="15C51DDF"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617B340" w14:textId="77777777" w:rsidR="00E040FD" w:rsidRDefault="00740D64">
            <w:pPr>
              <w:pStyle w:val="P68B1DB1-Normal23"/>
              <w:spacing w:after="0"/>
              <w:jc w:val="both"/>
              <w:rPr>
                <w:rFonts w:eastAsia="Calibri" w:cs="Calibri"/>
                <w:noProof/>
              </w:rPr>
            </w:pPr>
            <w:r>
              <w:rPr>
                <w:noProof/>
              </w:rPr>
              <w:t>Utbildning i digitala färdigheter för lärare och annan personal i det offentliga utbildningsnätverket</w:t>
            </w:r>
          </w:p>
        </w:tc>
      </w:tr>
      <w:tr w:rsidR="00E040FD" w14:paraId="57E2CB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D8047DA" w14:textId="77777777" w:rsidR="00E040FD" w:rsidRDefault="00740D64">
            <w:pPr>
              <w:pStyle w:val="P68B1DB1-Normal23"/>
              <w:spacing w:after="0"/>
              <w:jc w:val="center"/>
              <w:rPr>
                <w:rFonts w:eastAsia="Calibri" w:cs="Calibri"/>
                <w:noProof/>
              </w:rPr>
            </w:pPr>
            <w:r>
              <w:rPr>
                <w:noProof/>
              </w:rPr>
              <w:t>20.8</w:t>
            </w:r>
          </w:p>
        </w:tc>
        <w:tc>
          <w:tcPr>
            <w:tcW w:w="1760" w:type="dxa"/>
            <w:tcBorders>
              <w:top w:val="nil"/>
              <w:left w:val="nil"/>
              <w:bottom w:val="single" w:sz="4" w:space="0" w:color="auto"/>
              <w:right w:val="single" w:sz="4" w:space="0" w:color="auto"/>
            </w:tcBorders>
            <w:shd w:val="clear" w:color="auto" w:fill="C4EFCE"/>
            <w:vAlign w:val="center"/>
            <w:hideMark/>
          </w:tcPr>
          <w:p w14:paraId="1D5158E1" w14:textId="77777777" w:rsidR="00E040FD" w:rsidRDefault="00740D64">
            <w:pPr>
              <w:pStyle w:val="P68B1DB1-Normal23"/>
              <w:spacing w:after="0"/>
              <w:jc w:val="center"/>
              <w:rPr>
                <w:rFonts w:eastAsia="Calibri" w:cs="Calibri"/>
                <w:noProof/>
              </w:rPr>
            </w:pPr>
            <w:r>
              <w:rPr>
                <w:noProof/>
              </w:rPr>
              <w:t>TD-C20-i01</w:t>
            </w:r>
          </w:p>
        </w:tc>
        <w:tc>
          <w:tcPr>
            <w:tcW w:w="1520" w:type="dxa"/>
            <w:tcBorders>
              <w:top w:val="nil"/>
              <w:left w:val="nil"/>
              <w:bottom w:val="single" w:sz="4" w:space="0" w:color="auto"/>
              <w:right w:val="single" w:sz="4" w:space="0" w:color="auto"/>
            </w:tcBorders>
            <w:shd w:val="clear" w:color="auto" w:fill="C4EFCE"/>
            <w:vAlign w:val="center"/>
            <w:hideMark/>
          </w:tcPr>
          <w:p w14:paraId="54CB6BAE"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AEED80B" w14:textId="77777777" w:rsidR="00E040FD" w:rsidRDefault="00740D64">
            <w:pPr>
              <w:pStyle w:val="P68B1DB1-Normal23"/>
              <w:spacing w:after="0"/>
              <w:jc w:val="both"/>
              <w:rPr>
                <w:rFonts w:eastAsia="Calibri" w:cs="Calibri"/>
                <w:noProof/>
              </w:rPr>
            </w:pPr>
            <w:r>
              <w:rPr>
                <w:noProof/>
              </w:rPr>
              <w:t>Digitala utbildningsresurser</w:t>
            </w:r>
          </w:p>
        </w:tc>
      </w:tr>
      <w:tr w:rsidR="00E040FD" w14:paraId="1EA89E3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2AD8A97" w14:textId="77777777" w:rsidR="00E040FD" w:rsidRDefault="00740D64">
            <w:pPr>
              <w:pStyle w:val="P68B1DB1-Normal23"/>
              <w:spacing w:after="0"/>
              <w:jc w:val="center"/>
              <w:rPr>
                <w:rFonts w:eastAsia="Calibri" w:cs="Calibri"/>
                <w:noProof/>
              </w:rPr>
            </w:pPr>
            <w:r>
              <w:rPr>
                <w:noProof/>
              </w:rPr>
              <w:t>20.9</w:t>
            </w:r>
          </w:p>
        </w:tc>
        <w:tc>
          <w:tcPr>
            <w:tcW w:w="1760" w:type="dxa"/>
            <w:tcBorders>
              <w:top w:val="nil"/>
              <w:left w:val="nil"/>
              <w:bottom w:val="single" w:sz="4" w:space="0" w:color="auto"/>
              <w:right w:val="single" w:sz="4" w:space="0" w:color="auto"/>
            </w:tcBorders>
            <w:shd w:val="clear" w:color="auto" w:fill="C4EFCE"/>
            <w:vAlign w:val="center"/>
            <w:hideMark/>
          </w:tcPr>
          <w:p w14:paraId="46AA804C" w14:textId="77777777" w:rsidR="00E040FD" w:rsidRDefault="00740D64">
            <w:pPr>
              <w:pStyle w:val="P68B1DB1-Normal23"/>
              <w:spacing w:after="0"/>
              <w:jc w:val="center"/>
              <w:rPr>
                <w:rFonts w:eastAsia="Calibri" w:cs="Calibri"/>
                <w:noProof/>
              </w:rPr>
            </w:pPr>
            <w:r>
              <w:rPr>
                <w:noProof/>
              </w:rPr>
              <w:t>TD-C20-i01</w:t>
            </w:r>
          </w:p>
        </w:tc>
        <w:tc>
          <w:tcPr>
            <w:tcW w:w="1520" w:type="dxa"/>
            <w:tcBorders>
              <w:top w:val="nil"/>
              <w:left w:val="nil"/>
              <w:bottom w:val="single" w:sz="4" w:space="0" w:color="auto"/>
              <w:right w:val="single" w:sz="4" w:space="0" w:color="auto"/>
            </w:tcBorders>
            <w:shd w:val="clear" w:color="auto" w:fill="C4EFCE"/>
            <w:vAlign w:val="center"/>
            <w:hideMark/>
          </w:tcPr>
          <w:p w14:paraId="1608BB5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083A11" w14:textId="77777777" w:rsidR="00E040FD" w:rsidRDefault="00740D64">
            <w:pPr>
              <w:pStyle w:val="P68B1DB1-Normal23"/>
              <w:spacing w:after="0"/>
              <w:jc w:val="both"/>
              <w:rPr>
                <w:rFonts w:eastAsia="Calibri" w:cs="Calibri"/>
                <w:noProof/>
              </w:rPr>
            </w:pPr>
            <w:r>
              <w:rPr>
                <w:noProof/>
              </w:rPr>
              <w:t>Digitala prov och examina i skolor</w:t>
            </w:r>
          </w:p>
        </w:tc>
      </w:tr>
      <w:tr w:rsidR="00E040FD" w14:paraId="49E74AF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CB012B" w14:textId="77777777" w:rsidR="00E040FD" w:rsidRDefault="00740D64">
            <w:pPr>
              <w:pStyle w:val="P68B1DB1-Normal23"/>
              <w:spacing w:after="0"/>
              <w:jc w:val="center"/>
              <w:rPr>
                <w:rFonts w:eastAsia="Calibri" w:cs="Calibri"/>
                <w:noProof/>
              </w:rPr>
            </w:pPr>
            <w:r>
              <w:rPr>
                <w:noProof/>
              </w:rPr>
              <w:t>20.11</w:t>
            </w:r>
          </w:p>
        </w:tc>
        <w:tc>
          <w:tcPr>
            <w:tcW w:w="1760" w:type="dxa"/>
            <w:tcBorders>
              <w:top w:val="nil"/>
              <w:left w:val="nil"/>
              <w:bottom w:val="single" w:sz="4" w:space="0" w:color="auto"/>
              <w:right w:val="single" w:sz="4" w:space="0" w:color="auto"/>
            </w:tcBorders>
            <w:shd w:val="clear" w:color="auto" w:fill="C4EFCE"/>
            <w:vAlign w:val="center"/>
            <w:hideMark/>
          </w:tcPr>
          <w:p w14:paraId="17F8B041" w14:textId="77777777" w:rsidR="00E040FD" w:rsidRDefault="00740D64">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3A8E7B17"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14F428" w14:textId="77777777" w:rsidR="00E040FD" w:rsidRDefault="00740D64">
            <w:pPr>
              <w:pStyle w:val="P68B1DB1-Normal23"/>
              <w:spacing w:after="0"/>
              <w:jc w:val="both"/>
              <w:rPr>
                <w:rFonts w:eastAsia="Calibri" w:cs="Calibri"/>
                <w:noProof/>
              </w:rPr>
            </w:pPr>
            <w:r>
              <w:rPr>
                <w:noProof/>
              </w:rPr>
              <w:t>Nya bärbara datorer och surfplattor för skolor i ARA</w:t>
            </w:r>
          </w:p>
        </w:tc>
      </w:tr>
      <w:tr w:rsidR="00E040FD" w14:paraId="1053A19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934CF69" w14:textId="77777777" w:rsidR="00E040FD" w:rsidRDefault="00740D64">
            <w:pPr>
              <w:pStyle w:val="P68B1DB1-Normal23"/>
              <w:spacing w:after="0"/>
              <w:jc w:val="center"/>
              <w:rPr>
                <w:rFonts w:eastAsia="Calibri" w:cs="Calibri"/>
                <w:noProof/>
              </w:rPr>
            </w:pPr>
            <w:r>
              <w:rPr>
                <w:noProof/>
              </w:rPr>
              <w:t>20.12</w:t>
            </w:r>
          </w:p>
        </w:tc>
        <w:tc>
          <w:tcPr>
            <w:tcW w:w="1760" w:type="dxa"/>
            <w:tcBorders>
              <w:top w:val="nil"/>
              <w:left w:val="nil"/>
              <w:bottom w:val="single" w:sz="4" w:space="0" w:color="auto"/>
              <w:right w:val="single" w:sz="4" w:space="0" w:color="auto"/>
            </w:tcBorders>
            <w:shd w:val="clear" w:color="auto" w:fill="C4EFCE"/>
            <w:vAlign w:val="center"/>
            <w:hideMark/>
          </w:tcPr>
          <w:p w14:paraId="0A05C085" w14:textId="77777777" w:rsidR="00E040FD" w:rsidRDefault="00740D64">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19B76BD6"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CB0A917" w14:textId="77777777" w:rsidR="00E040FD" w:rsidRDefault="00740D64">
            <w:pPr>
              <w:pStyle w:val="P68B1DB1-Normal23"/>
              <w:spacing w:after="0"/>
              <w:jc w:val="both"/>
              <w:rPr>
                <w:rFonts w:eastAsia="Calibri" w:cs="Calibri"/>
                <w:noProof/>
              </w:rPr>
            </w:pPr>
            <w:r>
              <w:rPr>
                <w:noProof/>
              </w:rPr>
              <w:t>Digital utrustning och digitala utbildningsresurser för skolor i ARA</w:t>
            </w:r>
          </w:p>
        </w:tc>
      </w:tr>
      <w:tr w:rsidR="00E040FD" w14:paraId="2E23C5A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6BB7BC" w14:textId="77777777" w:rsidR="00E040FD" w:rsidRDefault="00740D64">
            <w:pPr>
              <w:pStyle w:val="P68B1DB1-Normal23"/>
              <w:spacing w:after="0"/>
              <w:jc w:val="center"/>
              <w:rPr>
                <w:rFonts w:eastAsia="Calibri" w:cs="Calibri"/>
                <w:noProof/>
              </w:rPr>
            </w:pPr>
            <w:r>
              <w:rPr>
                <w:noProof/>
              </w:rPr>
              <w:t>20.13</w:t>
            </w:r>
          </w:p>
        </w:tc>
        <w:tc>
          <w:tcPr>
            <w:tcW w:w="1760" w:type="dxa"/>
            <w:tcBorders>
              <w:top w:val="nil"/>
              <w:left w:val="nil"/>
              <w:bottom w:val="single" w:sz="4" w:space="0" w:color="auto"/>
              <w:right w:val="single" w:sz="4" w:space="0" w:color="auto"/>
            </w:tcBorders>
            <w:shd w:val="clear" w:color="auto" w:fill="C4EFCE"/>
            <w:vAlign w:val="center"/>
            <w:hideMark/>
          </w:tcPr>
          <w:p w14:paraId="06748DE1" w14:textId="77777777" w:rsidR="00E040FD" w:rsidRDefault="00740D64">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4073977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86F9A4" w14:textId="77777777" w:rsidR="00E040FD" w:rsidRDefault="00740D64">
            <w:pPr>
              <w:pStyle w:val="P68B1DB1-Normal23"/>
              <w:spacing w:after="0"/>
              <w:jc w:val="both"/>
              <w:rPr>
                <w:rFonts w:eastAsia="Calibri" w:cs="Calibri"/>
                <w:noProof/>
              </w:rPr>
            </w:pPr>
            <w:r>
              <w:rPr>
                <w:noProof/>
              </w:rPr>
              <w:t>Omfattande öppna onlinekurser för lärare och föräldrar i ARA</w:t>
            </w:r>
          </w:p>
        </w:tc>
      </w:tr>
      <w:tr w:rsidR="00E040FD" w14:paraId="6530CA1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622635" w14:textId="77777777" w:rsidR="00E040FD" w:rsidRDefault="00740D64">
            <w:pPr>
              <w:pStyle w:val="P68B1DB1-Normal23"/>
              <w:spacing w:after="0"/>
              <w:jc w:val="center"/>
              <w:rPr>
                <w:rFonts w:eastAsia="Calibri" w:cs="Calibri"/>
                <w:noProof/>
              </w:rPr>
            </w:pPr>
            <w:r>
              <w:rPr>
                <w:noProof/>
              </w:rPr>
              <w:t>20.16</w:t>
            </w:r>
          </w:p>
        </w:tc>
        <w:tc>
          <w:tcPr>
            <w:tcW w:w="1760" w:type="dxa"/>
            <w:tcBorders>
              <w:top w:val="nil"/>
              <w:left w:val="nil"/>
              <w:bottom w:val="single" w:sz="4" w:space="0" w:color="auto"/>
              <w:right w:val="single" w:sz="4" w:space="0" w:color="auto"/>
            </w:tcBorders>
            <w:shd w:val="clear" w:color="auto" w:fill="C4EFCE"/>
            <w:vAlign w:val="center"/>
            <w:hideMark/>
          </w:tcPr>
          <w:p w14:paraId="29607BDF" w14:textId="77777777" w:rsidR="00E040FD" w:rsidRDefault="00740D64">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757CF1D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56275C" w14:textId="77777777" w:rsidR="00E040FD" w:rsidRDefault="00740D64">
            <w:pPr>
              <w:pStyle w:val="P68B1DB1-Normal23"/>
              <w:spacing w:after="0"/>
              <w:jc w:val="both"/>
              <w:rPr>
                <w:rFonts w:eastAsia="Calibri" w:cs="Calibri"/>
                <w:noProof/>
              </w:rPr>
            </w:pPr>
            <w:r>
              <w:rPr>
                <w:noProof/>
              </w:rPr>
              <w:t>Digitala handböcker för elever i 2:a och 3:e cykeln och gymnasieelever i ARM</w:t>
            </w:r>
          </w:p>
        </w:tc>
      </w:tr>
      <w:tr w:rsidR="00E040FD" w14:paraId="412F7A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C4B942" w14:textId="77777777" w:rsidR="00E040FD" w:rsidRDefault="00740D64">
            <w:pPr>
              <w:pStyle w:val="P68B1DB1-Normal23"/>
              <w:spacing w:after="0"/>
              <w:jc w:val="center"/>
              <w:rPr>
                <w:rFonts w:eastAsia="Calibri" w:cs="Calibri"/>
                <w:noProof/>
              </w:rPr>
            </w:pPr>
            <w:r>
              <w:rPr>
                <w:noProof/>
              </w:rPr>
              <w:t>20.17</w:t>
            </w:r>
          </w:p>
        </w:tc>
        <w:tc>
          <w:tcPr>
            <w:tcW w:w="1760" w:type="dxa"/>
            <w:tcBorders>
              <w:top w:val="nil"/>
              <w:left w:val="nil"/>
              <w:bottom w:val="single" w:sz="4" w:space="0" w:color="auto"/>
              <w:right w:val="single" w:sz="4" w:space="0" w:color="auto"/>
            </w:tcBorders>
            <w:shd w:val="clear" w:color="auto" w:fill="C4EFCE"/>
            <w:vAlign w:val="center"/>
            <w:hideMark/>
          </w:tcPr>
          <w:p w14:paraId="6503CC9A" w14:textId="77777777" w:rsidR="00E040FD" w:rsidRDefault="00740D64">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5DCD0F8D"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EDA8BBC" w14:textId="5BA216F8" w:rsidR="00E040FD" w:rsidRDefault="00740D64">
            <w:pPr>
              <w:pStyle w:val="P68B1DB1-Normal23"/>
              <w:spacing w:after="0"/>
              <w:jc w:val="both"/>
              <w:rPr>
                <w:rFonts w:eastAsia="Calibri" w:cs="Calibri"/>
                <w:noProof/>
              </w:rPr>
            </w:pPr>
            <w:r>
              <w:rPr>
                <w:noProof/>
              </w:rPr>
              <w:t>Utbildning av lärare och annan personal i digital kompetens i ARM</w:t>
            </w:r>
          </w:p>
        </w:tc>
      </w:tr>
      <w:tr w:rsidR="00E040FD" w14:paraId="7AFE04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5729423" w14:textId="77777777" w:rsidR="00E040FD" w:rsidRDefault="00740D64">
            <w:pPr>
              <w:pStyle w:val="P68B1DB1-Normal23"/>
              <w:spacing w:after="0"/>
              <w:jc w:val="center"/>
              <w:rPr>
                <w:rFonts w:eastAsia="Calibri" w:cs="Calibri"/>
                <w:noProof/>
              </w:rPr>
            </w:pPr>
            <w:r>
              <w:rPr>
                <w:noProof/>
              </w:rPr>
              <w:t>20.18</w:t>
            </w:r>
          </w:p>
        </w:tc>
        <w:tc>
          <w:tcPr>
            <w:tcW w:w="1760" w:type="dxa"/>
            <w:tcBorders>
              <w:top w:val="nil"/>
              <w:left w:val="nil"/>
              <w:bottom w:val="single" w:sz="4" w:space="0" w:color="auto"/>
              <w:right w:val="single" w:sz="4" w:space="0" w:color="auto"/>
            </w:tcBorders>
            <w:shd w:val="clear" w:color="auto" w:fill="C4EFCE"/>
            <w:vAlign w:val="center"/>
            <w:hideMark/>
          </w:tcPr>
          <w:p w14:paraId="27A9F236" w14:textId="77777777" w:rsidR="00E040FD" w:rsidRDefault="00740D64">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3DBDBFE2"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37718C5" w14:textId="77777777" w:rsidR="00E040FD" w:rsidRDefault="00740D64">
            <w:pPr>
              <w:pStyle w:val="P68B1DB1-Normal23"/>
              <w:spacing w:after="0"/>
              <w:jc w:val="both"/>
              <w:rPr>
                <w:rFonts w:eastAsia="Calibri" w:cs="Calibri"/>
                <w:noProof/>
              </w:rPr>
            </w:pPr>
            <w:r>
              <w:rPr>
                <w:noProof/>
              </w:rPr>
              <w:t>Tillhandahållande av vetenskaplig och teknisk utrustning till skolor inom ARM</w:t>
            </w:r>
          </w:p>
        </w:tc>
      </w:tr>
      <w:tr w:rsidR="00E040FD" w14:paraId="007A1F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11A244" w14:textId="77777777" w:rsidR="00E040FD" w:rsidRDefault="00740D64">
            <w:pPr>
              <w:pStyle w:val="P68B1DB1-Normal23"/>
              <w:spacing w:after="0"/>
              <w:jc w:val="center"/>
              <w:rPr>
                <w:rFonts w:eastAsia="Calibri" w:cs="Calibri"/>
                <w:noProof/>
              </w:rPr>
            </w:pPr>
            <w:r>
              <w:rPr>
                <w:noProof/>
              </w:rPr>
              <w:t>21.2</w:t>
            </w:r>
          </w:p>
        </w:tc>
        <w:tc>
          <w:tcPr>
            <w:tcW w:w="1760" w:type="dxa"/>
            <w:tcBorders>
              <w:top w:val="nil"/>
              <w:left w:val="nil"/>
              <w:bottom w:val="single" w:sz="4" w:space="0" w:color="auto"/>
              <w:right w:val="single" w:sz="4" w:space="0" w:color="auto"/>
            </w:tcBorders>
            <w:shd w:val="clear" w:color="auto" w:fill="C4EFCE"/>
            <w:vAlign w:val="center"/>
            <w:hideMark/>
          </w:tcPr>
          <w:p w14:paraId="058AF46E" w14:textId="77777777" w:rsidR="00E040FD" w:rsidRDefault="00740D64">
            <w:pPr>
              <w:pStyle w:val="P68B1DB1-Normal23"/>
              <w:spacing w:after="0"/>
              <w:jc w:val="center"/>
              <w:rPr>
                <w:rFonts w:eastAsia="Calibri" w:cs="Calibri"/>
                <w:noProof/>
              </w:rPr>
            </w:pPr>
            <w:r>
              <w:rPr>
                <w:noProof/>
              </w:rPr>
              <w:t>RP-C21-i02</w:t>
            </w:r>
          </w:p>
        </w:tc>
        <w:tc>
          <w:tcPr>
            <w:tcW w:w="1520" w:type="dxa"/>
            <w:tcBorders>
              <w:top w:val="nil"/>
              <w:left w:val="nil"/>
              <w:bottom w:val="single" w:sz="4" w:space="0" w:color="auto"/>
              <w:right w:val="single" w:sz="4" w:space="0" w:color="auto"/>
            </w:tcBorders>
            <w:shd w:val="clear" w:color="auto" w:fill="C4EFCE"/>
            <w:vAlign w:val="center"/>
            <w:hideMark/>
          </w:tcPr>
          <w:p w14:paraId="3ECFDED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7A42DB4" w14:textId="77777777" w:rsidR="00E040FD" w:rsidRDefault="00740D64">
            <w:pPr>
              <w:pStyle w:val="P68B1DB1-Normal23"/>
              <w:spacing w:after="0"/>
              <w:jc w:val="both"/>
              <w:rPr>
                <w:rFonts w:eastAsia="Calibri" w:cs="Calibri"/>
                <w:noProof/>
              </w:rPr>
            </w:pPr>
            <w:r>
              <w:rPr>
                <w:noProof/>
              </w:rPr>
              <w:t>Energieffektivitetsrenovering av privata bostadshus</w:t>
            </w:r>
          </w:p>
        </w:tc>
      </w:tr>
      <w:tr w:rsidR="00E040FD" w14:paraId="44A00B2D"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80B7B9B" w14:textId="77777777" w:rsidR="00E040FD" w:rsidRDefault="00740D64">
            <w:pPr>
              <w:pStyle w:val="P68B1DB1-Normal23"/>
              <w:spacing w:after="0"/>
              <w:jc w:val="center"/>
              <w:rPr>
                <w:rFonts w:eastAsia="Calibri" w:cs="Calibri"/>
                <w:noProof/>
              </w:rPr>
            </w:pPr>
            <w:r>
              <w:rPr>
                <w:noProof/>
              </w:rPr>
              <w:t>21.3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B91DD3A" w14:textId="77777777" w:rsidR="00E040FD" w:rsidRDefault="00740D64">
            <w:pPr>
              <w:pStyle w:val="P68B1DB1-Normal23"/>
              <w:spacing w:after="0"/>
              <w:jc w:val="center"/>
              <w:rPr>
                <w:rFonts w:eastAsia="Calibri" w:cs="Calibri"/>
                <w:noProof/>
              </w:rPr>
            </w:pPr>
            <w:r>
              <w:rPr>
                <w:noProof/>
              </w:rPr>
              <w:t>RP-C21-i02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5E0B8EF"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2391DF" w14:textId="52537185" w:rsidR="00E040FD" w:rsidRDefault="00740D64">
            <w:pPr>
              <w:pStyle w:val="P68B1DB1-Normal23"/>
              <w:spacing w:after="0"/>
              <w:jc w:val="both"/>
              <w:rPr>
                <w:rFonts w:eastAsia="Calibri" w:cs="Calibri"/>
                <w:noProof/>
              </w:rPr>
            </w:pPr>
            <w:r>
              <w:rPr>
                <w:noProof/>
              </w:rPr>
              <w:t>Ytterligare produktionskapacitet för förnybar energi för egenförbrukning och för användning i lokalsamhällen som satsar på förnybar energi i den privata bostadssektorn</w:t>
            </w:r>
          </w:p>
        </w:tc>
      </w:tr>
      <w:tr w:rsidR="00E040FD" w14:paraId="2E3B4A3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D99E28" w14:textId="77777777" w:rsidR="00E040FD" w:rsidRDefault="00740D64">
            <w:pPr>
              <w:pStyle w:val="P68B1DB1-Normal23"/>
              <w:spacing w:after="0"/>
              <w:jc w:val="center"/>
              <w:rPr>
                <w:rFonts w:eastAsia="Calibri" w:cs="Calibri"/>
                <w:noProof/>
              </w:rPr>
            </w:pPr>
            <w:r>
              <w:rPr>
                <w:noProof/>
              </w:rPr>
              <w:t>21.5</w:t>
            </w:r>
          </w:p>
        </w:tc>
        <w:tc>
          <w:tcPr>
            <w:tcW w:w="1760" w:type="dxa"/>
            <w:tcBorders>
              <w:top w:val="nil"/>
              <w:left w:val="nil"/>
              <w:bottom w:val="single" w:sz="4" w:space="0" w:color="auto"/>
              <w:right w:val="single" w:sz="4" w:space="0" w:color="auto"/>
            </w:tcBorders>
            <w:shd w:val="clear" w:color="auto" w:fill="C4EFCE"/>
            <w:vAlign w:val="center"/>
            <w:hideMark/>
          </w:tcPr>
          <w:p w14:paraId="19953216" w14:textId="77777777" w:rsidR="00E040FD" w:rsidRDefault="00740D64">
            <w:pPr>
              <w:pStyle w:val="P68B1DB1-Normal23"/>
              <w:spacing w:after="0"/>
              <w:jc w:val="center"/>
              <w:rPr>
                <w:rFonts w:eastAsia="Calibri" w:cs="Calibri"/>
                <w:noProof/>
              </w:rPr>
            </w:pPr>
            <w:r>
              <w:rPr>
                <w:noProof/>
              </w:rPr>
              <w:t>RP-C21-i04-RAM</w:t>
            </w:r>
          </w:p>
        </w:tc>
        <w:tc>
          <w:tcPr>
            <w:tcW w:w="1520" w:type="dxa"/>
            <w:tcBorders>
              <w:top w:val="nil"/>
              <w:left w:val="nil"/>
              <w:bottom w:val="single" w:sz="4" w:space="0" w:color="auto"/>
              <w:right w:val="single" w:sz="4" w:space="0" w:color="auto"/>
            </w:tcBorders>
            <w:shd w:val="clear" w:color="auto" w:fill="C4EFCE"/>
            <w:vAlign w:val="center"/>
            <w:hideMark/>
          </w:tcPr>
          <w:p w14:paraId="0BAF296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D3D265" w14:textId="3EA05A82" w:rsidR="00E040FD" w:rsidRDefault="00740D64">
            <w:pPr>
              <w:pStyle w:val="P68B1DB1-Normal23"/>
              <w:spacing w:after="0"/>
              <w:jc w:val="both"/>
              <w:rPr>
                <w:rFonts w:eastAsia="Calibri" w:cs="Calibri"/>
                <w:noProof/>
              </w:rPr>
            </w:pPr>
            <w:r>
              <w:rPr>
                <w:noProof/>
              </w:rPr>
              <w:t>Ytterligare produktionskapacitet för förnybar energi för egenförbrukning och lokal användning av förnybar energi i renoverade byggnader som används av den allmännyttiga sektorn</w:t>
            </w:r>
          </w:p>
        </w:tc>
      </w:tr>
      <w:tr w:rsidR="00E040FD" w14:paraId="060AEF5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9A7ABE" w14:textId="77777777" w:rsidR="00E040FD" w:rsidRDefault="00740D64">
            <w:pPr>
              <w:pStyle w:val="P68B1DB1-Normal23"/>
              <w:spacing w:after="0"/>
              <w:jc w:val="center"/>
              <w:rPr>
                <w:rFonts w:eastAsia="Calibri" w:cs="Calibri"/>
                <w:noProof/>
              </w:rPr>
            </w:pPr>
            <w:r>
              <w:rPr>
                <w:noProof/>
              </w:rPr>
              <w:t>21.6</w:t>
            </w:r>
          </w:p>
        </w:tc>
        <w:tc>
          <w:tcPr>
            <w:tcW w:w="1760" w:type="dxa"/>
            <w:tcBorders>
              <w:top w:val="nil"/>
              <w:left w:val="nil"/>
              <w:bottom w:val="single" w:sz="4" w:space="0" w:color="auto"/>
              <w:right w:val="single" w:sz="4" w:space="0" w:color="auto"/>
            </w:tcBorders>
            <w:shd w:val="clear" w:color="auto" w:fill="C4EFCE"/>
            <w:vAlign w:val="center"/>
            <w:hideMark/>
          </w:tcPr>
          <w:p w14:paraId="48639A4C" w14:textId="77777777" w:rsidR="00E040FD" w:rsidRDefault="00740D64">
            <w:pPr>
              <w:pStyle w:val="P68B1DB1-Normal23"/>
              <w:spacing w:after="0"/>
              <w:jc w:val="center"/>
              <w:rPr>
                <w:rFonts w:eastAsia="Calibri" w:cs="Calibri"/>
                <w:noProof/>
              </w:rPr>
            </w:pPr>
            <w:r>
              <w:rPr>
                <w:noProof/>
              </w:rPr>
              <w:t>RP-C21-i04-RAM</w:t>
            </w:r>
          </w:p>
        </w:tc>
        <w:tc>
          <w:tcPr>
            <w:tcW w:w="1520" w:type="dxa"/>
            <w:tcBorders>
              <w:top w:val="nil"/>
              <w:left w:val="nil"/>
              <w:bottom w:val="single" w:sz="4" w:space="0" w:color="auto"/>
              <w:right w:val="single" w:sz="4" w:space="0" w:color="auto"/>
            </w:tcBorders>
            <w:shd w:val="clear" w:color="auto" w:fill="C4EFCE"/>
            <w:vAlign w:val="center"/>
            <w:hideMark/>
          </w:tcPr>
          <w:p w14:paraId="30233631"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1E2D4CF" w14:textId="77777777" w:rsidR="00E040FD" w:rsidRDefault="00740D64">
            <w:pPr>
              <w:pStyle w:val="P68B1DB1-Normal23"/>
              <w:spacing w:after="0"/>
              <w:jc w:val="both"/>
              <w:rPr>
                <w:rFonts w:eastAsia="Calibri" w:cs="Calibri"/>
                <w:noProof/>
              </w:rPr>
            </w:pPr>
            <w:r>
              <w:rPr>
                <w:noProof/>
              </w:rPr>
              <w:t>Energieffektivitetsrenovering i byggnader för offentliga tjänster</w:t>
            </w:r>
          </w:p>
        </w:tc>
      </w:tr>
      <w:tr w:rsidR="00E040FD" w14:paraId="1EC0C3D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C8C3318" w14:textId="77777777" w:rsidR="00E040FD" w:rsidRDefault="00740D64">
            <w:pPr>
              <w:pStyle w:val="P68B1DB1-Normal23"/>
              <w:spacing w:after="0"/>
              <w:jc w:val="center"/>
              <w:rPr>
                <w:rFonts w:eastAsia="Calibri" w:cs="Calibri"/>
                <w:noProof/>
              </w:rPr>
            </w:pPr>
            <w:r>
              <w:rPr>
                <w:noProof/>
              </w:rPr>
              <w:t>21.15</w:t>
            </w:r>
          </w:p>
        </w:tc>
        <w:tc>
          <w:tcPr>
            <w:tcW w:w="1760" w:type="dxa"/>
            <w:tcBorders>
              <w:top w:val="nil"/>
              <w:left w:val="nil"/>
              <w:bottom w:val="single" w:sz="4" w:space="0" w:color="auto"/>
              <w:right w:val="single" w:sz="4" w:space="0" w:color="auto"/>
            </w:tcBorders>
            <w:shd w:val="clear" w:color="auto" w:fill="C4EFCE"/>
            <w:vAlign w:val="center"/>
            <w:hideMark/>
          </w:tcPr>
          <w:p w14:paraId="599107CB" w14:textId="3DFFAC63" w:rsidR="00E040FD" w:rsidRDefault="00740D64">
            <w:pPr>
              <w:pStyle w:val="P68B1DB1-Normal23"/>
              <w:spacing w:after="0"/>
              <w:jc w:val="center"/>
              <w:rPr>
                <w:rFonts w:eastAsia="Calibri" w:cs="Calibri"/>
                <w:noProof/>
              </w:rPr>
            </w:pPr>
            <w:r>
              <w:rPr>
                <w:noProof/>
              </w:rPr>
              <w:t>RP-C21-r45</w:t>
            </w:r>
          </w:p>
        </w:tc>
        <w:tc>
          <w:tcPr>
            <w:tcW w:w="1520" w:type="dxa"/>
            <w:tcBorders>
              <w:top w:val="nil"/>
              <w:left w:val="nil"/>
              <w:bottom w:val="single" w:sz="4" w:space="0" w:color="auto"/>
              <w:right w:val="single" w:sz="4" w:space="0" w:color="auto"/>
            </w:tcBorders>
            <w:shd w:val="clear" w:color="auto" w:fill="C4EFCE"/>
            <w:vAlign w:val="center"/>
            <w:hideMark/>
          </w:tcPr>
          <w:p w14:paraId="2BE4DC20"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5DD8840" w14:textId="77777777" w:rsidR="00E040FD" w:rsidRDefault="00740D64">
            <w:pPr>
              <w:pStyle w:val="P68B1DB1-Normal23"/>
              <w:spacing w:after="0"/>
              <w:jc w:val="both"/>
              <w:rPr>
                <w:rFonts w:eastAsia="Calibri" w:cs="Calibri"/>
                <w:noProof/>
              </w:rPr>
            </w:pPr>
            <w:r>
              <w:rPr>
                <w:noProof/>
              </w:rPr>
              <w:t>Utbildningsåtgärder för grön kompetens</w:t>
            </w:r>
          </w:p>
        </w:tc>
      </w:tr>
      <w:tr w:rsidR="00E040FD" w14:paraId="088199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424BDC1" w14:textId="77777777" w:rsidR="00E040FD" w:rsidRDefault="00740D64">
            <w:pPr>
              <w:pStyle w:val="P68B1DB1-Normal23"/>
              <w:spacing w:after="0"/>
              <w:jc w:val="center"/>
              <w:rPr>
                <w:rFonts w:eastAsia="Calibri" w:cs="Calibri"/>
                <w:noProof/>
              </w:rPr>
            </w:pPr>
            <w:r>
              <w:rPr>
                <w:noProof/>
              </w:rPr>
              <w:t>21.29</w:t>
            </w:r>
          </w:p>
        </w:tc>
        <w:tc>
          <w:tcPr>
            <w:tcW w:w="1760" w:type="dxa"/>
            <w:tcBorders>
              <w:top w:val="nil"/>
              <w:left w:val="nil"/>
              <w:bottom w:val="single" w:sz="4" w:space="0" w:color="auto"/>
              <w:right w:val="single" w:sz="4" w:space="0" w:color="auto"/>
            </w:tcBorders>
            <w:shd w:val="clear" w:color="auto" w:fill="C4EFCE"/>
            <w:vAlign w:val="center"/>
            <w:hideMark/>
          </w:tcPr>
          <w:p w14:paraId="709081FB" w14:textId="160BC41F" w:rsidR="00E040FD" w:rsidRDefault="00740D64">
            <w:pPr>
              <w:pStyle w:val="P68B1DB1-Normal23"/>
              <w:spacing w:after="0"/>
              <w:jc w:val="center"/>
              <w:rPr>
                <w:rFonts w:eastAsia="Calibri" w:cs="Calibri"/>
                <w:noProof/>
              </w:rPr>
            </w:pPr>
            <w:r>
              <w:rPr>
                <w:noProof/>
              </w:rPr>
              <w:t>RP-C21-i08</w:t>
            </w:r>
          </w:p>
        </w:tc>
        <w:tc>
          <w:tcPr>
            <w:tcW w:w="1520" w:type="dxa"/>
            <w:tcBorders>
              <w:top w:val="nil"/>
              <w:left w:val="nil"/>
              <w:bottom w:val="single" w:sz="4" w:space="0" w:color="auto"/>
              <w:right w:val="single" w:sz="4" w:space="0" w:color="auto"/>
            </w:tcBorders>
            <w:shd w:val="clear" w:color="auto" w:fill="C4EFCE"/>
            <w:vAlign w:val="center"/>
            <w:hideMark/>
          </w:tcPr>
          <w:p w14:paraId="72D7777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F0EDEAE" w14:textId="77777777" w:rsidR="00E040FD" w:rsidRDefault="00740D64">
            <w:pPr>
              <w:pStyle w:val="P68B1DB1-Normal23"/>
              <w:spacing w:after="0"/>
              <w:jc w:val="both"/>
              <w:rPr>
                <w:rFonts w:eastAsia="Calibri" w:cs="Calibri"/>
                <w:noProof/>
              </w:rPr>
            </w:pPr>
            <w:r>
              <w:rPr>
                <w:noProof/>
              </w:rPr>
              <w:t>Installation av lagringskapacitet för el</w:t>
            </w:r>
          </w:p>
        </w:tc>
      </w:tr>
      <w:tr w:rsidR="00E040FD" w14:paraId="182B195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EFB9F7E" w14:textId="77777777" w:rsidR="00E040FD" w:rsidRDefault="00740D64">
            <w:pPr>
              <w:pStyle w:val="P68B1DB1-Normal23"/>
              <w:spacing w:after="0"/>
              <w:jc w:val="center"/>
              <w:rPr>
                <w:rFonts w:eastAsia="Calibri" w:cs="Calibri"/>
                <w:noProof/>
              </w:rPr>
            </w:pPr>
            <w:r>
              <w:rPr>
                <w:noProof/>
              </w:rPr>
              <w:t>21.32</w:t>
            </w:r>
          </w:p>
        </w:tc>
        <w:tc>
          <w:tcPr>
            <w:tcW w:w="1760" w:type="dxa"/>
            <w:tcBorders>
              <w:top w:val="nil"/>
              <w:left w:val="nil"/>
              <w:bottom w:val="single" w:sz="4" w:space="0" w:color="auto"/>
              <w:right w:val="single" w:sz="4" w:space="0" w:color="auto"/>
            </w:tcBorders>
            <w:shd w:val="clear" w:color="auto" w:fill="C4EFCE"/>
            <w:vAlign w:val="center"/>
            <w:hideMark/>
          </w:tcPr>
          <w:p w14:paraId="4622A906" w14:textId="5BFBA1D2" w:rsidR="00E040FD" w:rsidRDefault="00740D64">
            <w:pPr>
              <w:pStyle w:val="P68B1DB1-Normal23"/>
              <w:spacing w:after="0"/>
              <w:jc w:val="center"/>
              <w:rPr>
                <w:rFonts w:eastAsia="Calibri" w:cs="Calibri"/>
                <w:noProof/>
              </w:rPr>
            </w:pPr>
            <w:r>
              <w:rPr>
                <w:noProof/>
              </w:rPr>
              <w:t>RP-C21-i10-RAA</w:t>
            </w:r>
          </w:p>
        </w:tc>
        <w:tc>
          <w:tcPr>
            <w:tcW w:w="1520" w:type="dxa"/>
            <w:tcBorders>
              <w:top w:val="nil"/>
              <w:left w:val="nil"/>
              <w:bottom w:val="single" w:sz="4" w:space="0" w:color="auto"/>
              <w:right w:val="single" w:sz="4" w:space="0" w:color="auto"/>
            </w:tcBorders>
            <w:shd w:val="clear" w:color="auto" w:fill="C4EFCE"/>
            <w:vAlign w:val="center"/>
            <w:hideMark/>
          </w:tcPr>
          <w:p w14:paraId="3ABB159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637DD21" w14:textId="77777777" w:rsidR="00E040FD" w:rsidRDefault="00740D64">
            <w:pPr>
              <w:pStyle w:val="P68B1DB1-Normal23"/>
              <w:spacing w:after="0"/>
              <w:jc w:val="both"/>
              <w:rPr>
                <w:rFonts w:eastAsia="Calibri" w:cs="Calibri"/>
                <w:noProof/>
              </w:rPr>
            </w:pPr>
            <w:r>
              <w:rPr>
                <w:noProof/>
              </w:rPr>
              <w:t>Installation av lagringskapacitet för el</w:t>
            </w:r>
          </w:p>
        </w:tc>
      </w:tr>
      <w:tr w:rsidR="00E040FD" w14:paraId="54999BA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7752ED" w14:textId="77777777" w:rsidR="00E040FD" w:rsidRDefault="00740D64">
            <w:pPr>
              <w:pStyle w:val="P68B1DB1-Normal23"/>
              <w:spacing w:after="0"/>
              <w:jc w:val="center"/>
              <w:rPr>
                <w:rFonts w:eastAsia="Calibri" w:cs="Calibri"/>
                <w:noProof/>
              </w:rPr>
            </w:pPr>
            <w:r>
              <w:rPr>
                <w:noProof/>
              </w:rPr>
              <w:t>21.34</w:t>
            </w:r>
          </w:p>
        </w:tc>
        <w:tc>
          <w:tcPr>
            <w:tcW w:w="1760" w:type="dxa"/>
            <w:tcBorders>
              <w:top w:val="nil"/>
              <w:left w:val="nil"/>
              <w:bottom w:val="single" w:sz="4" w:space="0" w:color="auto"/>
              <w:right w:val="single" w:sz="4" w:space="0" w:color="auto"/>
            </w:tcBorders>
            <w:shd w:val="clear" w:color="auto" w:fill="C4EFCE"/>
            <w:vAlign w:val="center"/>
            <w:hideMark/>
          </w:tcPr>
          <w:p w14:paraId="24B53CC5" w14:textId="65310D0F" w:rsidR="00E040FD" w:rsidRDefault="00740D64">
            <w:pPr>
              <w:pStyle w:val="P68B1DB1-Normal23"/>
              <w:spacing w:after="0"/>
              <w:jc w:val="center"/>
              <w:rPr>
                <w:rFonts w:eastAsia="Calibri" w:cs="Calibri"/>
                <w:noProof/>
              </w:rPr>
            </w:pPr>
            <w:r>
              <w:rPr>
                <w:noProof/>
              </w:rPr>
              <w:t>RP-C21-i11-RAM</w:t>
            </w:r>
          </w:p>
        </w:tc>
        <w:tc>
          <w:tcPr>
            <w:tcW w:w="1520" w:type="dxa"/>
            <w:tcBorders>
              <w:top w:val="nil"/>
              <w:left w:val="nil"/>
              <w:bottom w:val="single" w:sz="4" w:space="0" w:color="auto"/>
              <w:right w:val="single" w:sz="4" w:space="0" w:color="auto"/>
            </w:tcBorders>
            <w:shd w:val="clear" w:color="auto" w:fill="C4EFCE"/>
            <w:vAlign w:val="center"/>
            <w:hideMark/>
          </w:tcPr>
          <w:p w14:paraId="57E90FE8"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1415EB" w14:textId="77777777" w:rsidR="00E040FD" w:rsidRDefault="00740D64">
            <w:pPr>
              <w:pStyle w:val="P68B1DB1-Normal23"/>
              <w:spacing w:after="0"/>
              <w:jc w:val="both"/>
              <w:rPr>
                <w:rFonts w:eastAsia="Calibri" w:cs="Calibri"/>
                <w:noProof/>
              </w:rPr>
            </w:pPr>
            <w:r>
              <w:rPr>
                <w:noProof/>
              </w:rPr>
              <w:t>Förstärkning av installerad vindkraftskapacitet</w:t>
            </w:r>
          </w:p>
        </w:tc>
      </w:tr>
      <w:tr w:rsidR="00E040FD" w14:paraId="44FCEE2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F55A38" w14:textId="77777777" w:rsidR="00E040FD" w:rsidRDefault="00740D64">
            <w:pPr>
              <w:pStyle w:val="P68B1DB1-Normal23"/>
              <w:spacing w:after="0"/>
              <w:jc w:val="center"/>
              <w:rPr>
                <w:rFonts w:eastAsia="Calibri" w:cs="Calibri"/>
                <w:noProof/>
              </w:rPr>
            </w:pPr>
            <w:r>
              <w:rPr>
                <w:noProof/>
              </w:rPr>
              <w:t>21.41</w:t>
            </w:r>
          </w:p>
        </w:tc>
        <w:tc>
          <w:tcPr>
            <w:tcW w:w="1760" w:type="dxa"/>
            <w:tcBorders>
              <w:top w:val="nil"/>
              <w:left w:val="nil"/>
              <w:bottom w:val="single" w:sz="4" w:space="0" w:color="auto"/>
              <w:right w:val="single" w:sz="4" w:space="0" w:color="auto"/>
            </w:tcBorders>
            <w:shd w:val="clear" w:color="auto" w:fill="C4EFCE"/>
            <w:vAlign w:val="center"/>
            <w:hideMark/>
          </w:tcPr>
          <w:p w14:paraId="1692D62F" w14:textId="64537686" w:rsidR="00E040FD" w:rsidRDefault="00740D64">
            <w:pPr>
              <w:pStyle w:val="P68B1DB1-Normal23"/>
              <w:spacing w:after="0"/>
              <w:jc w:val="center"/>
              <w:rPr>
                <w:rFonts w:eastAsia="Calibri" w:cs="Calibri"/>
                <w:noProof/>
              </w:rPr>
            </w:pPr>
            <w:r>
              <w:rPr>
                <w:noProof/>
              </w:rPr>
              <w:t>RP-C21-i15-RAA</w:t>
            </w:r>
          </w:p>
        </w:tc>
        <w:tc>
          <w:tcPr>
            <w:tcW w:w="1520" w:type="dxa"/>
            <w:tcBorders>
              <w:top w:val="nil"/>
              <w:left w:val="nil"/>
              <w:bottom w:val="single" w:sz="4" w:space="0" w:color="auto"/>
              <w:right w:val="single" w:sz="4" w:space="0" w:color="auto"/>
            </w:tcBorders>
            <w:shd w:val="clear" w:color="auto" w:fill="C4EFCE"/>
            <w:vAlign w:val="center"/>
            <w:hideMark/>
          </w:tcPr>
          <w:p w14:paraId="1A2F99A0"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F254CB8" w14:textId="77777777" w:rsidR="00E040FD" w:rsidRDefault="00740D64">
            <w:pPr>
              <w:pStyle w:val="P68B1DB1-Normal23"/>
              <w:spacing w:after="0"/>
              <w:jc w:val="both"/>
              <w:rPr>
                <w:rFonts w:eastAsia="Calibri" w:cs="Calibri"/>
                <w:noProof/>
              </w:rPr>
            </w:pPr>
            <w:r>
              <w:rPr>
                <w:noProof/>
              </w:rPr>
              <w:t>Två nya elfärjor tas i drift</w:t>
            </w:r>
          </w:p>
        </w:tc>
      </w:tr>
      <w:tr w:rsidR="00E040FD" w14:paraId="4686FE2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496107" w14:textId="77777777" w:rsidR="00E040FD" w:rsidRDefault="00740D64">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hideMark/>
          </w:tcPr>
          <w:p w14:paraId="381C23FB" w14:textId="77777777" w:rsidR="00E040FD" w:rsidRDefault="00740D64">
            <w:pPr>
              <w:pStyle w:val="P68B1DB1-Normal8"/>
              <w:spacing w:after="0" w:line="240" w:lineRule="auto"/>
              <w:jc w:val="center"/>
              <w:rPr>
                <w:rFonts w:eastAsia="Times New Roman" w:cs="Calibri"/>
                <w:noProof/>
              </w:rPr>
            </w:pPr>
            <w:r>
              <w:rPr>
                <w:noProof/>
              </w:rPr>
              <w:t> </w:t>
            </w:r>
          </w:p>
        </w:tc>
        <w:tc>
          <w:tcPr>
            <w:tcW w:w="1520" w:type="dxa"/>
            <w:tcBorders>
              <w:top w:val="nil"/>
              <w:left w:val="nil"/>
              <w:bottom w:val="single" w:sz="4" w:space="0" w:color="auto"/>
              <w:right w:val="single" w:sz="4" w:space="0" w:color="auto"/>
            </w:tcBorders>
            <w:shd w:val="clear" w:color="auto" w:fill="C4EFCE"/>
            <w:vAlign w:val="center"/>
            <w:hideMark/>
          </w:tcPr>
          <w:p w14:paraId="2A9D373E"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tcBorders>
              <w:top w:val="nil"/>
              <w:left w:val="nil"/>
              <w:bottom w:val="single" w:sz="4" w:space="0" w:color="auto"/>
              <w:right w:val="single" w:sz="4" w:space="0" w:color="auto"/>
            </w:tcBorders>
            <w:shd w:val="clear" w:color="auto" w:fill="C4EFCE"/>
            <w:vAlign w:val="center"/>
            <w:hideMark/>
          </w:tcPr>
          <w:p w14:paraId="6C5CFDF1" w14:textId="3C8B9DE9" w:rsidR="00E040FD" w:rsidRDefault="00740D64">
            <w:pPr>
              <w:pStyle w:val="P68B1DB1-Normal25"/>
              <w:spacing w:after="0" w:line="240" w:lineRule="auto"/>
              <w:jc w:val="center"/>
              <w:rPr>
                <w:rFonts w:cs="Calibri"/>
                <w:noProof/>
              </w:rPr>
            </w:pPr>
            <w:r>
              <w:rPr>
                <w:noProof/>
              </w:rPr>
              <w:t xml:space="preserve"> 2 284 617 001 EUR </w:t>
            </w:r>
          </w:p>
        </w:tc>
      </w:tr>
    </w:tbl>
    <w:p w14:paraId="43D05AA8" w14:textId="77777777" w:rsidR="00E040FD" w:rsidRDefault="00E040FD">
      <w:pPr>
        <w:keepNext/>
        <w:spacing w:before="40" w:after="160" w:line="259" w:lineRule="auto"/>
        <w:ind w:left="360"/>
        <w:contextualSpacing/>
        <w:jc w:val="both"/>
        <w:rPr>
          <w:rFonts w:ascii="Times New Roman" w:eastAsiaTheme="minorEastAsia" w:hAnsi="Times New Roman" w:cs="Times New Roman"/>
          <w:noProof/>
          <w:sz w:val="24"/>
        </w:rPr>
      </w:pPr>
    </w:p>
    <w:p w14:paraId="607CA0DB" w14:textId="77777777" w:rsidR="00E040FD" w:rsidRDefault="00E040FD">
      <w:pPr>
        <w:keepNext/>
        <w:spacing w:before="40" w:after="160" w:line="259" w:lineRule="auto"/>
        <w:ind w:left="360"/>
        <w:contextualSpacing/>
        <w:jc w:val="both"/>
        <w:rPr>
          <w:rFonts w:ascii="Times New Roman" w:eastAsiaTheme="minorEastAsia" w:hAnsi="Times New Roman" w:cs="Times New Roman"/>
          <w:noProof/>
          <w:sz w:val="24"/>
        </w:rPr>
      </w:pPr>
    </w:p>
    <w:p w14:paraId="2B32C5FC"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Tionde betalningsansökan (icke återbetalningspliktigt stöd): </w:t>
      </w:r>
    </w:p>
    <w:p w14:paraId="55E21E0D"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94"/>
        <w:gridCol w:w="1745"/>
        <w:gridCol w:w="1514"/>
        <w:gridCol w:w="4987"/>
      </w:tblGrid>
      <w:tr w:rsidR="00E040FD" w14:paraId="7D06A10D"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EA7B9D4"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390E370"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8722F55"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F8E9C14"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3D3D479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5D5E3F" w14:textId="77777777" w:rsidR="00E040FD" w:rsidRDefault="00740D64">
            <w:pPr>
              <w:pStyle w:val="P68B1DB1-Normal23"/>
              <w:spacing w:after="0"/>
              <w:jc w:val="center"/>
              <w:rPr>
                <w:noProof/>
              </w:rPr>
            </w:pPr>
            <w:r>
              <w:rPr>
                <w:noProof/>
              </w:rPr>
              <w:t>1.15</w:t>
            </w:r>
          </w:p>
        </w:tc>
        <w:tc>
          <w:tcPr>
            <w:tcW w:w="1760" w:type="dxa"/>
            <w:tcBorders>
              <w:top w:val="nil"/>
              <w:left w:val="nil"/>
              <w:bottom w:val="single" w:sz="4" w:space="0" w:color="auto"/>
              <w:right w:val="single" w:sz="4" w:space="0" w:color="auto"/>
            </w:tcBorders>
            <w:shd w:val="clear" w:color="auto" w:fill="C4EFCE"/>
            <w:vAlign w:val="center"/>
            <w:hideMark/>
          </w:tcPr>
          <w:p w14:paraId="52F5475D" w14:textId="77777777" w:rsidR="00E040FD" w:rsidRDefault="00740D6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26BFA8A2"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1B52446" w14:textId="77777777" w:rsidR="00E040FD" w:rsidRDefault="00740D64">
            <w:pPr>
              <w:pStyle w:val="P68B1DB1-Normal23"/>
              <w:spacing w:after="0"/>
              <w:jc w:val="both"/>
              <w:rPr>
                <w:rFonts w:eastAsia="Calibri" w:cs="Calibri"/>
                <w:noProof/>
              </w:rPr>
            </w:pPr>
            <w:r>
              <w:rPr>
                <w:noProof/>
              </w:rPr>
              <w:t>Bygga nya hälso- och sjukvårdsenheter</w:t>
            </w:r>
          </w:p>
        </w:tc>
      </w:tr>
      <w:tr w:rsidR="00E040FD" w14:paraId="6806F24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2F0C54B" w14:textId="77777777" w:rsidR="00E040FD" w:rsidRDefault="00740D64">
            <w:pPr>
              <w:pStyle w:val="P68B1DB1-Normal23"/>
              <w:spacing w:after="0"/>
              <w:jc w:val="center"/>
              <w:rPr>
                <w:noProof/>
              </w:rPr>
            </w:pPr>
            <w:r>
              <w:rPr>
                <w:noProof/>
              </w:rPr>
              <w:t>1.16</w:t>
            </w:r>
          </w:p>
        </w:tc>
        <w:tc>
          <w:tcPr>
            <w:tcW w:w="1760" w:type="dxa"/>
            <w:tcBorders>
              <w:top w:val="nil"/>
              <w:left w:val="nil"/>
              <w:bottom w:val="single" w:sz="4" w:space="0" w:color="auto"/>
              <w:right w:val="single" w:sz="4" w:space="0" w:color="auto"/>
            </w:tcBorders>
            <w:shd w:val="clear" w:color="auto" w:fill="C4EFCE"/>
            <w:vAlign w:val="center"/>
            <w:hideMark/>
          </w:tcPr>
          <w:p w14:paraId="19CDD319" w14:textId="77777777" w:rsidR="00E040FD" w:rsidRDefault="00740D6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08281B82" w14:textId="77777777" w:rsidR="00E040FD" w:rsidRDefault="00740D6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5B41143" w14:textId="77777777" w:rsidR="00E040FD" w:rsidRDefault="00740D64">
            <w:pPr>
              <w:pStyle w:val="P68B1DB1-Normal23"/>
              <w:spacing w:after="0"/>
              <w:jc w:val="both"/>
              <w:rPr>
                <w:rFonts w:eastAsia="Calibri" w:cs="Calibri"/>
                <w:noProof/>
              </w:rPr>
            </w:pPr>
            <w:r>
              <w:rPr>
                <w:noProof/>
              </w:rPr>
              <w:t>Slutföra den nationella täckningen av program för screening och tidig diagnos inom primärvården.</w:t>
            </w:r>
          </w:p>
        </w:tc>
      </w:tr>
      <w:tr w:rsidR="00E040FD" w14:paraId="217E40E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D8A98AA" w14:textId="77777777" w:rsidR="00E040FD" w:rsidRDefault="00740D64">
            <w:pPr>
              <w:pStyle w:val="P68B1DB1-Normal23"/>
              <w:spacing w:after="0"/>
              <w:jc w:val="center"/>
              <w:rPr>
                <w:noProof/>
              </w:rPr>
            </w:pPr>
            <w:r>
              <w:rPr>
                <w:noProof/>
              </w:rPr>
              <w:t>1.17</w:t>
            </w:r>
          </w:p>
        </w:tc>
        <w:tc>
          <w:tcPr>
            <w:tcW w:w="1760" w:type="dxa"/>
            <w:tcBorders>
              <w:top w:val="nil"/>
              <w:left w:val="nil"/>
              <w:bottom w:val="single" w:sz="4" w:space="0" w:color="auto"/>
              <w:right w:val="single" w:sz="4" w:space="0" w:color="auto"/>
            </w:tcBorders>
            <w:shd w:val="clear" w:color="auto" w:fill="C4EFCE"/>
            <w:vAlign w:val="center"/>
            <w:hideMark/>
          </w:tcPr>
          <w:p w14:paraId="790F9509" w14:textId="77777777" w:rsidR="00E040FD" w:rsidRDefault="00740D6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65D56E08" w14:textId="77777777" w:rsidR="00E040FD" w:rsidRDefault="00740D6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7EB1B2C" w14:textId="77777777" w:rsidR="00E040FD" w:rsidRDefault="00740D64">
            <w:pPr>
              <w:pStyle w:val="P68B1DB1-Normal23"/>
              <w:spacing w:after="0"/>
              <w:jc w:val="both"/>
              <w:rPr>
                <w:rFonts w:eastAsia="Calibri" w:cs="Calibri"/>
                <w:noProof/>
              </w:rPr>
            </w:pPr>
            <w:r>
              <w:rPr>
                <w:noProof/>
              </w:rPr>
              <w:t>Öka primärvårdscentrumens insatskapacitet och utöka deras insatsområden.</w:t>
            </w:r>
          </w:p>
        </w:tc>
      </w:tr>
      <w:tr w:rsidR="00E040FD" w14:paraId="01A92F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38C9033" w14:textId="77777777" w:rsidR="00E040FD" w:rsidRDefault="00740D64">
            <w:pPr>
              <w:pStyle w:val="P68B1DB1-Normal23"/>
              <w:spacing w:after="0"/>
              <w:jc w:val="center"/>
              <w:rPr>
                <w:noProof/>
              </w:rPr>
            </w:pPr>
            <w:r>
              <w:rPr>
                <w:noProof/>
              </w:rPr>
              <w:t>1.18</w:t>
            </w:r>
          </w:p>
        </w:tc>
        <w:tc>
          <w:tcPr>
            <w:tcW w:w="1760" w:type="dxa"/>
            <w:tcBorders>
              <w:top w:val="nil"/>
              <w:left w:val="nil"/>
              <w:bottom w:val="single" w:sz="4" w:space="0" w:color="auto"/>
              <w:right w:val="single" w:sz="4" w:space="0" w:color="auto"/>
            </w:tcBorders>
            <w:shd w:val="clear" w:color="auto" w:fill="C4EFCE"/>
            <w:vAlign w:val="center"/>
            <w:hideMark/>
          </w:tcPr>
          <w:p w14:paraId="4284A36F" w14:textId="77777777" w:rsidR="00E040FD" w:rsidRDefault="00740D6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757EA7EC" w14:textId="77777777" w:rsidR="00E040FD" w:rsidRDefault="00740D6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6FCF755" w14:textId="77777777" w:rsidR="00E040FD" w:rsidRDefault="00740D64">
            <w:pPr>
              <w:pStyle w:val="P68B1DB1-Normal23"/>
              <w:spacing w:after="0"/>
              <w:jc w:val="both"/>
              <w:rPr>
                <w:rFonts w:eastAsia="Calibri" w:cs="Calibri"/>
                <w:noProof/>
              </w:rPr>
            </w:pPr>
            <w:r>
              <w:rPr>
                <w:noProof/>
              </w:rPr>
              <w:t>Renovering av anläggningar och utrustning för hälso- och sjukvård för att säkerställa tillgänglighet, kvalitet och säkerhet på primärvårdscentraler.</w:t>
            </w:r>
          </w:p>
        </w:tc>
      </w:tr>
      <w:tr w:rsidR="00E040FD" w14:paraId="5284CCA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868D01" w14:textId="77777777" w:rsidR="00E040FD" w:rsidRDefault="00740D64">
            <w:pPr>
              <w:pStyle w:val="P68B1DB1-Normal23"/>
              <w:spacing w:after="0"/>
              <w:jc w:val="center"/>
              <w:rPr>
                <w:noProof/>
              </w:rPr>
            </w:pPr>
            <w:r>
              <w:rPr>
                <w:noProof/>
              </w:rPr>
              <w:t>1.19</w:t>
            </w:r>
          </w:p>
        </w:tc>
        <w:tc>
          <w:tcPr>
            <w:tcW w:w="1760" w:type="dxa"/>
            <w:tcBorders>
              <w:top w:val="nil"/>
              <w:left w:val="nil"/>
              <w:bottom w:val="single" w:sz="4" w:space="0" w:color="auto"/>
              <w:right w:val="single" w:sz="4" w:space="0" w:color="auto"/>
            </w:tcBorders>
            <w:shd w:val="clear" w:color="auto" w:fill="C4EFCE"/>
            <w:vAlign w:val="center"/>
            <w:hideMark/>
          </w:tcPr>
          <w:p w14:paraId="0EDC48A4" w14:textId="77777777" w:rsidR="00E040FD" w:rsidRDefault="00740D6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33DB8263" w14:textId="77777777" w:rsidR="00E040FD" w:rsidRDefault="00740D6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725DC65" w14:textId="77777777" w:rsidR="00E040FD" w:rsidRDefault="00740D64">
            <w:pPr>
              <w:pStyle w:val="P68B1DB1-Normal23"/>
              <w:spacing w:after="0"/>
              <w:jc w:val="both"/>
              <w:rPr>
                <w:rFonts w:eastAsia="Calibri" w:cs="Calibri"/>
                <w:noProof/>
              </w:rPr>
            </w:pPr>
            <w:r>
              <w:rPr>
                <w:noProof/>
              </w:rPr>
              <w:t>Förstärkning av samhällsbaserad vård, hemvård och samhällsinsatser</w:t>
            </w:r>
          </w:p>
        </w:tc>
      </w:tr>
      <w:tr w:rsidR="00E040FD" w14:paraId="3D01E1B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AC2B30" w14:textId="77777777" w:rsidR="00E040FD" w:rsidRDefault="00740D64">
            <w:pPr>
              <w:pStyle w:val="P68B1DB1-Normal23"/>
              <w:spacing w:after="0"/>
              <w:jc w:val="center"/>
              <w:rPr>
                <w:noProof/>
              </w:rPr>
            </w:pPr>
            <w:r>
              <w:rPr>
                <w:noProof/>
              </w:rPr>
              <w:t>1.26</w:t>
            </w:r>
          </w:p>
        </w:tc>
        <w:tc>
          <w:tcPr>
            <w:tcW w:w="1760" w:type="dxa"/>
            <w:tcBorders>
              <w:top w:val="nil"/>
              <w:left w:val="nil"/>
              <w:bottom w:val="single" w:sz="4" w:space="0" w:color="auto"/>
              <w:right w:val="single" w:sz="4" w:space="0" w:color="auto"/>
            </w:tcBorders>
            <w:shd w:val="clear" w:color="auto" w:fill="C4EFCE"/>
            <w:vAlign w:val="center"/>
            <w:hideMark/>
          </w:tcPr>
          <w:p w14:paraId="2701A855" w14:textId="77777777" w:rsidR="00E040FD" w:rsidRDefault="00740D64">
            <w:pPr>
              <w:pStyle w:val="P68B1DB1-Normal23"/>
              <w:spacing w:after="0"/>
              <w:jc w:val="center"/>
              <w:rPr>
                <w:noProof/>
              </w:rPr>
            </w:pPr>
            <w:r>
              <w:rPr>
                <w:noProof/>
              </w:rPr>
              <w:t>RE-C01-i04</w:t>
            </w:r>
          </w:p>
        </w:tc>
        <w:tc>
          <w:tcPr>
            <w:tcW w:w="1520" w:type="dxa"/>
            <w:tcBorders>
              <w:top w:val="nil"/>
              <w:left w:val="nil"/>
              <w:bottom w:val="single" w:sz="4" w:space="0" w:color="auto"/>
              <w:right w:val="single" w:sz="4" w:space="0" w:color="auto"/>
            </w:tcBorders>
            <w:shd w:val="clear" w:color="auto" w:fill="C4EFCE"/>
            <w:vAlign w:val="center"/>
            <w:hideMark/>
          </w:tcPr>
          <w:p w14:paraId="05A37AD5" w14:textId="77777777" w:rsidR="00E040FD" w:rsidRDefault="00740D6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BABE876" w14:textId="77777777" w:rsidR="00E040FD" w:rsidRDefault="00740D64">
            <w:pPr>
              <w:pStyle w:val="P68B1DB1-Normal23"/>
              <w:spacing w:after="0"/>
              <w:jc w:val="both"/>
              <w:rPr>
                <w:rFonts w:eastAsia="Calibri" w:cs="Calibri"/>
                <w:noProof/>
              </w:rPr>
            </w:pPr>
            <w:r>
              <w:rPr>
                <w:noProof/>
              </w:rPr>
              <w:t>Uppförande av sjukhuset i östra Lissabon och inköp av utrustning till sjukhus i Lissabon och Vale do Tejo</w:t>
            </w:r>
          </w:p>
        </w:tc>
      </w:tr>
      <w:tr w:rsidR="00E040FD" w14:paraId="3D441B1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3D0439" w14:textId="77777777" w:rsidR="00E040FD" w:rsidRDefault="00740D64">
            <w:pPr>
              <w:pStyle w:val="P68B1DB1-Normal23"/>
              <w:spacing w:after="0"/>
              <w:jc w:val="center"/>
              <w:rPr>
                <w:noProof/>
              </w:rPr>
            </w:pPr>
            <w:r>
              <w:rPr>
                <w:noProof/>
              </w:rPr>
              <w:t>1.27</w:t>
            </w:r>
          </w:p>
        </w:tc>
        <w:tc>
          <w:tcPr>
            <w:tcW w:w="1760" w:type="dxa"/>
            <w:tcBorders>
              <w:top w:val="nil"/>
              <w:left w:val="nil"/>
              <w:bottom w:val="single" w:sz="4" w:space="0" w:color="auto"/>
              <w:right w:val="single" w:sz="4" w:space="0" w:color="auto"/>
            </w:tcBorders>
            <w:shd w:val="clear" w:color="auto" w:fill="C4EFCE"/>
            <w:vAlign w:val="center"/>
            <w:hideMark/>
          </w:tcPr>
          <w:p w14:paraId="1BD7B0E9" w14:textId="77777777" w:rsidR="00E040FD" w:rsidRDefault="00740D64">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3CAAA8F2"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A201EA2" w14:textId="77777777" w:rsidR="00E040FD" w:rsidRDefault="00740D64">
            <w:pPr>
              <w:pStyle w:val="P68B1DB1-Normal23"/>
              <w:spacing w:after="0"/>
              <w:jc w:val="both"/>
              <w:rPr>
                <w:rFonts w:eastAsia="Calibri" w:cs="Calibri"/>
                <w:noProof/>
              </w:rPr>
            </w:pPr>
            <w:r>
              <w:rPr>
                <w:noProof/>
              </w:rPr>
              <w:t>Ökning av antalet tillgängliga platser i systemet för sjukhusvistelse i Madeiras regionala hälso- och sjukvårdssystem</w:t>
            </w:r>
          </w:p>
        </w:tc>
      </w:tr>
      <w:tr w:rsidR="00E040FD" w14:paraId="5762E4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8CF62DE" w14:textId="77777777" w:rsidR="00E040FD" w:rsidRDefault="00740D64">
            <w:pPr>
              <w:pStyle w:val="P68B1DB1-Normal23"/>
              <w:spacing w:after="0"/>
              <w:jc w:val="center"/>
              <w:rPr>
                <w:noProof/>
              </w:rPr>
            </w:pPr>
            <w:r>
              <w:rPr>
                <w:noProof/>
              </w:rPr>
              <w:t>1.28</w:t>
            </w:r>
          </w:p>
        </w:tc>
        <w:tc>
          <w:tcPr>
            <w:tcW w:w="1760" w:type="dxa"/>
            <w:tcBorders>
              <w:top w:val="nil"/>
              <w:left w:val="nil"/>
              <w:bottom w:val="single" w:sz="4" w:space="0" w:color="auto"/>
              <w:right w:val="single" w:sz="4" w:space="0" w:color="auto"/>
            </w:tcBorders>
            <w:shd w:val="clear" w:color="auto" w:fill="C4EFCE"/>
            <w:vAlign w:val="center"/>
            <w:hideMark/>
          </w:tcPr>
          <w:p w14:paraId="4710DCFA" w14:textId="77777777" w:rsidR="00E040FD" w:rsidRDefault="00740D64">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6CFA463F"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865E083" w14:textId="77777777" w:rsidR="00E040FD" w:rsidRDefault="00740D64">
            <w:pPr>
              <w:pStyle w:val="P68B1DB1-Normal23"/>
              <w:spacing w:after="0"/>
              <w:jc w:val="both"/>
              <w:rPr>
                <w:rFonts w:eastAsia="Calibri" w:cs="Calibri"/>
                <w:noProof/>
              </w:rPr>
            </w:pPr>
            <w:r>
              <w:rPr>
                <w:noProof/>
              </w:rPr>
              <w:t>Inrättande av lokala grupper för psykisk hälsa i Madeiras regionala hälso- och sjukvård</w:t>
            </w:r>
          </w:p>
        </w:tc>
      </w:tr>
      <w:tr w:rsidR="00E040FD" w14:paraId="01524A3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7ED4C9A" w14:textId="77777777" w:rsidR="00E040FD" w:rsidRDefault="00740D64">
            <w:pPr>
              <w:pStyle w:val="P68B1DB1-Normal23"/>
              <w:spacing w:after="0"/>
              <w:jc w:val="center"/>
              <w:rPr>
                <w:noProof/>
              </w:rPr>
            </w:pPr>
            <w:r>
              <w:rPr>
                <w:noProof/>
              </w:rPr>
              <w:t>1.31</w:t>
            </w:r>
          </w:p>
        </w:tc>
        <w:tc>
          <w:tcPr>
            <w:tcW w:w="1760" w:type="dxa"/>
            <w:tcBorders>
              <w:top w:val="nil"/>
              <w:left w:val="nil"/>
              <w:bottom w:val="single" w:sz="4" w:space="0" w:color="auto"/>
              <w:right w:val="single" w:sz="4" w:space="0" w:color="auto"/>
            </w:tcBorders>
            <w:shd w:val="clear" w:color="auto" w:fill="C4EFCE"/>
            <w:vAlign w:val="center"/>
            <w:hideMark/>
          </w:tcPr>
          <w:p w14:paraId="35A056AF" w14:textId="77777777" w:rsidR="00E040FD" w:rsidRDefault="00740D64">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632A4DE4"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FB0741" w14:textId="77777777" w:rsidR="00E040FD" w:rsidRDefault="00740D64">
            <w:pPr>
              <w:pStyle w:val="P68B1DB1-Normal23"/>
              <w:spacing w:after="0"/>
              <w:jc w:val="both"/>
              <w:rPr>
                <w:rFonts w:eastAsia="Calibri" w:cs="Calibri"/>
                <w:noProof/>
              </w:rPr>
            </w:pPr>
            <w:r>
              <w:rPr>
                <w:noProof/>
              </w:rPr>
              <w:t>Renovering av primärvården i Madeiras regionala hälso- och sjukvård</w:t>
            </w:r>
          </w:p>
        </w:tc>
      </w:tr>
      <w:tr w:rsidR="00E040FD" w14:paraId="5ABD1A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CF6E924" w14:textId="77777777" w:rsidR="00E040FD" w:rsidRDefault="00740D64">
            <w:pPr>
              <w:pStyle w:val="P68B1DB1-Normal23"/>
              <w:spacing w:after="0"/>
              <w:jc w:val="center"/>
              <w:rPr>
                <w:noProof/>
              </w:rPr>
            </w:pPr>
            <w:r>
              <w:rPr>
                <w:noProof/>
              </w:rPr>
              <w:t>1.43</w:t>
            </w:r>
          </w:p>
        </w:tc>
        <w:tc>
          <w:tcPr>
            <w:tcW w:w="1760" w:type="dxa"/>
            <w:tcBorders>
              <w:top w:val="nil"/>
              <w:left w:val="nil"/>
              <w:bottom w:val="single" w:sz="4" w:space="0" w:color="auto"/>
              <w:right w:val="single" w:sz="4" w:space="0" w:color="auto"/>
            </w:tcBorders>
            <w:shd w:val="clear" w:color="auto" w:fill="C4EFCE"/>
            <w:vAlign w:val="center"/>
            <w:hideMark/>
          </w:tcPr>
          <w:p w14:paraId="375AE1E5" w14:textId="77777777" w:rsidR="00E040FD" w:rsidRDefault="00740D64">
            <w:pPr>
              <w:pStyle w:val="P68B1DB1-Normal23"/>
              <w:spacing w:after="0"/>
              <w:jc w:val="center"/>
              <w:rPr>
                <w:noProof/>
              </w:rPr>
            </w:pPr>
            <w:r>
              <w:rPr>
                <w:noProof/>
              </w:rPr>
              <w:t>RE-C01-i10</w:t>
            </w:r>
          </w:p>
        </w:tc>
        <w:tc>
          <w:tcPr>
            <w:tcW w:w="1520" w:type="dxa"/>
            <w:tcBorders>
              <w:top w:val="nil"/>
              <w:left w:val="nil"/>
              <w:bottom w:val="single" w:sz="4" w:space="0" w:color="auto"/>
              <w:right w:val="single" w:sz="4" w:space="0" w:color="auto"/>
            </w:tcBorders>
            <w:shd w:val="clear" w:color="auto" w:fill="C4EFCE"/>
            <w:vAlign w:val="center"/>
            <w:hideMark/>
          </w:tcPr>
          <w:p w14:paraId="3498EF00"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A15A08C" w14:textId="77777777" w:rsidR="00E040FD" w:rsidRDefault="00740D64">
            <w:pPr>
              <w:pStyle w:val="P68B1DB1-Normal23"/>
              <w:spacing w:after="0"/>
              <w:jc w:val="both"/>
              <w:rPr>
                <w:rFonts w:eastAsia="Calibri" w:cs="Calibri"/>
                <w:noProof/>
              </w:rPr>
            </w:pPr>
            <w:r>
              <w:rPr>
                <w:noProof/>
              </w:rPr>
              <w:t>Inköp av tung medicinsk utrustning</w:t>
            </w:r>
          </w:p>
        </w:tc>
      </w:tr>
      <w:tr w:rsidR="00E040FD" w14:paraId="6AC77FE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C1269E" w14:textId="77777777" w:rsidR="00E040FD" w:rsidRDefault="00740D64">
            <w:pPr>
              <w:pStyle w:val="P68B1DB1-Normal23"/>
              <w:spacing w:after="0"/>
              <w:jc w:val="center"/>
              <w:rPr>
                <w:noProof/>
              </w:rPr>
            </w:pPr>
            <w:r>
              <w:rPr>
                <w:noProof/>
              </w:rPr>
              <w:t>2.3</w:t>
            </w:r>
          </w:p>
        </w:tc>
        <w:tc>
          <w:tcPr>
            <w:tcW w:w="1760" w:type="dxa"/>
            <w:tcBorders>
              <w:top w:val="nil"/>
              <w:left w:val="nil"/>
              <w:bottom w:val="single" w:sz="4" w:space="0" w:color="auto"/>
              <w:right w:val="single" w:sz="4" w:space="0" w:color="auto"/>
            </w:tcBorders>
            <w:shd w:val="clear" w:color="auto" w:fill="C4EFCE"/>
            <w:vAlign w:val="center"/>
            <w:hideMark/>
          </w:tcPr>
          <w:p w14:paraId="43F3328C" w14:textId="77777777" w:rsidR="00E040FD" w:rsidRDefault="00740D64">
            <w:pPr>
              <w:pStyle w:val="P68B1DB1-Normal23"/>
              <w:spacing w:after="0"/>
              <w:jc w:val="center"/>
              <w:rPr>
                <w:noProof/>
              </w:rPr>
            </w:pPr>
            <w:r>
              <w:rPr>
                <w:noProof/>
              </w:rPr>
              <w:t>RE-C02-i01</w:t>
            </w:r>
          </w:p>
        </w:tc>
        <w:tc>
          <w:tcPr>
            <w:tcW w:w="1520" w:type="dxa"/>
            <w:tcBorders>
              <w:top w:val="nil"/>
              <w:left w:val="nil"/>
              <w:bottom w:val="single" w:sz="4" w:space="0" w:color="auto"/>
              <w:right w:val="single" w:sz="4" w:space="0" w:color="auto"/>
            </w:tcBorders>
            <w:shd w:val="clear" w:color="auto" w:fill="C4EFCE"/>
            <w:vAlign w:val="center"/>
            <w:hideMark/>
          </w:tcPr>
          <w:p w14:paraId="63E6F2B5"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F9FF65" w14:textId="77777777" w:rsidR="00E040FD" w:rsidRDefault="00740D64">
            <w:pPr>
              <w:pStyle w:val="P68B1DB1-Normal23"/>
              <w:spacing w:after="0"/>
              <w:jc w:val="both"/>
              <w:rPr>
                <w:rFonts w:eastAsia="Calibri" w:cs="Calibri"/>
                <w:noProof/>
              </w:rPr>
            </w:pPr>
            <w:r>
              <w:rPr>
                <w:noProof/>
              </w:rPr>
              <w:t>Stödprogram för tillgång till bostäder – inköpta, byggda (hög energieffektivitet) eller renoverade (med förbättrad energiprestanda) bostäder som tillhandahålls hushållen</w:t>
            </w:r>
          </w:p>
        </w:tc>
      </w:tr>
      <w:tr w:rsidR="00E040FD" w14:paraId="72A593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82ECA8" w14:textId="77777777" w:rsidR="00E040FD" w:rsidRDefault="00740D64">
            <w:pPr>
              <w:pStyle w:val="P68B1DB1-Normal23"/>
              <w:spacing w:after="0"/>
              <w:jc w:val="center"/>
              <w:rPr>
                <w:noProof/>
              </w:rPr>
            </w:pPr>
            <w:r>
              <w:rPr>
                <w:noProof/>
              </w:rPr>
              <w:t>2.7</w:t>
            </w:r>
          </w:p>
        </w:tc>
        <w:tc>
          <w:tcPr>
            <w:tcW w:w="1760" w:type="dxa"/>
            <w:tcBorders>
              <w:top w:val="nil"/>
              <w:left w:val="nil"/>
              <w:bottom w:val="single" w:sz="4" w:space="0" w:color="auto"/>
              <w:right w:val="single" w:sz="4" w:space="0" w:color="auto"/>
            </w:tcBorders>
            <w:shd w:val="clear" w:color="auto" w:fill="C4EFCE"/>
            <w:vAlign w:val="center"/>
            <w:hideMark/>
          </w:tcPr>
          <w:p w14:paraId="73BDA8CB" w14:textId="77777777" w:rsidR="00E040FD" w:rsidRDefault="00740D64">
            <w:pPr>
              <w:pStyle w:val="P68B1DB1-Normal23"/>
              <w:spacing w:after="0"/>
              <w:jc w:val="center"/>
              <w:rPr>
                <w:noProof/>
              </w:rPr>
            </w:pPr>
            <w:r>
              <w:rPr>
                <w:noProof/>
              </w:rPr>
              <w:t>RE-C02-i02</w:t>
            </w:r>
          </w:p>
        </w:tc>
        <w:tc>
          <w:tcPr>
            <w:tcW w:w="1520" w:type="dxa"/>
            <w:tcBorders>
              <w:top w:val="nil"/>
              <w:left w:val="nil"/>
              <w:bottom w:val="single" w:sz="4" w:space="0" w:color="auto"/>
              <w:right w:val="single" w:sz="4" w:space="0" w:color="auto"/>
            </w:tcBorders>
            <w:shd w:val="clear" w:color="auto" w:fill="C4EFCE"/>
            <w:vAlign w:val="center"/>
            <w:hideMark/>
          </w:tcPr>
          <w:p w14:paraId="4E0163B1"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65A5618" w14:textId="77777777" w:rsidR="00E040FD" w:rsidRDefault="00740D64">
            <w:pPr>
              <w:pStyle w:val="P68B1DB1-Normal23"/>
              <w:spacing w:after="0"/>
              <w:jc w:val="both"/>
              <w:rPr>
                <w:rFonts w:eastAsia="Calibri" w:cs="Calibri"/>
                <w:noProof/>
              </w:rPr>
            </w:pPr>
            <w:r>
              <w:rPr>
                <w:noProof/>
              </w:rPr>
              <w:t>Nationellt nödboende och tillfälligt bostadsbidrag – Nöd- och övergångsboenden som skapats (byggda eller köpts med energieffektivitetsnorm eller renoverats, inklusive även inköpta, med förbättrad energiprestanda) och levereras till byggherrar</w:t>
            </w:r>
          </w:p>
        </w:tc>
      </w:tr>
      <w:tr w:rsidR="00E040FD" w14:paraId="0F56588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51AC1AB" w14:textId="77777777" w:rsidR="00E040FD" w:rsidRDefault="00740D64">
            <w:pPr>
              <w:pStyle w:val="P68B1DB1-Normal23"/>
              <w:spacing w:after="0"/>
              <w:jc w:val="center"/>
              <w:rPr>
                <w:noProof/>
              </w:rPr>
            </w:pPr>
            <w:r>
              <w:rPr>
                <w:noProof/>
              </w:rPr>
              <w:t>2.8</w:t>
            </w:r>
          </w:p>
        </w:tc>
        <w:tc>
          <w:tcPr>
            <w:tcW w:w="1760" w:type="dxa"/>
            <w:tcBorders>
              <w:top w:val="nil"/>
              <w:left w:val="nil"/>
              <w:bottom w:val="single" w:sz="4" w:space="0" w:color="auto"/>
              <w:right w:val="single" w:sz="4" w:space="0" w:color="auto"/>
            </w:tcBorders>
            <w:shd w:val="clear" w:color="auto" w:fill="C4EFCE"/>
            <w:vAlign w:val="center"/>
            <w:hideMark/>
          </w:tcPr>
          <w:p w14:paraId="7E84AC89" w14:textId="77777777" w:rsidR="00E040FD" w:rsidRDefault="00740D64">
            <w:pPr>
              <w:pStyle w:val="P68B1DB1-Normal23"/>
              <w:spacing w:after="0"/>
              <w:jc w:val="center"/>
              <w:rPr>
                <w:noProof/>
              </w:rPr>
            </w:pPr>
            <w:r>
              <w:rPr>
                <w:noProof/>
              </w:rPr>
              <w:t>RE-C02-i02</w:t>
            </w:r>
          </w:p>
        </w:tc>
        <w:tc>
          <w:tcPr>
            <w:tcW w:w="1520" w:type="dxa"/>
            <w:tcBorders>
              <w:top w:val="nil"/>
              <w:left w:val="nil"/>
              <w:bottom w:val="single" w:sz="4" w:space="0" w:color="auto"/>
              <w:right w:val="single" w:sz="4" w:space="0" w:color="auto"/>
            </w:tcBorders>
            <w:shd w:val="clear" w:color="auto" w:fill="C4EFCE"/>
            <w:vAlign w:val="center"/>
            <w:hideMark/>
          </w:tcPr>
          <w:p w14:paraId="42DC07CB"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E23D2B0" w14:textId="77777777" w:rsidR="00E040FD" w:rsidRDefault="00740D64">
            <w:pPr>
              <w:pStyle w:val="P68B1DB1-Normal23"/>
              <w:spacing w:after="0"/>
              <w:jc w:val="both"/>
              <w:rPr>
                <w:rFonts w:eastAsia="Calibri" w:cs="Calibri"/>
                <w:noProof/>
              </w:rPr>
            </w:pPr>
            <w:r>
              <w:rPr>
                <w:noProof/>
              </w:rPr>
              <w:t>Inkvartering till säkerhetsstyrkor och tillfälligt boende som tillhandahålls av humanitära skäl eller säkerhetsskäl</w:t>
            </w:r>
          </w:p>
        </w:tc>
      </w:tr>
      <w:tr w:rsidR="00E040FD" w14:paraId="02FF4B3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8FA595" w14:textId="77777777" w:rsidR="00E040FD" w:rsidRDefault="00740D64">
            <w:pPr>
              <w:pStyle w:val="P68B1DB1-Normal23"/>
              <w:spacing w:after="0"/>
              <w:jc w:val="center"/>
              <w:rPr>
                <w:noProof/>
              </w:rPr>
            </w:pPr>
            <w:r>
              <w:rPr>
                <w:noProof/>
              </w:rPr>
              <w:t>2.11</w:t>
            </w:r>
          </w:p>
        </w:tc>
        <w:tc>
          <w:tcPr>
            <w:tcW w:w="1760" w:type="dxa"/>
            <w:tcBorders>
              <w:top w:val="nil"/>
              <w:left w:val="nil"/>
              <w:bottom w:val="single" w:sz="4" w:space="0" w:color="auto"/>
              <w:right w:val="single" w:sz="4" w:space="0" w:color="auto"/>
            </w:tcBorders>
            <w:shd w:val="clear" w:color="auto" w:fill="C4EFCE"/>
            <w:vAlign w:val="center"/>
            <w:hideMark/>
          </w:tcPr>
          <w:p w14:paraId="67D04435" w14:textId="77777777" w:rsidR="00E040FD" w:rsidRDefault="00740D64">
            <w:pPr>
              <w:pStyle w:val="P68B1DB1-Normal23"/>
              <w:spacing w:after="0"/>
              <w:jc w:val="center"/>
              <w:rPr>
                <w:noProof/>
              </w:rPr>
            </w:pPr>
            <w:r>
              <w:rPr>
                <w:noProof/>
              </w:rPr>
              <w:t>RE-C02-i03-RAM</w:t>
            </w:r>
          </w:p>
        </w:tc>
        <w:tc>
          <w:tcPr>
            <w:tcW w:w="1520" w:type="dxa"/>
            <w:tcBorders>
              <w:top w:val="nil"/>
              <w:left w:val="nil"/>
              <w:bottom w:val="single" w:sz="4" w:space="0" w:color="auto"/>
              <w:right w:val="single" w:sz="4" w:space="0" w:color="auto"/>
            </w:tcBorders>
            <w:shd w:val="clear" w:color="auto" w:fill="C4EFCE"/>
            <w:vAlign w:val="center"/>
            <w:hideMark/>
          </w:tcPr>
          <w:p w14:paraId="3BD5817E"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D58941" w14:textId="77777777" w:rsidR="00E040FD" w:rsidRDefault="00740D64">
            <w:pPr>
              <w:pStyle w:val="P68B1DB1-Normal23"/>
              <w:spacing w:after="0"/>
              <w:jc w:val="both"/>
              <w:rPr>
                <w:rFonts w:eastAsia="Calibri" w:cs="Calibri"/>
                <w:noProof/>
              </w:rPr>
            </w:pPr>
            <w:r>
              <w:rPr>
                <w:noProof/>
              </w:rPr>
              <w:t>Stöd till bostäder i den autonoma regionen Madeira</w:t>
            </w:r>
          </w:p>
        </w:tc>
      </w:tr>
      <w:tr w:rsidR="00E040FD" w14:paraId="29129C5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6F57D8F" w14:textId="77777777" w:rsidR="00E040FD" w:rsidRDefault="00740D64">
            <w:pPr>
              <w:pStyle w:val="P68B1DB1-Normal23"/>
              <w:spacing w:after="0"/>
              <w:jc w:val="center"/>
              <w:rPr>
                <w:noProof/>
              </w:rPr>
            </w:pPr>
            <w:r>
              <w:rPr>
                <w:noProof/>
              </w:rPr>
              <w:t>2.12</w:t>
            </w:r>
          </w:p>
        </w:tc>
        <w:tc>
          <w:tcPr>
            <w:tcW w:w="1760" w:type="dxa"/>
            <w:tcBorders>
              <w:top w:val="nil"/>
              <w:left w:val="nil"/>
              <w:bottom w:val="single" w:sz="4" w:space="0" w:color="auto"/>
              <w:right w:val="single" w:sz="4" w:space="0" w:color="auto"/>
            </w:tcBorders>
            <w:shd w:val="clear" w:color="auto" w:fill="C4EFCE"/>
            <w:vAlign w:val="center"/>
            <w:hideMark/>
          </w:tcPr>
          <w:p w14:paraId="62DEA51A" w14:textId="77777777" w:rsidR="00E040FD" w:rsidRDefault="00740D64">
            <w:pPr>
              <w:pStyle w:val="P68B1DB1-Normal23"/>
              <w:spacing w:after="0"/>
              <w:jc w:val="center"/>
              <w:rPr>
                <w:noProof/>
              </w:rPr>
            </w:pPr>
            <w:r>
              <w:rPr>
                <w:noProof/>
              </w:rPr>
              <w:t>RE-C02-i03-RAM</w:t>
            </w:r>
          </w:p>
        </w:tc>
        <w:tc>
          <w:tcPr>
            <w:tcW w:w="1520" w:type="dxa"/>
            <w:tcBorders>
              <w:top w:val="nil"/>
              <w:left w:val="nil"/>
              <w:bottom w:val="single" w:sz="4" w:space="0" w:color="auto"/>
              <w:right w:val="single" w:sz="4" w:space="0" w:color="auto"/>
            </w:tcBorders>
            <w:shd w:val="clear" w:color="auto" w:fill="C4EFCE"/>
            <w:vAlign w:val="center"/>
            <w:hideMark/>
          </w:tcPr>
          <w:p w14:paraId="1270B23C"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726ED5" w14:textId="77777777" w:rsidR="00E040FD" w:rsidRDefault="00740D64">
            <w:pPr>
              <w:pStyle w:val="P68B1DB1-Normal23"/>
              <w:spacing w:after="0"/>
              <w:jc w:val="both"/>
              <w:rPr>
                <w:rFonts w:eastAsia="Calibri" w:cs="Calibri"/>
                <w:noProof/>
              </w:rPr>
            </w:pPr>
            <w:r>
              <w:rPr>
                <w:noProof/>
              </w:rPr>
              <w:t>Antal bostäder med privat ägare som renoverats, inklusive med förbättrad energieffektivitet</w:t>
            </w:r>
          </w:p>
        </w:tc>
      </w:tr>
      <w:tr w:rsidR="00E040FD" w14:paraId="18ACBA6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04DA4C" w14:textId="77777777" w:rsidR="00E040FD" w:rsidRDefault="00740D64">
            <w:pPr>
              <w:pStyle w:val="P68B1DB1-Normal23"/>
              <w:spacing w:after="0"/>
              <w:jc w:val="center"/>
              <w:rPr>
                <w:noProof/>
              </w:rPr>
            </w:pPr>
            <w:r>
              <w:rPr>
                <w:noProof/>
              </w:rPr>
              <w:t>2.30</w:t>
            </w:r>
          </w:p>
        </w:tc>
        <w:tc>
          <w:tcPr>
            <w:tcW w:w="1760" w:type="dxa"/>
            <w:tcBorders>
              <w:top w:val="nil"/>
              <w:left w:val="nil"/>
              <w:bottom w:val="single" w:sz="4" w:space="0" w:color="auto"/>
              <w:right w:val="single" w:sz="4" w:space="0" w:color="auto"/>
            </w:tcBorders>
            <w:shd w:val="clear" w:color="auto" w:fill="C4EFCE"/>
            <w:vAlign w:val="center"/>
            <w:hideMark/>
          </w:tcPr>
          <w:p w14:paraId="373778E4" w14:textId="77777777" w:rsidR="00E040FD" w:rsidRDefault="00740D64">
            <w:pPr>
              <w:pStyle w:val="P68B1DB1-Normal23"/>
              <w:spacing w:after="0"/>
              <w:jc w:val="center"/>
              <w:rPr>
                <w:noProof/>
              </w:rPr>
            </w:pPr>
            <w:r>
              <w:rPr>
                <w:noProof/>
              </w:rPr>
              <w:t>RE-C02-i07-RAA</w:t>
            </w:r>
          </w:p>
        </w:tc>
        <w:tc>
          <w:tcPr>
            <w:tcW w:w="1520" w:type="dxa"/>
            <w:tcBorders>
              <w:top w:val="nil"/>
              <w:left w:val="nil"/>
              <w:bottom w:val="single" w:sz="4" w:space="0" w:color="auto"/>
              <w:right w:val="single" w:sz="4" w:space="0" w:color="auto"/>
            </w:tcBorders>
            <w:shd w:val="clear" w:color="auto" w:fill="C4EFCE"/>
            <w:vAlign w:val="center"/>
            <w:hideMark/>
          </w:tcPr>
          <w:p w14:paraId="66259027"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A181364" w14:textId="77777777" w:rsidR="00E040FD" w:rsidRDefault="00740D64">
            <w:pPr>
              <w:pStyle w:val="P68B1DB1-Normal23"/>
              <w:spacing w:after="0"/>
              <w:jc w:val="both"/>
              <w:rPr>
                <w:rFonts w:eastAsia="Calibri" w:cs="Calibri"/>
                <w:noProof/>
              </w:rPr>
            </w:pPr>
            <w:r>
              <w:rPr>
                <w:noProof/>
              </w:rPr>
              <w:t>Infrastruktur för skiften</w:t>
            </w:r>
          </w:p>
        </w:tc>
      </w:tr>
      <w:tr w:rsidR="00E040FD" w14:paraId="17A4FE4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5779114" w14:textId="77777777" w:rsidR="00E040FD" w:rsidRDefault="00740D64">
            <w:pPr>
              <w:pStyle w:val="P68B1DB1-Normal23"/>
              <w:spacing w:after="0"/>
              <w:jc w:val="center"/>
              <w:rPr>
                <w:noProof/>
              </w:rPr>
            </w:pPr>
            <w:r>
              <w:rPr>
                <w:noProof/>
              </w:rPr>
              <w:t>3.1</w:t>
            </w:r>
          </w:p>
        </w:tc>
        <w:tc>
          <w:tcPr>
            <w:tcW w:w="1760" w:type="dxa"/>
            <w:tcBorders>
              <w:top w:val="nil"/>
              <w:left w:val="nil"/>
              <w:bottom w:val="single" w:sz="4" w:space="0" w:color="auto"/>
              <w:right w:val="single" w:sz="4" w:space="0" w:color="auto"/>
            </w:tcBorders>
            <w:shd w:val="clear" w:color="auto" w:fill="C4EFCE"/>
            <w:vAlign w:val="center"/>
            <w:hideMark/>
          </w:tcPr>
          <w:p w14:paraId="470584AE" w14:textId="77777777" w:rsidR="00E040FD" w:rsidRDefault="00740D64">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39BFEDF0"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317EB27" w14:textId="77777777" w:rsidR="00E040FD" w:rsidRDefault="00740D64">
            <w:pPr>
              <w:pStyle w:val="P68B1DB1-Normal23"/>
              <w:spacing w:after="0"/>
              <w:jc w:val="both"/>
              <w:rPr>
                <w:rFonts w:eastAsia="Calibri" w:cs="Calibri"/>
                <w:noProof/>
              </w:rPr>
            </w:pPr>
            <w:r>
              <w:rPr>
                <w:noProof/>
              </w:rPr>
              <w:t>Leverans av elfordon</w:t>
            </w:r>
          </w:p>
        </w:tc>
      </w:tr>
      <w:tr w:rsidR="00E040FD" w14:paraId="5728D53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FBBABBB" w14:textId="77777777" w:rsidR="00E040FD" w:rsidRDefault="00740D64">
            <w:pPr>
              <w:pStyle w:val="P68B1DB1-Normal23"/>
              <w:spacing w:after="0"/>
              <w:jc w:val="center"/>
              <w:rPr>
                <w:noProof/>
              </w:rPr>
            </w:pPr>
            <w:r>
              <w:rPr>
                <w:noProof/>
              </w:rPr>
              <w:t>3.4</w:t>
            </w:r>
          </w:p>
        </w:tc>
        <w:tc>
          <w:tcPr>
            <w:tcW w:w="1760" w:type="dxa"/>
            <w:tcBorders>
              <w:top w:val="nil"/>
              <w:left w:val="nil"/>
              <w:bottom w:val="single" w:sz="4" w:space="0" w:color="auto"/>
              <w:right w:val="single" w:sz="4" w:space="0" w:color="auto"/>
            </w:tcBorders>
            <w:shd w:val="clear" w:color="auto" w:fill="C4EFCE"/>
            <w:vAlign w:val="center"/>
            <w:hideMark/>
          </w:tcPr>
          <w:p w14:paraId="4DB7F8C7" w14:textId="77777777" w:rsidR="00E040FD" w:rsidRDefault="00740D64">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25CFCDF3"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01CAD15" w14:textId="77777777" w:rsidR="00E040FD" w:rsidRDefault="00740D64">
            <w:pPr>
              <w:pStyle w:val="P68B1DB1-Normal23"/>
              <w:spacing w:after="0"/>
              <w:jc w:val="both"/>
              <w:rPr>
                <w:rFonts w:eastAsia="Calibri" w:cs="Calibri"/>
                <w:noProof/>
              </w:rPr>
            </w:pPr>
            <w:r>
              <w:rPr>
                <w:noProof/>
              </w:rPr>
              <w:t>Skapande av nya platser och renovering av befintliga platser i sociala inrättningar</w:t>
            </w:r>
          </w:p>
        </w:tc>
      </w:tr>
      <w:tr w:rsidR="00E040FD" w14:paraId="7D873F1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89AAD3" w14:textId="77777777" w:rsidR="00E040FD" w:rsidRDefault="00740D64">
            <w:pPr>
              <w:pStyle w:val="P68B1DB1-Normal23"/>
              <w:spacing w:after="0"/>
              <w:jc w:val="center"/>
              <w:rPr>
                <w:noProof/>
              </w:rPr>
            </w:pPr>
            <w:r>
              <w:rPr>
                <w:noProof/>
              </w:rPr>
              <w:t>3.5</w:t>
            </w:r>
          </w:p>
        </w:tc>
        <w:tc>
          <w:tcPr>
            <w:tcW w:w="1760" w:type="dxa"/>
            <w:tcBorders>
              <w:top w:val="nil"/>
              <w:left w:val="nil"/>
              <w:bottom w:val="single" w:sz="4" w:space="0" w:color="auto"/>
              <w:right w:val="single" w:sz="4" w:space="0" w:color="auto"/>
            </w:tcBorders>
            <w:shd w:val="clear" w:color="auto" w:fill="C4EFCE"/>
            <w:vAlign w:val="center"/>
            <w:hideMark/>
          </w:tcPr>
          <w:p w14:paraId="406B51CB" w14:textId="77777777" w:rsidR="00E040FD" w:rsidRDefault="00740D64">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702DBD39"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C123CD" w14:textId="77777777" w:rsidR="00E040FD" w:rsidRDefault="00740D64">
            <w:pPr>
              <w:pStyle w:val="P68B1DB1-Normal23"/>
              <w:spacing w:after="0"/>
              <w:jc w:val="both"/>
              <w:rPr>
                <w:rFonts w:eastAsia="Calibri" w:cs="Calibri"/>
                <w:noProof/>
              </w:rPr>
            </w:pPr>
            <w:r>
              <w:rPr>
                <w:noProof/>
              </w:rPr>
              <w:t>Hemstödsanvändare och personal som får tillgång till surfplattor och annan it- och kommunikationsutrustning, teknisk stödutrustning eller utbildning.</w:t>
            </w:r>
          </w:p>
        </w:tc>
      </w:tr>
      <w:tr w:rsidR="00E040FD" w14:paraId="221C68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8D6553" w14:textId="77777777" w:rsidR="00E040FD" w:rsidRDefault="00740D64">
            <w:pPr>
              <w:pStyle w:val="P68B1DB1-Normal23"/>
              <w:spacing w:after="0"/>
              <w:jc w:val="center"/>
              <w:rPr>
                <w:noProof/>
              </w:rPr>
            </w:pPr>
            <w:r>
              <w:rPr>
                <w:noProof/>
              </w:rPr>
              <w:t>3.13</w:t>
            </w:r>
          </w:p>
        </w:tc>
        <w:tc>
          <w:tcPr>
            <w:tcW w:w="1760" w:type="dxa"/>
            <w:tcBorders>
              <w:top w:val="nil"/>
              <w:left w:val="nil"/>
              <w:bottom w:val="single" w:sz="4" w:space="0" w:color="auto"/>
              <w:right w:val="single" w:sz="4" w:space="0" w:color="auto"/>
            </w:tcBorders>
            <w:shd w:val="clear" w:color="auto" w:fill="C4EFCE"/>
            <w:vAlign w:val="center"/>
            <w:hideMark/>
          </w:tcPr>
          <w:p w14:paraId="7374EBB4" w14:textId="77777777" w:rsidR="00E040FD" w:rsidRDefault="00740D64">
            <w:pPr>
              <w:pStyle w:val="P68B1DB1-Normal23"/>
              <w:spacing w:after="0"/>
              <w:jc w:val="center"/>
              <w:rPr>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7834E53"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60C2C2" w14:textId="77777777" w:rsidR="00E040FD" w:rsidRDefault="00740D64">
            <w:pPr>
              <w:pStyle w:val="P68B1DB1-Normal23"/>
              <w:spacing w:after="0"/>
              <w:jc w:val="both"/>
              <w:rPr>
                <w:rFonts w:eastAsia="Calibri" w:cs="Calibri"/>
                <w:noProof/>
              </w:rPr>
            </w:pPr>
            <w:r>
              <w:rPr>
                <w:noProof/>
              </w:rPr>
              <w:t>Nya platser för personer med funktionsnedsättning på vårdcentraler som stöder personer med funktionsnedsättning</w:t>
            </w:r>
          </w:p>
        </w:tc>
      </w:tr>
      <w:tr w:rsidR="00E040FD" w14:paraId="4ED34F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F29E92" w14:textId="77777777" w:rsidR="00E040FD" w:rsidRDefault="00740D64">
            <w:pPr>
              <w:pStyle w:val="P68B1DB1-Normal23"/>
              <w:spacing w:after="0"/>
              <w:jc w:val="center"/>
              <w:rPr>
                <w:noProof/>
              </w:rPr>
            </w:pPr>
            <w:r>
              <w:rPr>
                <w:noProof/>
              </w:rPr>
              <w:t>3.28</w:t>
            </w:r>
          </w:p>
        </w:tc>
        <w:tc>
          <w:tcPr>
            <w:tcW w:w="1760" w:type="dxa"/>
            <w:tcBorders>
              <w:top w:val="nil"/>
              <w:left w:val="nil"/>
              <w:bottom w:val="single" w:sz="4" w:space="0" w:color="auto"/>
              <w:right w:val="single" w:sz="4" w:space="0" w:color="auto"/>
            </w:tcBorders>
            <w:shd w:val="clear" w:color="auto" w:fill="C4EFCE"/>
            <w:vAlign w:val="center"/>
            <w:hideMark/>
          </w:tcPr>
          <w:p w14:paraId="14BA29A6" w14:textId="77777777" w:rsidR="00E040FD" w:rsidRDefault="00740D64">
            <w:pPr>
              <w:pStyle w:val="P68B1DB1-Normal23"/>
              <w:spacing w:after="0"/>
              <w:jc w:val="center"/>
              <w:rPr>
                <w:noProof/>
              </w:rPr>
            </w:pPr>
            <w:r>
              <w:rPr>
                <w:noProof/>
              </w:rPr>
              <w:t>RE-C03-i07-RAA</w:t>
            </w:r>
          </w:p>
        </w:tc>
        <w:tc>
          <w:tcPr>
            <w:tcW w:w="1520" w:type="dxa"/>
            <w:tcBorders>
              <w:top w:val="nil"/>
              <w:left w:val="nil"/>
              <w:bottom w:val="single" w:sz="4" w:space="0" w:color="auto"/>
              <w:right w:val="single" w:sz="4" w:space="0" w:color="auto"/>
            </w:tcBorders>
            <w:shd w:val="clear" w:color="auto" w:fill="C4EFCE"/>
            <w:vAlign w:val="center"/>
            <w:hideMark/>
          </w:tcPr>
          <w:p w14:paraId="44DC7A47" w14:textId="77777777" w:rsidR="00E040FD" w:rsidRDefault="00740D6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4BDFBE" w14:textId="77777777" w:rsidR="00E040FD" w:rsidRDefault="00740D64">
            <w:pPr>
              <w:pStyle w:val="P68B1DB1-Normal23"/>
              <w:spacing w:after="0"/>
              <w:jc w:val="both"/>
              <w:rPr>
                <w:rFonts w:eastAsia="Calibri" w:cs="Calibri"/>
                <w:noProof/>
              </w:rPr>
            </w:pPr>
            <w:r>
              <w:rPr>
                <w:noProof/>
              </w:rPr>
              <w:t>Utbyggda eller renoverade platser på äldreboenden</w:t>
            </w:r>
          </w:p>
        </w:tc>
      </w:tr>
      <w:tr w:rsidR="00E040FD" w14:paraId="528550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A61B90" w14:textId="77777777" w:rsidR="00E040FD" w:rsidRDefault="00740D64">
            <w:pPr>
              <w:pStyle w:val="P68B1DB1-Normal23"/>
              <w:spacing w:after="0"/>
              <w:jc w:val="center"/>
              <w:rPr>
                <w:noProof/>
              </w:rPr>
            </w:pPr>
            <w:r>
              <w:rPr>
                <w:noProof/>
              </w:rPr>
              <w:t>3.30</w:t>
            </w:r>
          </w:p>
        </w:tc>
        <w:tc>
          <w:tcPr>
            <w:tcW w:w="1760" w:type="dxa"/>
            <w:tcBorders>
              <w:top w:val="nil"/>
              <w:left w:val="nil"/>
              <w:bottom w:val="single" w:sz="4" w:space="0" w:color="auto"/>
              <w:right w:val="single" w:sz="4" w:space="0" w:color="auto"/>
            </w:tcBorders>
            <w:shd w:val="clear" w:color="auto" w:fill="C4EFCE"/>
            <w:vAlign w:val="center"/>
            <w:hideMark/>
          </w:tcPr>
          <w:p w14:paraId="4E7C355C" w14:textId="77777777" w:rsidR="00E040FD" w:rsidRDefault="00740D64">
            <w:pPr>
              <w:pStyle w:val="P68B1DB1-Normal23"/>
              <w:spacing w:after="0"/>
              <w:jc w:val="center"/>
              <w:rPr>
                <w:noProof/>
              </w:rPr>
            </w:pPr>
            <w:r>
              <w:rPr>
                <w:noProof/>
              </w:rPr>
              <w:t>RE-C03-r38</w:t>
            </w:r>
          </w:p>
        </w:tc>
        <w:tc>
          <w:tcPr>
            <w:tcW w:w="1520" w:type="dxa"/>
            <w:tcBorders>
              <w:top w:val="nil"/>
              <w:left w:val="nil"/>
              <w:bottom w:val="single" w:sz="4" w:space="0" w:color="auto"/>
              <w:right w:val="single" w:sz="4" w:space="0" w:color="auto"/>
            </w:tcBorders>
            <w:shd w:val="clear" w:color="auto" w:fill="C4EFCE"/>
            <w:vAlign w:val="center"/>
            <w:hideMark/>
          </w:tcPr>
          <w:p w14:paraId="0E17E04B" w14:textId="77777777" w:rsidR="00E040FD" w:rsidRDefault="00740D6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50456DE" w14:textId="77777777" w:rsidR="00E040FD" w:rsidRDefault="00740D64">
            <w:pPr>
              <w:pStyle w:val="P68B1DB1-Normal23"/>
              <w:spacing w:after="0"/>
              <w:jc w:val="both"/>
              <w:rPr>
                <w:rFonts w:eastAsia="Calibri" w:cs="Calibri"/>
                <w:noProof/>
              </w:rPr>
            </w:pPr>
            <w:r>
              <w:rPr>
                <w:noProof/>
              </w:rPr>
              <w:t>Ikraftträdande av den samlade sociala förmånen (inom ramen för det sociala trygghetssystemet för medborgarskap) och av lagen om sociala förmåner</w:t>
            </w:r>
          </w:p>
        </w:tc>
      </w:tr>
      <w:tr w:rsidR="00E040FD" w14:paraId="3397C6F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656E29" w14:textId="77777777" w:rsidR="00E040FD" w:rsidRDefault="00740D64">
            <w:pPr>
              <w:pStyle w:val="P68B1DB1-Normal23"/>
              <w:spacing w:after="0"/>
              <w:jc w:val="center"/>
              <w:rPr>
                <w:rFonts w:eastAsia="Calibri" w:cs="Calibri"/>
                <w:noProof/>
              </w:rPr>
            </w:pPr>
            <w:r>
              <w:rPr>
                <w:noProof/>
              </w:rPr>
              <w:t>4.4</w:t>
            </w:r>
          </w:p>
        </w:tc>
        <w:tc>
          <w:tcPr>
            <w:tcW w:w="1760" w:type="dxa"/>
            <w:tcBorders>
              <w:top w:val="nil"/>
              <w:left w:val="nil"/>
              <w:bottom w:val="single" w:sz="4" w:space="0" w:color="auto"/>
              <w:right w:val="single" w:sz="4" w:space="0" w:color="auto"/>
            </w:tcBorders>
            <w:shd w:val="clear" w:color="auto" w:fill="C4EFCE"/>
            <w:vAlign w:val="center"/>
            <w:hideMark/>
          </w:tcPr>
          <w:p w14:paraId="514007D7" w14:textId="77777777" w:rsidR="00E040FD" w:rsidRDefault="00740D6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2079A0FE"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521FA99" w14:textId="77777777" w:rsidR="00E040FD" w:rsidRDefault="00740D64">
            <w:pPr>
              <w:pStyle w:val="P68B1DB1-Normal23"/>
              <w:spacing w:after="0"/>
              <w:jc w:val="both"/>
              <w:rPr>
                <w:rFonts w:eastAsia="Calibri" w:cs="Calibri"/>
                <w:noProof/>
              </w:rPr>
            </w:pPr>
            <w:r>
              <w:rPr>
                <w:noProof/>
              </w:rPr>
              <w:t>Tillhandahållande av moderniserad teknisk infrastruktur för nätverket av kulturanläggningar</w:t>
            </w:r>
          </w:p>
        </w:tc>
      </w:tr>
      <w:tr w:rsidR="00E040FD" w14:paraId="22480C7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B94759" w14:textId="77777777" w:rsidR="00E040FD" w:rsidRDefault="00740D64">
            <w:pPr>
              <w:pStyle w:val="P68B1DB1-Normal23"/>
              <w:spacing w:after="0"/>
              <w:jc w:val="center"/>
              <w:rPr>
                <w:rFonts w:eastAsia="Calibri" w:cs="Calibri"/>
                <w:noProof/>
              </w:rPr>
            </w:pPr>
            <w:r>
              <w:rPr>
                <w:noProof/>
              </w:rPr>
              <w:t>4.8</w:t>
            </w:r>
          </w:p>
        </w:tc>
        <w:tc>
          <w:tcPr>
            <w:tcW w:w="1760" w:type="dxa"/>
            <w:tcBorders>
              <w:top w:val="nil"/>
              <w:left w:val="nil"/>
              <w:bottom w:val="single" w:sz="4" w:space="0" w:color="auto"/>
              <w:right w:val="single" w:sz="4" w:space="0" w:color="auto"/>
            </w:tcBorders>
            <w:shd w:val="clear" w:color="auto" w:fill="C4EFCE"/>
            <w:vAlign w:val="center"/>
            <w:hideMark/>
          </w:tcPr>
          <w:p w14:paraId="3EF31C11" w14:textId="77777777" w:rsidR="00E040FD" w:rsidRDefault="00740D64">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0F887FE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29ED46D" w14:textId="77777777" w:rsidR="00E040FD" w:rsidRDefault="00740D64">
            <w:pPr>
              <w:pStyle w:val="P68B1DB1-Normal23"/>
              <w:spacing w:after="0"/>
              <w:jc w:val="both"/>
              <w:rPr>
                <w:rFonts w:eastAsia="Calibri" w:cs="Calibri"/>
                <w:noProof/>
              </w:rPr>
            </w:pPr>
            <w:r>
              <w:rPr>
                <w:noProof/>
              </w:rPr>
              <w:t>Slutförda arbeten för rehabilitering och bevarande av kulturarvsbyggnader och nationella teatrar</w:t>
            </w:r>
          </w:p>
        </w:tc>
      </w:tr>
      <w:tr w:rsidR="00E040FD" w14:paraId="6AE61A9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13649D" w14:textId="77777777" w:rsidR="00E040FD" w:rsidRDefault="00740D64">
            <w:pPr>
              <w:pStyle w:val="P68B1DB1-Normal23"/>
              <w:spacing w:after="0"/>
              <w:jc w:val="center"/>
              <w:rPr>
                <w:rFonts w:eastAsia="Calibri" w:cs="Calibri"/>
                <w:noProof/>
              </w:rPr>
            </w:pPr>
            <w:r>
              <w:rPr>
                <w:noProof/>
              </w:rPr>
              <w:t>4.10</w:t>
            </w:r>
          </w:p>
        </w:tc>
        <w:tc>
          <w:tcPr>
            <w:tcW w:w="1760" w:type="dxa"/>
            <w:tcBorders>
              <w:top w:val="nil"/>
              <w:left w:val="nil"/>
              <w:bottom w:val="single" w:sz="4" w:space="0" w:color="auto"/>
              <w:right w:val="single" w:sz="4" w:space="0" w:color="auto"/>
            </w:tcBorders>
            <w:shd w:val="clear" w:color="auto" w:fill="C4EFCE"/>
            <w:vAlign w:val="center"/>
            <w:hideMark/>
          </w:tcPr>
          <w:p w14:paraId="20079FAC" w14:textId="77777777" w:rsidR="00E040FD" w:rsidRDefault="00740D6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5F854BA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B3E1B2" w14:textId="77777777" w:rsidR="00E040FD" w:rsidRDefault="00740D64">
            <w:pPr>
              <w:pStyle w:val="P68B1DB1-Normal23"/>
              <w:spacing w:after="0"/>
              <w:jc w:val="both"/>
              <w:rPr>
                <w:rFonts w:eastAsia="Calibri" w:cs="Calibri"/>
                <w:noProof/>
              </w:rPr>
            </w:pPr>
            <w:r>
              <w:rPr>
                <w:noProof/>
              </w:rPr>
              <w:t>Leverans av utrustning för installation av det nationella ljudarkivet och för teknisk modernisering av offentliga laboratorier</w:t>
            </w:r>
          </w:p>
        </w:tc>
      </w:tr>
      <w:tr w:rsidR="00E040FD" w14:paraId="26B43C5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8970426" w14:textId="77777777" w:rsidR="00E040FD" w:rsidRDefault="00740D64">
            <w:pPr>
              <w:pStyle w:val="P68B1DB1-Normal23"/>
              <w:spacing w:after="0"/>
              <w:jc w:val="center"/>
              <w:rPr>
                <w:rFonts w:eastAsia="Calibri" w:cs="Calibri"/>
                <w:noProof/>
              </w:rPr>
            </w:pPr>
            <w:r>
              <w:rPr>
                <w:noProof/>
              </w:rPr>
              <w:t>4.12</w:t>
            </w:r>
          </w:p>
        </w:tc>
        <w:tc>
          <w:tcPr>
            <w:tcW w:w="1760" w:type="dxa"/>
            <w:tcBorders>
              <w:top w:val="nil"/>
              <w:left w:val="nil"/>
              <w:bottom w:val="single" w:sz="4" w:space="0" w:color="auto"/>
              <w:right w:val="single" w:sz="4" w:space="0" w:color="auto"/>
            </w:tcBorders>
            <w:shd w:val="clear" w:color="auto" w:fill="C4EFCE"/>
            <w:vAlign w:val="center"/>
            <w:hideMark/>
          </w:tcPr>
          <w:p w14:paraId="7486F1DB" w14:textId="77777777" w:rsidR="00E040FD" w:rsidRDefault="00740D64">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77F94668"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10EFAB2" w14:textId="77777777" w:rsidR="00E040FD" w:rsidRDefault="00740D64">
            <w:pPr>
              <w:pStyle w:val="P68B1DB1-Normal23"/>
              <w:spacing w:after="0"/>
              <w:jc w:val="both"/>
              <w:rPr>
                <w:rFonts w:eastAsia="Calibri" w:cs="Calibri"/>
                <w:noProof/>
              </w:rPr>
            </w:pPr>
            <w:r>
              <w:rPr>
                <w:noProof/>
              </w:rPr>
              <w:t>Färdigställande av det nationella ljudarkivet</w:t>
            </w:r>
          </w:p>
        </w:tc>
      </w:tr>
      <w:tr w:rsidR="00E040FD" w14:paraId="2415A55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B7B4F29" w14:textId="77777777" w:rsidR="00E040FD" w:rsidRDefault="00740D64">
            <w:pPr>
              <w:pStyle w:val="P68B1DB1-Normal23"/>
              <w:spacing w:after="0"/>
              <w:jc w:val="center"/>
              <w:rPr>
                <w:rFonts w:eastAsia="Calibri" w:cs="Calibri"/>
                <w:noProof/>
              </w:rPr>
            </w:pPr>
            <w:r>
              <w:rPr>
                <w:noProof/>
              </w:rPr>
              <w:t>5.36</w:t>
            </w:r>
          </w:p>
        </w:tc>
        <w:tc>
          <w:tcPr>
            <w:tcW w:w="1760" w:type="dxa"/>
            <w:tcBorders>
              <w:top w:val="nil"/>
              <w:left w:val="nil"/>
              <w:bottom w:val="single" w:sz="4" w:space="0" w:color="auto"/>
              <w:right w:val="single" w:sz="4" w:space="0" w:color="auto"/>
            </w:tcBorders>
            <w:shd w:val="clear" w:color="auto" w:fill="C4EFCE"/>
            <w:vAlign w:val="center"/>
            <w:hideMark/>
          </w:tcPr>
          <w:p w14:paraId="7498C044" w14:textId="77777777" w:rsidR="00E040FD" w:rsidRDefault="00740D64">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2314F1F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930437" w14:textId="77777777" w:rsidR="00E040FD" w:rsidRDefault="00740D64">
            <w:pPr>
              <w:pStyle w:val="P68B1DB1-Normal23"/>
              <w:spacing w:after="0"/>
              <w:jc w:val="both"/>
              <w:rPr>
                <w:rFonts w:eastAsia="Calibri" w:cs="Calibri"/>
                <w:noProof/>
              </w:rPr>
            </w:pPr>
            <w:r>
              <w:rPr>
                <w:noProof/>
              </w:rPr>
              <w:t>Slutförande av projekt inom FoU-programmet inom offentlig förvaltning och nya kurser på den nationella plattformen för onlinekurser (NAU)</w:t>
            </w:r>
          </w:p>
        </w:tc>
      </w:tr>
      <w:tr w:rsidR="00E040FD" w14:paraId="3F7C914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D75FCDC" w14:textId="77777777" w:rsidR="00E040FD" w:rsidRDefault="00740D64">
            <w:pPr>
              <w:pStyle w:val="P68B1DB1-Normal23"/>
              <w:spacing w:after="0"/>
              <w:jc w:val="center"/>
              <w:rPr>
                <w:rFonts w:eastAsia="Calibri" w:cs="Calibri"/>
                <w:noProof/>
              </w:rPr>
            </w:pPr>
            <w:r>
              <w:rPr>
                <w:noProof/>
              </w:rPr>
              <w:t>5.38</w:t>
            </w:r>
          </w:p>
        </w:tc>
        <w:tc>
          <w:tcPr>
            <w:tcW w:w="1760" w:type="dxa"/>
            <w:tcBorders>
              <w:top w:val="nil"/>
              <w:left w:val="nil"/>
              <w:bottom w:val="single" w:sz="4" w:space="0" w:color="auto"/>
              <w:right w:val="single" w:sz="4" w:space="0" w:color="auto"/>
            </w:tcBorders>
            <w:shd w:val="clear" w:color="auto" w:fill="C4EFCE"/>
            <w:vAlign w:val="center"/>
            <w:hideMark/>
          </w:tcPr>
          <w:p w14:paraId="62726B79" w14:textId="77777777" w:rsidR="00E040FD" w:rsidRDefault="00740D64">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5A91DBFE"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B193B7" w14:textId="18BBE676" w:rsidR="00E040FD" w:rsidRDefault="00740D64">
            <w:pPr>
              <w:pStyle w:val="P68B1DB1-Normal23"/>
              <w:spacing w:after="0"/>
              <w:jc w:val="both"/>
              <w:rPr>
                <w:rFonts w:eastAsia="Calibri" w:cs="Calibri"/>
                <w:noProof/>
              </w:rPr>
            </w:pPr>
            <w:r>
              <w:rPr>
                <w:noProof/>
              </w:rPr>
              <w:t>Slutförande av stödinfrastruktur och datacentrum för det nationella avancerade datacentrumet</w:t>
            </w:r>
          </w:p>
        </w:tc>
      </w:tr>
      <w:tr w:rsidR="00E040FD" w14:paraId="0D66E2E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8DEE4D5" w14:textId="77777777" w:rsidR="00E040FD" w:rsidRDefault="00740D64">
            <w:pPr>
              <w:pStyle w:val="P68B1DB1-Normal23"/>
              <w:spacing w:after="0"/>
              <w:jc w:val="center"/>
              <w:rPr>
                <w:rFonts w:eastAsia="Calibri" w:cs="Calibri"/>
                <w:noProof/>
              </w:rPr>
            </w:pPr>
            <w:r>
              <w:rPr>
                <w:noProof/>
              </w:rPr>
              <w:t>6.19</w:t>
            </w:r>
          </w:p>
        </w:tc>
        <w:tc>
          <w:tcPr>
            <w:tcW w:w="1760" w:type="dxa"/>
            <w:tcBorders>
              <w:top w:val="nil"/>
              <w:left w:val="nil"/>
              <w:bottom w:val="single" w:sz="4" w:space="0" w:color="auto"/>
              <w:right w:val="single" w:sz="4" w:space="0" w:color="auto"/>
            </w:tcBorders>
            <w:shd w:val="clear" w:color="auto" w:fill="C4EFCE"/>
            <w:vAlign w:val="center"/>
            <w:hideMark/>
          </w:tcPr>
          <w:p w14:paraId="09FD7927" w14:textId="77777777" w:rsidR="00E040FD" w:rsidRDefault="00740D64">
            <w:pPr>
              <w:pStyle w:val="P68B1DB1-Normal23"/>
              <w:spacing w:after="0"/>
              <w:jc w:val="center"/>
              <w:rPr>
                <w:rFonts w:eastAsia="Calibri" w:cs="Calibri"/>
                <w:noProof/>
              </w:rPr>
            </w:pPr>
            <w:r>
              <w:rPr>
                <w:noProof/>
              </w:rPr>
              <w:t>RE-C06-i06</w:t>
            </w:r>
          </w:p>
        </w:tc>
        <w:tc>
          <w:tcPr>
            <w:tcW w:w="1520" w:type="dxa"/>
            <w:tcBorders>
              <w:top w:val="nil"/>
              <w:left w:val="nil"/>
              <w:bottom w:val="single" w:sz="4" w:space="0" w:color="auto"/>
              <w:right w:val="single" w:sz="4" w:space="0" w:color="auto"/>
            </w:tcBorders>
            <w:shd w:val="clear" w:color="auto" w:fill="C4EFCE"/>
            <w:vAlign w:val="center"/>
            <w:hideMark/>
          </w:tcPr>
          <w:p w14:paraId="5C1D825E"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31F28A3" w14:textId="77777777" w:rsidR="00E040FD" w:rsidRDefault="00740D64">
            <w:pPr>
              <w:pStyle w:val="P68B1DB1-Normal23"/>
              <w:spacing w:after="0"/>
              <w:jc w:val="both"/>
              <w:rPr>
                <w:rFonts w:eastAsia="Calibri" w:cs="Calibri"/>
                <w:noProof/>
              </w:rPr>
            </w:pPr>
            <w:r>
              <w:rPr>
                <w:noProof/>
              </w:rPr>
              <w:t>Stöd till fasta kontrakt med doktorander inom ramen för FCT-Tenure och stöd till forskare inom ramen för EFR Portugal</w:t>
            </w:r>
          </w:p>
        </w:tc>
      </w:tr>
      <w:tr w:rsidR="00E040FD" w14:paraId="00F72F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1BDB7D" w14:textId="77777777" w:rsidR="00E040FD" w:rsidRDefault="00740D64">
            <w:pPr>
              <w:pStyle w:val="P68B1DB1-Normal23"/>
              <w:spacing w:after="0"/>
              <w:jc w:val="center"/>
              <w:rPr>
                <w:rFonts w:eastAsia="Calibri" w:cs="Calibri"/>
                <w:noProof/>
              </w:rPr>
            </w:pPr>
            <w:r>
              <w:rPr>
                <w:noProof/>
              </w:rPr>
              <w:t>6.20</w:t>
            </w:r>
          </w:p>
        </w:tc>
        <w:tc>
          <w:tcPr>
            <w:tcW w:w="1760" w:type="dxa"/>
            <w:tcBorders>
              <w:top w:val="nil"/>
              <w:left w:val="nil"/>
              <w:bottom w:val="single" w:sz="4" w:space="0" w:color="auto"/>
              <w:right w:val="single" w:sz="4" w:space="0" w:color="auto"/>
            </w:tcBorders>
            <w:shd w:val="clear" w:color="auto" w:fill="C4EFCE"/>
            <w:vAlign w:val="center"/>
            <w:hideMark/>
          </w:tcPr>
          <w:p w14:paraId="2AC011E5" w14:textId="77777777" w:rsidR="00E040FD" w:rsidRDefault="00740D64">
            <w:pPr>
              <w:pStyle w:val="P68B1DB1-Normal23"/>
              <w:spacing w:after="0"/>
              <w:jc w:val="center"/>
              <w:rPr>
                <w:rFonts w:eastAsia="Calibri" w:cs="Calibri"/>
                <w:noProof/>
              </w:rPr>
            </w:pPr>
            <w:r>
              <w:rPr>
                <w:noProof/>
              </w:rPr>
              <w:t>RE-C06-i06</w:t>
            </w:r>
          </w:p>
        </w:tc>
        <w:tc>
          <w:tcPr>
            <w:tcW w:w="1520" w:type="dxa"/>
            <w:tcBorders>
              <w:top w:val="nil"/>
              <w:left w:val="nil"/>
              <w:bottom w:val="single" w:sz="4" w:space="0" w:color="auto"/>
              <w:right w:val="single" w:sz="4" w:space="0" w:color="auto"/>
            </w:tcBorders>
            <w:shd w:val="clear" w:color="auto" w:fill="C4EFCE"/>
            <w:vAlign w:val="center"/>
            <w:hideMark/>
          </w:tcPr>
          <w:p w14:paraId="257B3C9C"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3D0EBEA" w14:textId="77777777" w:rsidR="00E040FD" w:rsidRDefault="00740D64">
            <w:pPr>
              <w:pStyle w:val="P68B1DB1-Normal23"/>
              <w:spacing w:after="0"/>
              <w:jc w:val="both"/>
              <w:rPr>
                <w:rFonts w:eastAsia="Calibri" w:cs="Calibri"/>
                <w:noProof/>
              </w:rPr>
            </w:pPr>
            <w:r>
              <w:rPr>
                <w:noProof/>
              </w:rPr>
              <w:t>Internationella partnerskap inom vetenskap, teknik och innovation: Stöd till internationella partnerskap, Stöd till forsknings- och innovationsprojekt. Stöd till internationell rörlighet</w:t>
            </w:r>
          </w:p>
        </w:tc>
      </w:tr>
      <w:tr w:rsidR="00E040FD" w14:paraId="1808226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D9898C" w14:textId="77777777" w:rsidR="00E040FD" w:rsidRDefault="00740D64">
            <w:pPr>
              <w:pStyle w:val="P68B1DB1-Normal23"/>
              <w:spacing w:after="0"/>
              <w:jc w:val="center"/>
              <w:rPr>
                <w:rFonts w:eastAsia="Calibri" w:cs="Calibri"/>
                <w:noProof/>
              </w:rPr>
            </w:pPr>
            <w:r>
              <w:rPr>
                <w:noProof/>
              </w:rPr>
              <w:t>6.21</w:t>
            </w:r>
          </w:p>
        </w:tc>
        <w:tc>
          <w:tcPr>
            <w:tcW w:w="1760" w:type="dxa"/>
            <w:tcBorders>
              <w:top w:val="nil"/>
              <w:left w:val="nil"/>
              <w:bottom w:val="single" w:sz="4" w:space="0" w:color="auto"/>
              <w:right w:val="single" w:sz="4" w:space="0" w:color="auto"/>
            </w:tcBorders>
            <w:shd w:val="clear" w:color="auto" w:fill="C4EFCE"/>
            <w:vAlign w:val="center"/>
            <w:hideMark/>
          </w:tcPr>
          <w:p w14:paraId="257E7C2E" w14:textId="77777777" w:rsidR="00E040FD" w:rsidRDefault="00740D64">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006EB829"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29BA4A5" w14:textId="2E25EB52" w:rsidR="00E040FD" w:rsidRDefault="00740D64">
            <w:pPr>
              <w:pStyle w:val="P68B1DB1-Normal23"/>
              <w:spacing w:after="0"/>
              <w:jc w:val="both"/>
              <w:rPr>
                <w:rFonts w:eastAsia="Calibri" w:cs="Calibri"/>
                <w:noProof/>
              </w:rPr>
            </w:pPr>
            <w:r>
              <w:rPr>
                <w:noProof/>
              </w:rPr>
              <w:t>Teknisk och digital modernisering av jordbruksvetenskaper: Läroplansreform av jordbruksvetenskap, öppnande av jordbruksskolor för högstadie- och gymnasieelever och omskolning av yrkesverksamma</w:t>
            </w:r>
          </w:p>
        </w:tc>
      </w:tr>
      <w:tr w:rsidR="00E040FD" w14:paraId="2CF11C7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B1D7A14" w14:textId="77777777" w:rsidR="00E040FD" w:rsidRDefault="00740D64">
            <w:pPr>
              <w:pStyle w:val="P68B1DB1-Normal23"/>
              <w:spacing w:after="0"/>
              <w:jc w:val="center"/>
              <w:rPr>
                <w:rFonts w:eastAsia="Calibri" w:cs="Calibri"/>
                <w:noProof/>
              </w:rPr>
            </w:pPr>
            <w:r>
              <w:rPr>
                <w:noProof/>
              </w:rPr>
              <w:t>6.22</w:t>
            </w:r>
          </w:p>
        </w:tc>
        <w:tc>
          <w:tcPr>
            <w:tcW w:w="1760" w:type="dxa"/>
            <w:tcBorders>
              <w:top w:val="nil"/>
              <w:left w:val="nil"/>
              <w:bottom w:val="single" w:sz="4" w:space="0" w:color="auto"/>
              <w:right w:val="single" w:sz="4" w:space="0" w:color="auto"/>
            </w:tcBorders>
            <w:shd w:val="clear" w:color="auto" w:fill="C4EFCE"/>
            <w:vAlign w:val="center"/>
            <w:hideMark/>
          </w:tcPr>
          <w:p w14:paraId="04E119E0" w14:textId="77777777" w:rsidR="00E040FD" w:rsidRDefault="00740D64">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4AAA5A3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4543139" w14:textId="77777777" w:rsidR="00E040FD" w:rsidRDefault="00740D64">
            <w:pPr>
              <w:pStyle w:val="P68B1DB1-Normal23"/>
              <w:spacing w:after="0"/>
              <w:jc w:val="both"/>
              <w:rPr>
                <w:rFonts w:eastAsia="Calibri" w:cs="Calibri"/>
                <w:noProof/>
              </w:rPr>
            </w:pPr>
            <w:r>
              <w:rPr>
                <w:noProof/>
              </w:rPr>
              <w:t>Modernisering av medicinen</w:t>
            </w:r>
          </w:p>
        </w:tc>
      </w:tr>
      <w:tr w:rsidR="00E040FD" w14:paraId="59F2330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DEDDDF" w14:textId="77777777" w:rsidR="00E040FD" w:rsidRDefault="00740D64">
            <w:pPr>
              <w:pStyle w:val="P68B1DB1-Normal23"/>
              <w:spacing w:after="0"/>
              <w:jc w:val="center"/>
              <w:rPr>
                <w:rFonts w:eastAsia="Calibri" w:cs="Calibri"/>
                <w:noProof/>
              </w:rPr>
            </w:pPr>
            <w:r>
              <w:rPr>
                <w:noProof/>
              </w:rPr>
              <w:t>6.23</w:t>
            </w:r>
          </w:p>
        </w:tc>
        <w:tc>
          <w:tcPr>
            <w:tcW w:w="1760" w:type="dxa"/>
            <w:tcBorders>
              <w:top w:val="nil"/>
              <w:left w:val="nil"/>
              <w:bottom w:val="single" w:sz="4" w:space="0" w:color="auto"/>
              <w:right w:val="single" w:sz="4" w:space="0" w:color="auto"/>
            </w:tcBorders>
            <w:shd w:val="clear" w:color="auto" w:fill="C4EFCE"/>
            <w:vAlign w:val="center"/>
            <w:hideMark/>
          </w:tcPr>
          <w:p w14:paraId="58F29485" w14:textId="77777777" w:rsidR="00E040FD" w:rsidRDefault="00740D64">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6D388A5B"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20AF4F" w14:textId="77777777" w:rsidR="00E040FD" w:rsidRDefault="00740D64">
            <w:pPr>
              <w:pStyle w:val="P68B1DB1-Normal23"/>
              <w:spacing w:after="0"/>
              <w:jc w:val="both"/>
              <w:rPr>
                <w:rFonts w:eastAsia="Calibri" w:cs="Calibri"/>
                <w:noProof/>
              </w:rPr>
            </w:pPr>
            <w:r>
              <w:rPr>
                <w:noProof/>
              </w:rPr>
              <w:t>Stärka de digitala färdigheterna</w:t>
            </w:r>
          </w:p>
        </w:tc>
      </w:tr>
      <w:tr w:rsidR="00E040FD" w14:paraId="4628545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9D7342" w14:textId="77777777" w:rsidR="00E040FD" w:rsidRDefault="00740D64">
            <w:pPr>
              <w:pStyle w:val="P68B1DB1-Normal23"/>
              <w:spacing w:after="0"/>
              <w:jc w:val="center"/>
              <w:rPr>
                <w:rFonts w:eastAsia="Calibri" w:cs="Calibri"/>
                <w:noProof/>
              </w:rPr>
            </w:pPr>
            <w:r>
              <w:rPr>
                <w:noProof/>
              </w:rPr>
              <w:t>6.25</w:t>
            </w:r>
          </w:p>
        </w:tc>
        <w:tc>
          <w:tcPr>
            <w:tcW w:w="1760" w:type="dxa"/>
            <w:tcBorders>
              <w:top w:val="nil"/>
              <w:left w:val="nil"/>
              <w:bottom w:val="single" w:sz="4" w:space="0" w:color="auto"/>
              <w:right w:val="single" w:sz="4" w:space="0" w:color="auto"/>
            </w:tcBorders>
            <w:shd w:val="clear" w:color="auto" w:fill="C4EFCE"/>
            <w:vAlign w:val="center"/>
            <w:hideMark/>
          </w:tcPr>
          <w:p w14:paraId="225B7648" w14:textId="77777777" w:rsidR="00E040FD" w:rsidRDefault="00740D64">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29D570B0"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C50E32E" w14:textId="77777777" w:rsidR="00E040FD" w:rsidRDefault="00740D64">
            <w:pPr>
              <w:pStyle w:val="P68B1DB1-Normal23"/>
              <w:spacing w:after="0"/>
              <w:jc w:val="both"/>
              <w:rPr>
                <w:rFonts w:eastAsia="Calibri" w:cs="Calibri"/>
                <w:noProof/>
              </w:rPr>
            </w:pPr>
            <w:r>
              <w:rPr>
                <w:noProof/>
              </w:rPr>
              <w:t>Innovation och pedagogisk modernisering inom den högre utbildningen</w:t>
            </w:r>
          </w:p>
        </w:tc>
      </w:tr>
      <w:tr w:rsidR="00E040FD" w14:paraId="542E2DD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4389EE5" w14:textId="77777777" w:rsidR="00E040FD" w:rsidRDefault="00740D64">
            <w:pPr>
              <w:pStyle w:val="P68B1DB1-Normal23"/>
              <w:spacing w:after="0"/>
              <w:jc w:val="center"/>
              <w:rPr>
                <w:rFonts w:eastAsia="Calibri" w:cs="Calibri"/>
                <w:noProof/>
              </w:rPr>
            </w:pPr>
            <w:r>
              <w:rPr>
                <w:noProof/>
              </w:rPr>
              <w:t>6.27</w:t>
            </w:r>
          </w:p>
        </w:tc>
        <w:tc>
          <w:tcPr>
            <w:tcW w:w="1760" w:type="dxa"/>
            <w:tcBorders>
              <w:top w:val="nil"/>
              <w:left w:val="nil"/>
              <w:bottom w:val="single" w:sz="4" w:space="0" w:color="auto"/>
              <w:right w:val="single" w:sz="4" w:space="0" w:color="auto"/>
            </w:tcBorders>
            <w:shd w:val="clear" w:color="auto" w:fill="C4EFCE"/>
            <w:vAlign w:val="center"/>
            <w:hideMark/>
          </w:tcPr>
          <w:p w14:paraId="5B347262" w14:textId="167A3DA3" w:rsidR="00E040FD" w:rsidRDefault="00740D64">
            <w:pPr>
              <w:pStyle w:val="P68B1DB1-Normal23"/>
              <w:spacing w:after="0"/>
              <w:jc w:val="center"/>
              <w:rPr>
                <w:rFonts w:eastAsia="Calibri" w:cs="Calibri"/>
                <w:noProof/>
              </w:rPr>
            </w:pPr>
            <w:r>
              <w:rPr>
                <w:noProof/>
              </w:rPr>
              <w:t>RE-C06-i08-RAM</w:t>
            </w:r>
          </w:p>
        </w:tc>
        <w:tc>
          <w:tcPr>
            <w:tcW w:w="1520" w:type="dxa"/>
            <w:tcBorders>
              <w:top w:val="nil"/>
              <w:left w:val="nil"/>
              <w:bottom w:val="single" w:sz="4" w:space="0" w:color="auto"/>
              <w:right w:val="single" w:sz="4" w:space="0" w:color="auto"/>
            </w:tcBorders>
            <w:shd w:val="clear" w:color="auto" w:fill="C4EFCE"/>
            <w:vAlign w:val="center"/>
            <w:hideMark/>
          </w:tcPr>
          <w:p w14:paraId="0615067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FA626DF" w14:textId="77777777" w:rsidR="00E040FD" w:rsidRDefault="00740D64">
            <w:pPr>
              <w:pStyle w:val="P68B1DB1-Normal23"/>
              <w:spacing w:after="0"/>
              <w:jc w:val="both"/>
              <w:rPr>
                <w:rFonts w:eastAsia="Calibri" w:cs="Calibri"/>
                <w:noProof/>
              </w:rPr>
            </w:pPr>
            <w:r>
              <w:rPr>
                <w:noProof/>
              </w:rPr>
              <w:t>Arbetena för utbyggnaden av CITMA-byggnaden har slutförts</w:t>
            </w:r>
          </w:p>
        </w:tc>
      </w:tr>
      <w:tr w:rsidR="00E040FD" w14:paraId="22766E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AA0D863" w14:textId="77777777" w:rsidR="00E040FD" w:rsidRDefault="00740D64">
            <w:pPr>
              <w:pStyle w:val="P68B1DB1-Normal23"/>
              <w:spacing w:after="0"/>
              <w:jc w:val="center"/>
              <w:rPr>
                <w:rFonts w:eastAsia="Calibri" w:cs="Calibri"/>
                <w:noProof/>
              </w:rPr>
            </w:pPr>
            <w:r>
              <w:rPr>
                <w:noProof/>
              </w:rPr>
              <w:t>7.15</w:t>
            </w:r>
          </w:p>
        </w:tc>
        <w:tc>
          <w:tcPr>
            <w:tcW w:w="1760" w:type="dxa"/>
            <w:tcBorders>
              <w:top w:val="nil"/>
              <w:left w:val="nil"/>
              <w:bottom w:val="single" w:sz="4" w:space="0" w:color="auto"/>
              <w:right w:val="single" w:sz="4" w:space="0" w:color="auto"/>
            </w:tcBorders>
            <w:shd w:val="clear" w:color="auto" w:fill="C4EFCE"/>
            <w:vAlign w:val="center"/>
            <w:hideMark/>
          </w:tcPr>
          <w:p w14:paraId="579A148C" w14:textId="77777777" w:rsidR="00E040FD" w:rsidRDefault="00740D64">
            <w:pPr>
              <w:pStyle w:val="P68B1DB1-Normal23"/>
              <w:spacing w:after="0"/>
              <w:jc w:val="center"/>
              <w:rPr>
                <w:rFonts w:eastAsia="Calibri" w:cs="Calibri"/>
                <w:noProof/>
              </w:rPr>
            </w:pPr>
            <w:r>
              <w:rPr>
                <w:noProof/>
              </w:rPr>
              <w:t>RE-C07-i05-RAA</w:t>
            </w:r>
          </w:p>
        </w:tc>
        <w:tc>
          <w:tcPr>
            <w:tcW w:w="1520" w:type="dxa"/>
            <w:tcBorders>
              <w:top w:val="nil"/>
              <w:left w:val="nil"/>
              <w:bottom w:val="single" w:sz="4" w:space="0" w:color="auto"/>
              <w:right w:val="single" w:sz="4" w:space="0" w:color="auto"/>
            </w:tcBorders>
            <w:shd w:val="clear" w:color="auto" w:fill="C4EFCE"/>
            <w:vAlign w:val="center"/>
            <w:hideMark/>
          </w:tcPr>
          <w:p w14:paraId="4D131CBE"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14295B7" w14:textId="77777777" w:rsidR="00E040FD" w:rsidRDefault="00740D64">
            <w:pPr>
              <w:pStyle w:val="P68B1DB1-Normal23"/>
              <w:spacing w:after="0"/>
              <w:jc w:val="both"/>
              <w:rPr>
                <w:rFonts w:eastAsia="Calibri" w:cs="Calibri"/>
                <w:noProof/>
              </w:rPr>
            </w:pPr>
            <w:r>
              <w:rPr>
                <w:noProof/>
              </w:rPr>
              <w:t>Vägar som har byggts eller renoverats</w:t>
            </w:r>
          </w:p>
        </w:tc>
      </w:tr>
      <w:tr w:rsidR="00E040FD" w14:paraId="718FC24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47A7A1F" w14:textId="77777777" w:rsidR="00E040FD" w:rsidRDefault="00740D64">
            <w:pPr>
              <w:pStyle w:val="P68B1DB1-Normal23"/>
              <w:spacing w:after="0"/>
              <w:jc w:val="center"/>
              <w:rPr>
                <w:rFonts w:eastAsia="Calibri" w:cs="Calibri"/>
                <w:noProof/>
              </w:rPr>
            </w:pPr>
            <w:r>
              <w:rPr>
                <w:noProof/>
              </w:rPr>
              <w:t>9.2</w:t>
            </w:r>
          </w:p>
        </w:tc>
        <w:tc>
          <w:tcPr>
            <w:tcW w:w="1760" w:type="dxa"/>
            <w:tcBorders>
              <w:top w:val="nil"/>
              <w:left w:val="nil"/>
              <w:bottom w:val="single" w:sz="4" w:space="0" w:color="auto"/>
              <w:right w:val="single" w:sz="4" w:space="0" w:color="auto"/>
            </w:tcBorders>
            <w:shd w:val="clear" w:color="auto" w:fill="C4EFCE"/>
            <w:vAlign w:val="center"/>
            <w:hideMark/>
          </w:tcPr>
          <w:p w14:paraId="59ABCBA1" w14:textId="77777777" w:rsidR="00E040FD" w:rsidRDefault="00740D6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2EAFCD8F"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96DBA45" w14:textId="77777777" w:rsidR="00E040FD" w:rsidRDefault="00740D64">
            <w:pPr>
              <w:pStyle w:val="P68B1DB1-Normal23"/>
              <w:spacing w:after="0"/>
              <w:jc w:val="both"/>
              <w:rPr>
                <w:rFonts w:eastAsia="Calibri" w:cs="Calibri"/>
                <w:noProof/>
              </w:rPr>
            </w:pPr>
            <w:r>
              <w:rPr>
                <w:noProof/>
              </w:rPr>
              <w:t>Slutförande av nätingrepp för att minska vattenförlusterna (SM1)</w:t>
            </w:r>
          </w:p>
        </w:tc>
      </w:tr>
      <w:tr w:rsidR="00E040FD" w14:paraId="37AC4E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1E10FD" w14:textId="77777777" w:rsidR="00E040FD" w:rsidRDefault="00740D64">
            <w:pPr>
              <w:pStyle w:val="P68B1DB1-Normal23"/>
              <w:spacing w:after="0"/>
              <w:jc w:val="center"/>
              <w:rPr>
                <w:rFonts w:eastAsia="Calibri" w:cs="Calibri"/>
                <w:noProof/>
              </w:rPr>
            </w:pPr>
            <w:r>
              <w:rPr>
                <w:noProof/>
              </w:rPr>
              <w:t>9.3</w:t>
            </w:r>
          </w:p>
        </w:tc>
        <w:tc>
          <w:tcPr>
            <w:tcW w:w="1760" w:type="dxa"/>
            <w:tcBorders>
              <w:top w:val="nil"/>
              <w:left w:val="nil"/>
              <w:bottom w:val="single" w:sz="4" w:space="0" w:color="auto"/>
              <w:right w:val="single" w:sz="4" w:space="0" w:color="auto"/>
            </w:tcBorders>
            <w:shd w:val="clear" w:color="auto" w:fill="C4EFCE"/>
            <w:vAlign w:val="center"/>
            <w:hideMark/>
          </w:tcPr>
          <w:p w14:paraId="237E8E0F" w14:textId="77777777" w:rsidR="00E040FD" w:rsidRDefault="00740D6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91C8840"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6A3DEEE" w14:textId="77777777" w:rsidR="00E040FD" w:rsidRDefault="00740D64">
            <w:pPr>
              <w:pStyle w:val="P68B1DB1-Normal23"/>
              <w:spacing w:after="0"/>
              <w:jc w:val="both"/>
              <w:rPr>
                <w:rFonts w:eastAsia="Calibri" w:cs="Calibri"/>
                <w:noProof/>
              </w:rPr>
            </w:pPr>
            <w:r>
              <w:rPr>
                <w:noProof/>
              </w:rPr>
              <w:t>Modernisering av markareal för gemensam användning inom vattenbruket och individuell bevattning (SM2)</w:t>
            </w:r>
          </w:p>
        </w:tc>
      </w:tr>
      <w:tr w:rsidR="00E040FD" w14:paraId="6F7B77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85D3E67" w14:textId="77777777" w:rsidR="00E040FD" w:rsidRDefault="00740D64">
            <w:pPr>
              <w:pStyle w:val="P68B1DB1-Normal23"/>
              <w:spacing w:after="0"/>
              <w:jc w:val="center"/>
              <w:rPr>
                <w:rFonts w:eastAsia="Calibri" w:cs="Calibri"/>
                <w:noProof/>
              </w:rPr>
            </w:pPr>
            <w:r>
              <w:rPr>
                <w:noProof/>
              </w:rPr>
              <w:t>9.4</w:t>
            </w:r>
          </w:p>
        </w:tc>
        <w:tc>
          <w:tcPr>
            <w:tcW w:w="1760" w:type="dxa"/>
            <w:tcBorders>
              <w:top w:val="nil"/>
              <w:left w:val="nil"/>
              <w:bottom w:val="single" w:sz="4" w:space="0" w:color="auto"/>
              <w:right w:val="single" w:sz="4" w:space="0" w:color="auto"/>
            </w:tcBorders>
            <w:shd w:val="clear" w:color="auto" w:fill="C4EFCE"/>
            <w:vAlign w:val="center"/>
            <w:hideMark/>
          </w:tcPr>
          <w:p w14:paraId="5C2FE0DD" w14:textId="77777777" w:rsidR="00E040FD" w:rsidRDefault="00740D6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33D26A42"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433600" w14:textId="77777777" w:rsidR="00E040FD" w:rsidRDefault="00740D64">
            <w:pPr>
              <w:pStyle w:val="P68B1DB1-Normal23"/>
              <w:spacing w:after="0"/>
              <w:jc w:val="both"/>
              <w:rPr>
                <w:rFonts w:eastAsia="Calibri" w:cs="Calibri"/>
                <w:noProof/>
              </w:rPr>
            </w:pPr>
            <w:r>
              <w:rPr>
                <w:noProof/>
              </w:rPr>
              <w:t>Antal reningsverk för att säkerställa produktion och förfining av renat avloppsvatten (SM4)</w:t>
            </w:r>
          </w:p>
        </w:tc>
      </w:tr>
      <w:tr w:rsidR="00E040FD" w14:paraId="1D13C9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EA5C54B" w14:textId="77777777" w:rsidR="00E040FD" w:rsidRDefault="00740D64">
            <w:pPr>
              <w:pStyle w:val="P68B1DB1-Normal23"/>
              <w:spacing w:after="0"/>
              <w:jc w:val="center"/>
              <w:rPr>
                <w:rFonts w:eastAsia="Calibri" w:cs="Calibri"/>
                <w:noProof/>
              </w:rPr>
            </w:pPr>
            <w:r>
              <w:rPr>
                <w:noProof/>
              </w:rPr>
              <w:t>9.6</w:t>
            </w:r>
          </w:p>
        </w:tc>
        <w:tc>
          <w:tcPr>
            <w:tcW w:w="1760" w:type="dxa"/>
            <w:tcBorders>
              <w:top w:val="nil"/>
              <w:left w:val="nil"/>
              <w:bottom w:val="single" w:sz="4" w:space="0" w:color="auto"/>
              <w:right w:val="single" w:sz="4" w:space="0" w:color="auto"/>
            </w:tcBorders>
            <w:shd w:val="clear" w:color="auto" w:fill="C4EFCE"/>
            <w:vAlign w:val="center"/>
            <w:hideMark/>
          </w:tcPr>
          <w:p w14:paraId="688EB844" w14:textId="77777777" w:rsidR="00E040FD" w:rsidRDefault="00740D6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64009CE"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1C4FC67" w14:textId="77777777" w:rsidR="00E040FD" w:rsidRDefault="00740D64">
            <w:pPr>
              <w:pStyle w:val="P68B1DB1-Normal23"/>
              <w:spacing w:after="0"/>
              <w:jc w:val="both"/>
              <w:rPr>
                <w:rFonts w:eastAsia="Calibri" w:cs="Calibri"/>
                <w:noProof/>
              </w:rPr>
            </w:pPr>
            <w:r>
              <w:rPr>
                <w:noProof/>
              </w:rPr>
              <w:t>Idrifttagande av uttaget i Guadiana med full respekt för de resultat och villkor som fastställs i miljökonsekvensbedömningen (SM5)</w:t>
            </w:r>
          </w:p>
        </w:tc>
      </w:tr>
      <w:tr w:rsidR="00E040FD" w14:paraId="00AC9B8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2E6A91" w14:textId="77777777" w:rsidR="00E040FD" w:rsidRDefault="00740D64">
            <w:pPr>
              <w:pStyle w:val="P68B1DB1-Normal23"/>
              <w:spacing w:after="0"/>
              <w:jc w:val="center"/>
              <w:rPr>
                <w:rFonts w:eastAsia="Calibri" w:cs="Calibri"/>
                <w:noProof/>
              </w:rPr>
            </w:pPr>
            <w:r>
              <w:rPr>
                <w:noProof/>
              </w:rPr>
              <w:t>9.8</w:t>
            </w:r>
          </w:p>
        </w:tc>
        <w:tc>
          <w:tcPr>
            <w:tcW w:w="1760" w:type="dxa"/>
            <w:tcBorders>
              <w:top w:val="nil"/>
              <w:left w:val="nil"/>
              <w:bottom w:val="single" w:sz="4" w:space="0" w:color="auto"/>
              <w:right w:val="single" w:sz="4" w:space="0" w:color="auto"/>
            </w:tcBorders>
            <w:shd w:val="clear" w:color="auto" w:fill="C4EFCE"/>
            <w:vAlign w:val="center"/>
            <w:hideMark/>
          </w:tcPr>
          <w:p w14:paraId="5EBB0488" w14:textId="77777777" w:rsidR="00E040FD" w:rsidRDefault="00740D6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7A9B6AA"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4D168C1" w14:textId="0C32D8AF" w:rsidR="00E040FD" w:rsidRDefault="00740D64">
            <w:pPr>
              <w:pStyle w:val="P68B1DB1-Normal23"/>
              <w:spacing w:after="0"/>
              <w:jc w:val="both"/>
              <w:rPr>
                <w:rFonts w:eastAsia="Calibri" w:cs="Calibri"/>
                <w:noProof/>
              </w:rPr>
            </w:pPr>
            <w:r>
              <w:rPr>
                <w:noProof/>
              </w:rPr>
              <w:t>Införande av avsaltningsåtgärden, med full respekt för de resultat och villkor som fastställs i miljökonsekvensbedömningen (SM6).</w:t>
            </w:r>
          </w:p>
        </w:tc>
      </w:tr>
      <w:tr w:rsidR="00E040FD" w14:paraId="2BDB91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8D6E3E7" w14:textId="77777777" w:rsidR="00E040FD" w:rsidRDefault="00740D64">
            <w:pPr>
              <w:pStyle w:val="P68B1DB1-Normal23"/>
              <w:spacing w:after="0"/>
              <w:jc w:val="center"/>
              <w:rPr>
                <w:rFonts w:eastAsia="Calibri" w:cs="Calibri"/>
                <w:noProof/>
              </w:rPr>
            </w:pPr>
            <w:r>
              <w:rPr>
                <w:noProof/>
              </w:rPr>
              <w:t>10.10</w:t>
            </w:r>
          </w:p>
        </w:tc>
        <w:tc>
          <w:tcPr>
            <w:tcW w:w="1760" w:type="dxa"/>
            <w:tcBorders>
              <w:top w:val="nil"/>
              <w:left w:val="nil"/>
              <w:bottom w:val="single" w:sz="4" w:space="0" w:color="auto"/>
              <w:right w:val="single" w:sz="4" w:space="0" w:color="auto"/>
            </w:tcBorders>
            <w:shd w:val="clear" w:color="auto" w:fill="C4EFCE"/>
            <w:vAlign w:val="center"/>
            <w:hideMark/>
          </w:tcPr>
          <w:p w14:paraId="66F203A9" w14:textId="77777777" w:rsidR="00E040FD" w:rsidRDefault="00740D64">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6D83619A"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44450C5" w14:textId="77777777" w:rsidR="00E040FD" w:rsidRDefault="00740D64">
            <w:pPr>
              <w:pStyle w:val="P68B1DB1-Normal23"/>
              <w:spacing w:after="0"/>
              <w:jc w:val="both"/>
              <w:rPr>
                <w:rFonts w:eastAsia="Calibri" w:cs="Calibri"/>
                <w:noProof/>
              </w:rPr>
            </w:pPr>
            <w:r>
              <w:rPr>
                <w:noProof/>
              </w:rPr>
              <w:t xml:space="preserve">Operationalisering av det centrum för experimentell forskning och utveckling som är knutet till Azorernas hav (centrum MARTEC) </w:t>
            </w:r>
          </w:p>
        </w:tc>
      </w:tr>
      <w:tr w:rsidR="00E040FD" w14:paraId="12909A0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1610000" w14:textId="77777777" w:rsidR="00E040FD" w:rsidRDefault="00740D64">
            <w:pPr>
              <w:pStyle w:val="P68B1DB1-Normal23"/>
              <w:spacing w:after="0"/>
              <w:jc w:val="center"/>
              <w:rPr>
                <w:rFonts w:eastAsia="Calibri" w:cs="Calibri"/>
                <w:noProof/>
              </w:rPr>
            </w:pPr>
            <w:r>
              <w:rPr>
                <w:noProof/>
              </w:rPr>
              <w:t>10.11</w:t>
            </w:r>
          </w:p>
        </w:tc>
        <w:tc>
          <w:tcPr>
            <w:tcW w:w="1760" w:type="dxa"/>
            <w:tcBorders>
              <w:top w:val="nil"/>
              <w:left w:val="nil"/>
              <w:bottom w:val="single" w:sz="4" w:space="0" w:color="auto"/>
              <w:right w:val="single" w:sz="4" w:space="0" w:color="auto"/>
            </w:tcBorders>
            <w:shd w:val="clear" w:color="auto" w:fill="C4EFCE"/>
            <w:vAlign w:val="center"/>
            <w:hideMark/>
          </w:tcPr>
          <w:p w14:paraId="2149C41D" w14:textId="77777777" w:rsidR="00E040FD" w:rsidRDefault="00740D64">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25F54449"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D495D64" w14:textId="77777777" w:rsidR="00E040FD" w:rsidRDefault="00740D64">
            <w:pPr>
              <w:pStyle w:val="P68B1DB1-Normal23"/>
              <w:spacing w:after="0"/>
              <w:jc w:val="both"/>
              <w:rPr>
                <w:rFonts w:eastAsia="Calibri" w:cs="Calibri"/>
                <w:noProof/>
              </w:rPr>
            </w:pPr>
            <w:r>
              <w:rPr>
                <w:noProof/>
              </w:rPr>
              <w:t>Leverans av 2 moduler för det nya forskningsfartyget</w:t>
            </w:r>
          </w:p>
        </w:tc>
      </w:tr>
      <w:tr w:rsidR="00E040FD" w14:paraId="58CCDB4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70AF37" w14:textId="77777777" w:rsidR="00E040FD" w:rsidRDefault="00740D64">
            <w:pPr>
              <w:pStyle w:val="P68B1DB1-Normal23"/>
              <w:spacing w:after="0"/>
              <w:jc w:val="center"/>
              <w:rPr>
                <w:rFonts w:eastAsia="Calibri" w:cs="Calibri"/>
                <w:noProof/>
              </w:rPr>
            </w:pPr>
            <w:r>
              <w:rPr>
                <w:noProof/>
              </w:rPr>
              <w:t>10.12</w:t>
            </w:r>
          </w:p>
        </w:tc>
        <w:tc>
          <w:tcPr>
            <w:tcW w:w="1760" w:type="dxa"/>
            <w:tcBorders>
              <w:top w:val="nil"/>
              <w:left w:val="nil"/>
              <w:bottom w:val="single" w:sz="4" w:space="0" w:color="auto"/>
              <w:right w:val="single" w:sz="4" w:space="0" w:color="auto"/>
            </w:tcBorders>
            <w:shd w:val="clear" w:color="auto" w:fill="C4EFCE"/>
            <w:vAlign w:val="center"/>
            <w:hideMark/>
          </w:tcPr>
          <w:p w14:paraId="0DFEBA2F" w14:textId="77777777" w:rsidR="00E040FD" w:rsidRDefault="00740D64">
            <w:pPr>
              <w:pStyle w:val="P68B1DB1-Normal23"/>
              <w:spacing w:after="0"/>
              <w:jc w:val="center"/>
              <w:rPr>
                <w:rFonts w:eastAsia="Calibri" w:cs="Calibri"/>
                <w:noProof/>
              </w:rPr>
            </w:pPr>
            <w:r>
              <w:rPr>
                <w:noProof/>
              </w:rPr>
              <w:t>TC-C10-i05-RAA</w:t>
            </w:r>
          </w:p>
        </w:tc>
        <w:tc>
          <w:tcPr>
            <w:tcW w:w="1520" w:type="dxa"/>
            <w:tcBorders>
              <w:top w:val="nil"/>
              <w:left w:val="nil"/>
              <w:bottom w:val="single" w:sz="4" w:space="0" w:color="auto"/>
              <w:right w:val="single" w:sz="4" w:space="0" w:color="auto"/>
            </w:tcBorders>
            <w:shd w:val="clear" w:color="auto" w:fill="C4EFCE"/>
            <w:vAlign w:val="center"/>
            <w:hideMark/>
          </w:tcPr>
          <w:p w14:paraId="0039517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1F68158" w14:textId="77777777" w:rsidR="00E040FD" w:rsidRDefault="00740D64">
            <w:pPr>
              <w:pStyle w:val="P68B1DB1-Normal23"/>
              <w:spacing w:after="0"/>
              <w:jc w:val="both"/>
              <w:rPr>
                <w:rFonts w:eastAsia="Calibri" w:cs="Calibri"/>
                <w:noProof/>
              </w:rPr>
            </w:pPr>
            <w:r>
              <w:rPr>
                <w:noProof/>
              </w:rPr>
              <w:t xml:space="preserve">Slutförande av projekt inom fiskeri- och vattenbrukssektorn </w:t>
            </w:r>
          </w:p>
        </w:tc>
      </w:tr>
      <w:tr w:rsidR="00E040FD" w14:paraId="675CEDE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604C72C" w14:textId="77777777" w:rsidR="00E040FD" w:rsidRDefault="00740D64">
            <w:pPr>
              <w:pStyle w:val="P68B1DB1-Normal23"/>
              <w:spacing w:after="0"/>
              <w:jc w:val="center"/>
              <w:rPr>
                <w:rFonts w:eastAsia="Calibri" w:cs="Calibri"/>
                <w:noProof/>
              </w:rPr>
            </w:pPr>
            <w:r>
              <w:rPr>
                <w:noProof/>
              </w:rPr>
              <w:t>10.14</w:t>
            </w:r>
          </w:p>
        </w:tc>
        <w:tc>
          <w:tcPr>
            <w:tcW w:w="1760" w:type="dxa"/>
            <w:tcBorders>
              <w:top w:val="nil"/>
              <w:left w:val="nil"/>
              <w:bottom w:val="single" w:sz="4" w:space="0" w:color="auto"/>
              <w:right w:val="single" w:sz="4" w:space="0" w:color="auto"/>
            </w:tcBorders>
            <w:shd w:val="clear" w:color="auto" w:fill="C4EFCE"/>
            <w:vAlign w:val="center"/>
            <w:hideMark/>
          </w:tcPr>
          <w:p w14:paraId="4059CC69" w14:textId="77777777" w:rsidR="00E040FD" w:rsidRDefault="00740D64">
            <w:pPr>
              <w:pStyle w:val="P68B1DB1-Normal23"/>
              <w:spacing w:after="0"/>
              <w:jc w:val="center"/>
              <w:rPr>
                <w:rFonts w:eastAsia="Calibri" w:cs="Calibri"/>
                <w:noProof/>
              </w:rPr>
            </w:pPr>
            <w:r>
              <w:rPr>
                <w:noProof/>
              </w:rPr>
              <w:t>TC-C10-i06-RAM</w:t>
            </w:r>
          </w:p>
        </w:tc>
        <w:tc>
          <w:tcPr>
            <w:tcW w:w="1520" w:type="dxa"/>
            <w:tcBorders>
              <w:top w:val="nil"/>
              <w:left w:val="nil"/>
              <w:bottom w:val="single" w:sz="4" w:space="0" w:color="auto"/>
              <w:right w:val="single" w:sz="4" w:space="0" w:color="auto"/>
            </w:tcBorders>
            <w:shd w:val="clear" w:color="auto" w:fill="C4EFCE"/>
            <w:vAlign w:val="center"/>
            <w:hideMark/>
          </w:tcPr>
          <w:p w14:paraId="5003A16C"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6549ECD" w14:textId="77777777" w:rsidR="00E040FD" w:rsidRDefault="00740D64">
            <w:pPr>
              <w:pStyle w:val="P68B1DB1-Normal23"/>
              <w:spacing w:after="0"/>
              <w:jc w:val="both"/>
              <w:rPr>
                <w:rFonts w:eastAsia="Calibri" w:cs="Calibri"/>
                <w:noProof/>
              </w:rPr>
            </w:pPr>
            <w:r>
              <w:rPr>
                <w:noProof/>
              </w:rPr>
              <w:t>Leverans av det energieffektiva forskningsfartyget för flera ändamål</w:t>
            </w:r>
          </w:p>
        </w:tc>
      </w:tr>
      <w:tr w:rsidR="00E040FD" w14:paraId="782F16D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1F58B5" w14:textId="77777777" w:rsidR="00E040FD" w:rsidRDefault="00740D64">
            <w:pPr>
              <w:pStyle w:val="P68B1DB1-Normal23"/>
              <w:spacing w:after="0"/>
              <w:jc w:val="center"/>
              <w:rPr>
                <w:rFonts w:eastAsia="Calibri" w:cs="Calibri"/>
                <w:noProof/>
              </w:rPr>
            </w:pPr>
            <w:r>
              <w:rPr>
                <w:noProof/>
              </w:rPr>
              <w:t>14.3</w:t>
            </w:r>
          </w:p>
        </w:tc>
        <w:tc>
          <w:tcPr>
            <w:tcW w:w="1760" w:type="dxa"/>
            <w:tcBorders>
              <w:top w:val="nil"/>
              <w:left w:val="nil"/>
              <w:bottom w:val="single" w:sz="4" w:space="0" w:color="auto"/>
              <w:right w:val="single" w:sz="4" w:space="0" w:color="auto"/>
            </w:tcBorders>
            <w:shd w:val="clear" w:color="auto" w:fill="C4EFCE"/>
            <w:vAlign w:val="center"/>
            <w:hideMark/>
          </w:tcPr>
          <w:p w14:paraId="149B14E3" w14:textId="77777777" w:rsidR="00E040FD" w:rsidRDefault="00740D64">
            <w:pPr>
              <w:pStyle w:val="P68B1DB1-Normal23"/>
              <w:spacing w:after="0"/>
              <w:jc w:val="center"/>
              <w:rPr>
                <w:rFonts w:eastAsia="Calibri" w:cs="Calibri"/>
                <w:noProof/>
              </w:rPr>
            </w:pPr>
            <w:r>
              <w:rPr>
                <w:noProof/>
              </w:rPr>
              <w:t>TC-C14-I01</w:t>
            </w:r>
          </w:p>
        </w:tc>
        <w:tc>
          <w:tcPr>
            <w:tcW w:w="1520" w:type="dxa"/>
            <w:tcBorders>
              <w:top w:val="nil"/>
              <w:left w:val="nil"/>
              <w:bottom w:val="single" w:sz="4" w:space="0" w:color="auto"/>
              <w:right w:val="single" w:sz="4" w:space="0" w:color="auto"/>
            </w:tcBorders>
            <w:shd w:val="clear" w:color="auto" w:fill="C4EFCE"/>
            <w:vAlign w:val="center"/>
            <w:hideMark/>
          </w:tcPr>
          <w:p w14:paraId="1C7D0921"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3D40777" w14:textId="77777777" w:rsidR="00E040FD" w:rsidRDefault="00740D64">
            <w:pPr>
              <w:pStyle w:val="P68B1DB1-Normal23"/>
              <w:spacing w:after="0"/>
              <w:jc w:val="both"/>
              <w:rPr>
                <w:rFonts w:eastAsia="Calibri" w:cs="Calibri"/>
                <w:noProof/>
              </w:rPr>
            </w:pPr>
            <w:r>
              <w:rPr>
                <w:noProof/>
              </w:rPr>
              <w:t>Ytterligare produktionskapacitet för förnybar vätgas och förnybar gas</w:t>
            </w:r>
          </w:p>
        </w:tc>
      </w:tr>
      <w:tr w:rsidR="00E040FD" w14:paraId="6E3719A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8C92FF" w14:textId="77777777" w:rsidR="00E040FD" w:rsidRDefault="00740D64">
            <w:pPr>
              <w:pStyle w:val="P68B1DB1-Normal23"/>
              <w:spacing w:after="0"/>
              <w:jc w:val="center"/>
              <w:rPr>
                <w:rFonts w:eastAsia="Calibri" w:cs="Calibri"/>
                <w:noProof/>
              </w:rPr>
            </w:pPr>
            <w:r>
              <w:rPr>
                <w:noProof/>
              </w:rPr>
              <w:t>14.11</w:t>
            </w:r>
          </w:p>
        </w:tc>
        <w:tc>
          <w:tcPr>
            <w:tcW w:w="1760" w:type="dxa"/>
            <w:tcBorders>
              <w:top w:val="nil"/>
              <w:left w:val="nil"/>
              <w:bottom w:val="single" w:sz="4" w:space="0" w:color="auto"/>
              <w:right w:val="single" w:sz="4" w:space="0" w:color="auto"/>
            </w:tcBorders>
            <w:shd w:val="clear" w:color="auto" w:fill="C4EFCE"/>
            <w:vAlign w:val="center"/>
            <w:hideMark/>
          </w:tcPr>
          <w:p w14:paraId="48F00665" w14:textId="77777777" w:rsidR="00E040FD" w:rsidRDefault="00740D64">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3B322EA7"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F348DF8" w14:textId="77777777" w:rsidR="00E040FD" w:rsidRDefault="00740D64">
            <w:pPr>
              <w:pStyle w:val="P68B1DB1-Normal23"/>
              <w:spacing w:after="0"/>
              <w:jc w:val="both"/>
              <w:rPr>
                <w:rFonts w:eastAsia="Calibri" w:cs="Calibri"/>
                <w:noProof/>
              </w:rPr>
            </w:pPr>
            <w:r>
              <w:rPr>
                <w:noProof/>
              </w:rPr>
              <w:t>Ytterligare och renoverad installerad geotermisk produktionskapacitet</w:t>
            </w:r>
          </w:p>
        </w:tc>
      </w:tr>
      <w:tr w:rsidR="00E040FD" w14:paraId="5FD819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DF8B68" w14:textId="77777777" w:rsidR="00E040FD" w:rsidRDefault="00740D64">
            <w:pPr>
              <w:pStyle w:val="P68B1DB1-Normal23"/>
              <w:spacing w:after="0"/>
              <w:jc w:val="center"/>
              <w:rPr>
                <w:rFonts w:eastAsia="Calibri" w:cs="Calibri"/>
                <w:noProof/>
              </w:rPr>
            </w:pPr>
            <w:r>
              <w:rPr>
                <w:noProof/>
              </w:rPr>
              <w:t>14.13</w:t>
            </w:r>
          </w:p>
        </w:tc>
        <w:tc>
          <w:tcPr>
            <w:tcW w:w="1760" w:type="dxa"/>
            <w:tcBorders>
              <w:top w:val="nil"/>
              <w:left w:val="nil"/>
              <w:bottom w:val="single" w:sz="4" w:space="0" w:color="auto"/>
              <w:right w:val="single" w:sz="4" w:space="0" w:color="auto"/>
            </w:tcBorders>
            <w:shd w:val="clear" w:color="auto" w:fill="C4EFCE"/>
            <w:vAlign w:val="center"/>
            <w:hideMark/>
          </w:tcPr>
          <w:p w14:paraId="64F40519" w14:textId="77777777" w:rsidR="00E040FD" w:rsidRDefault="00740D64">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007474A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EAB61EA" w14:textId="77777777" w:rsidR="00E040FD" w:rsidRDefault="00740D64">
            <w:pPr>
              <w:pStyle w:val="P68B1DB1-Normal23"/>
              <w:spacing w:after="0"/>
              <w:jc w:val="both"/>
              <w:rPr>
                <w:rFonts w:eastAsia="Calibri" w:cs="Calibri"/>
                <w:noProof/>
              </w:rPr>
            </w:pPr>
            <w:r>
              <w:rPr>
                <w:noProof/>
              </w:rPr>
              <w:t>Nya batterienergilagringssystem och energiledningssystem i ARA</w:t>
            </w:r>
          </w:p>
        </w:tc>
      </w:tr>
      <w:tr w:rsidR="00E040FD" w14:paraId="3D2D7C2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5885B6" w14:textId="77777777" w:rsidR="00E040FD" w:rsidRDefault="00740D64">
            <w:pPr>
              <w:pStyle w:val="P68B1DB1-Normal23"/>
              <w:spacing w:after="0"/>
              <w:jc w:val="center"/>
              <w:rPr>
                <w:rFonts w:eastAsia="Calibri" w:cs="Calibri"/>
                <w:noProof/>
              </w:rPr>
            </w:pPr>
            <w:r>
              <w:rPr>
                <w:noProof/>
              </w:rPr>
              <w:t>15.3</w:t>
            </w:r>
          </w:p>
        </w:tc>
        <w:tc>
          <w:tcPr>
            <w:tcW w:w="1760" w:type="dxa"/>
            <w:tcBorders>
              <w:top w:val="nil"/>
              <w:left w:val="nil"/>
              <w:bottom w:val="single" w:sz="4" w:space="0" w:color="auto"/>
              <w:right w:val="single" w:sz="4" w:space="0" w:color="auto"/>
            </w:tcBorders>
            <w:shd w:val="clear" w:color="auto" w:fill="C4EFCE"/>
            <w:vAlign w:val="center"/>
            <w:hideMark/>
          </w:tcPr>
          <w:p w14:paraId="5F0E4652" w14:textId="77777777" w:rsidR="00E040FD" w:rsidRDefault="00740D64">
            <w:pPr>
              <w:pStyle w:val="P68B1DB1-Normal23"/>
              <w:spacing w:after="0"/>
              <w:jc w:val="center"/>
              <w:rPr>
                <w:rFonts w:eastAsia="Calibri" w:cs="Calibri"/>
                <w:noProof/>
              </w:rPr>
            </w:pPr>
            <w:r>
              <w:rPr>
                <w:noProof/>
              </w:rPr>
              <w:t>TC-C15-I01</w:t>
            </w:r>
          </w:p>
        </w:tc>
        <w:tc>
          <w:tcPr>
            <w:tcW w:w="1520" w:type="dxa"/>
            <w:tcBorders>
              <w:top w:val="nil"/>
              <w:left w:val="nil"/>
              <w:bottom w:val="single" w:sz="4" w:space="0" w:color="auto"/>
              <w:right w:val="single" w:sz="4" w:space="0" w:color="auto"/>
            </w:tcBorders>
            <w:shd w:val="clear" w:color="auto" w:fill="C4EFCE"/>
            <w:vAlign w:val="center"/>
            <w:hideMark/>
          </w:tcPr>
          <w:p w14:paraId="41ACA24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6D9D0D7" w14:textId="77777777" w:rsidR="00E040FD" w:rsidRDefault="00740D64">
            <w:pPr>
              <w:pStyle w:val="P68B1DB1-Normal23"/>
              <w:spacing w:after="0"/>
              <w:jc w:val="both"/>
              <w:rPr>
                <w:rFonts w:eastAsia="Calibri" w:cs="Calibri"/>
                <w:noProof/>
              </w:rPr>
            </w:pPr>
            <w:r>
              <w:rPr>
                <w:noProof/>
              </w:rPr>
              <w:t>Utbyggnad av Lissabons tunnelbanenät slutförd</w:t>
            </w:r>
          </w:p>
        </w:tc>
      </w:tr>
      <w:tr w:rsidR="00E040FD" w14:paraId="7EB0F83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501D3C5" w14:textId="77777777" w:rsidR="00E040FD" w:rsidRDefault="00740D64">
            <w:pPr>
              <w:pStyle w:val="P68B1DB1-Normal23"/>
              <w:spacing w:after="0"/>
              <w:jc w:val="center"/>
              <w:rPr>
                <w:rFonts w:eastAsia="Calibri" w:cs="Calibri"/>
                <w:noProof/>
              </w:rPr>
            </w:pPr>
            <w:r>
              <w:rPr>
                <w:noProof/>
              </w:rPr>
              <w:t>15.6</w:t>
            </w:r>
          </w:p>
        </w:tc>
        <w:tc>
          <w:tcPr>
            <w:tcW w:w="1760" w:type="dxa"/>
            <w:tcBorders>
              <w:top w:val="nil"/>
              <w:left w:val="nil"/>
              <w:bottom w:val="single" w:sz="4" w:space="0" w:color="auto"/>
              <w:right w:val="single" w:sz="4" w:space="0" w:color="auto"/>
            </w:tcBorders>
            <w:shd w:val="clear" w:color="auto" w:fill="C4EFCE"/>
            <w:vAlign w:val="center"/>
            <w:hideMark/>
          </w:tcPr>
          <w:p w14:paraId="0225E4FE" w14:textId="77777777" w:rsidR="00E040FD" w:rsidRDefault="00740D64">
            <w:pPr>
              <w:pStyle w:val="P68B1DB1-Normal23"/>
              <w:spacing w:after="0"/>
              <w:jc w:val="center"/>
              <w:rPr>
                <w:rFonts w:eastAsia="Calibri" w:cs="Calibri"/>
                <w:noProof/>
              </w:rPr>
            </w:pPr>
            <w:r>
              <w:rPr>
                <w:noProof/>
              </w:rPr>
              <w:t>TC-C15-I02</w:t>
            </w:r>
          </w:p>
        </w:tc>
        <w:tc>
          <w:tcPr>
            <w:tcW w:w="1520" w:type="dxa"/>
            <w:tcBorders>
              <w:top w:val="nil"/>
              <w:left w:val="nil"/>
              <w:bottom w:val="single" w:sz="4" w:space="0" w:color="auto"/>
              <w:right w:val="single" w:sz="4" w:space="0" w:color="auto"/>
            </w:tcBorders>
            <w:shd w:val="clear" w:color="auto" w:fill="C4EFCE"/>
            <w:vAlign w:val="center"/>
            <w:hideMark/>
          </w:tcPr>
          <w:p w14:paraId="02CE8F2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955E14C" w14:textId="77777777" w:rsidR="00E040FD" w:rsidRDefault="00740D64">
            <w:pPr>
              <w:pStyle w:val="P68B1DB1-Normal23"/>
              <w:spacing w:after="0"/>
              <w:jc w:val="both"/>
              <w:rPr>
                <w:rFonts w:eastAsia="Calibri" w:cs="Calibri"/>
                <w:noProof/>
              </w:rPr>
            </w:pPr>
            <w:r>
              <w:rPr>
                <w:noProof/>
              </w:rPr>
              <w:t>Utbyggnad av Portos tunnelbanenät slutförd</w:t>
            </w:r>
          </w:p>
        </w:tc>
      </w:tr>
      <w:tr w:rsidR="00E040FD" w14:paraId="3122821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62E7552" w14:textId="77777777" w:rsidR="00E040FD" w:rsidRDefault="00740D64">
            <w:pPr>
              <w:pStyle w:val="P68B1DB1-Normal23"/>
              <w:spacing w:after="0"/>
              <w:jc w:val="center"/>
              <w:rPr>
                <w:rFonts w:eastAsia="Calibri" w:cs="Calibri"/>
                <w:noProof/>
              </w:rPr>
            </w:pPr>
            <w:r>
              <w:rPr>
                <w:noProof/>
              </w:rPr>
              <w:t>15.16</w:t>
            </w:r>
          </w:p>
        </w:tc>
        <w:tc>
          <w:tcPr>
            <w:tcW w:w="1760" w:type="dxa"/>
            <w:tcBorders>
              <w:top w:val="nil"/>
              <w:left w:val="nil"/>
              <w:bottom w:val="single" w:sz="4" w:space="0" w:color="auto"/>
              <w:right w:val="single" w:sz="4" w:space="0" w:color="auto"/>
            </w:tcBorders>
            <w:shd w:val="clear" w:color="auto" w:fill="C4EFCE"/>
            <w:vAlign w:val="center"/>
            <w:hideMark/>
          </w:tcPr>
          <w:p w14:paraId="1F57BF01" w14:textId="77777777" w:rsidR="00E040FD" w:rsidRDefault="00740D64">
            <w:pPr>
              <w:pStyle w:val="P68B1DB1-Normal23"/>
              <w:spacing w:after="0"/>
              <w:jc w:val="center"/>
              <w:rPr>
                <w:rFonts w:eastAsia="Calibri" w:cs="Calibri"/>
                <w:noProof/>
              </w:rPr>
            </w:pPr>
            <w:r>
              <w:rPr>
                <w:noProof/>
              </w:rPr>
              <w:t>TC-C15-I06</w:t>
            </w:r>
          </w:p>
        </w:tc>
        <w:tc>
          <w:tcPr>
            <w:tcW w:w="1520" w:type="dxa"/>
            <w:tcBorders>
              <w:top w:val="nil"/>
              <w:left w:val="nil"/>
              <w:bottom w:val="single" w:sz="4" w:space="0" w:color="auto"/>
              <w:right w:val="single" w:sz="4" w:space="0" w:color="auto"/>
            </w:tcBorders>
            <w:shd w:val="clear" w:color="auto" w:fill="C4EFCE"/>
            <w:vAlign w:val="center"/>
            <w:hideMark/>
          </w:tcPr>
          <w:p w14:paraId="044758A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2045CC" w14:textId="77777777" w:rsidR="00E040FD" w:rsidRDefault="00740D64">
            <w:pPr>
              <w:pStyle w:val="P68B1DB1-Normal23"/>
              <w:spacing w:after="0"/>
              <w:jc w:val="both"/>
              <w:rPr>
                <w:rFonts w:eastAsia="Calibri" w:cs="Calibri"/>
                <w:noProof/>
              </w:rPr>
            </w:pPr>
            <w:r>
              <w:rPr>
                <w:noProof/>
              </w:rPr>
              <w:t>Järnvägslinjer med elektroniska signalsystem byts ut</w:t>
            </w:r>
          </w:p>
        </w:tc>
      </w:tr>
      <w:tr w:rsidR="00E040FD" w14:paraId="702497F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452F7C6" w14:textId="525B27D9" w:rsidR="00E040FD" w:rsidRDefault="00740D64">
            <w:pPr>
              <w:pStyle w:val="P68B1DB1-Normal23"/>
              <w:spacing w:after="0"/>
              <w:jc w:val="center"/>
              <w:rPr>
                <w:rFonts w:eastAsia="Calibri" w:cs="Calibri"/>
                <w:noProof/>
              </w:rPr>
            </w:pPr>
            <w:r>
              <w:rPr>
                <w:noProof/>
              </w:rPr>
              <w:t>16.18</w:t>
            </w:r>
          </w:p>
        </w:tc>
        <w:tc>
          <w:tcPr>
            <w:tcW w:w="1760" w:type="dxa"/>
            <w:tcBorders>
              <w:top w:val="nil"/>
              <w:left w:val="nil"/>
              <w:bottom w:val="single" w:sz="4" w:space="0" w:color="auto"/>
              <w:right w:val="single" w:sz="4" w:space="0" w:color="auto"/>
            </w:tcBorders>
            <w:shd w:val="clear" w:color="auto" w:fill="C4EFCE"/>
            <w:vAlign w:val="center"/>
          </w:tcPr>
          <w:p w14:paraId="1DF82366" w14:textId="0E1489C0" w:rsidR="00E040FD" w:rsidRDefault="00740D64">
            <w:pPr>
              <w:pStyle w:val="P68B1DB1-Normal23"/>
              <w:spacing w:after="0"/>
              <w:jc w:val="center"/>
              <w:rPr>
                <w:rFonts w:eastAsia="Calibri" w:cs="Calibri"/>
                <w:noProof/>
              </w:rPr>
            </w:pPr>
            <w:r>
              <w:rPr>
                <w:noProof/>
              </w:rPr>
              <w:t>TD-C16-i05-RAA</w:t>
            </w:r>
          </w:p>
        </w:tc>
        <w:tc>
          <w:tcPr>
            <w:tcW w:w="1520" w:type="dxa"/>
            <w:tcBorders>
              <w:top w:val="nil"/>
              <w:left w:val="nil"/>
              <w:bottom w:val="single" w:sz="4" w:space="0" w:color="auto"/>
              <w:right w:val="single" w:sz="4" w:space="0" w:color="auto"/>
            </w:tcBorders>
            <w:shd w:val="clear" w:color="auto" w:fill="C4EFCE"/>
            <w:vAlign w:val="center"/>
          </w:tcPr>
          <w:p w14:paraId="5372C9EF" w14:textId="44F53D0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75B9B368" w14:textId="0F330AD1" w:rsidR="00E040FD" w:rsidRDefault="00740D64">
            <w:pPr>
              <w:pStyle w:val="P68B1DB1-Normal23"/>
              <w:spacing w:after="0"/>
              <w:jc w:val="both"/>
              <w:rPr>
                <w:rFonts w:eastAsia="Calibri" w:cs="Calibri"/>
                <w:noProof/>
              </w:rPr>
            </w:pPr>
            <w:r>
              <w:rPr>
                <w:noProof/>
              </w:rPr>
              <w:t>Antal projekt som får stöd inom ramen för incitamentsystemet för företagens digitala omställning</w:t>
            </w:r>
          </w:p>
        </w:tc>
      </w:tr>
      <w:tr w:rsidR="00E040FD" w14:paraId="51C61E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3E69F07" w14:textId="77777777" w:rsidR="00E040FD" w:rsidRDefault="00740D64">
            <w:pPr>
              <w:pStyle w:val="P68B1DB1-Normal23"/>
              <w:spacing w:after="0"/>
              <w:jc w:val="center"/>
              <w:rPr>
                <w:rFonts w:eastAsia="Calibri" w:cs="Calibri"/>
                <w:noProof/>
              </w:rPr>
            </w:pPr>
            <w:r>
              <w:rPr>
                <w:noProof/>
              </w:rPr>
              <w:t>16.19</w:t>
            </w:r>
          </w:p>
        </w:tc>
        <w:tc>
          <w:tcPr>
            <w:tcW w:w="1760" w:type="dxa"/>
            <w:tcBorders>
              <w:top w:val="nil"/>
              <w:left w:val="nil"/>
              <w:bottom w:val="single" w:sz="4" w:space="0" w:color="auto"/>
              <w:right w:val="single" w:sz="4" w:space="0" w:color="auto"/>
            </w:tcBorders>
            <w:shd w:val="clear" w:color="auto" w:fill="C4EFCE"/>
            <w:vAlign w:val="center"/>
            <w:hideMark/>
          </w:tcPr>
          <w:p w14:paraId="116F9920" w14:textId="147B6CDA" w:rsidR="00E040FD" w:rsidRDefault="00740D64">
            <w:pPr>
              <w:pStyle w:val="P68B1DB1-Normal23"/>
              <w:spacing w:after="0"/>
              <w:jc w:val="center"/>
              <w:rPr>
                <w:rFonts w:eastAsia="Calibri" w:cs="Calibri"/>
                <w:noProof/>
              </w:rPr>
            </w:pPr>
            <w:r>
              <w:rPr>
                <w:noProof/>
              </w:rPr>
              <w:t>TD-C16-i05-RAA</w:t>
            </w:r>
          </w:p>
        </w:tc>
        <w:tc>
          <w:tcPr>
            <w:tcW w:w="1520" w:type="dxa"/>
            <w:tcBorders>
              <w:top w:val="nil"/>
              <w:left w:val="nil"/>
              <w:bottom w:val="single" w:sz="4" w:space="0" w:color="auto"/>
              <w:right w:val="single" w:sz="4" w:space="0" w:color="auto"/>
            </w:tcBorders>
            <w:shd w:val="clear" w:color="auto" w:fill="C4EFCE"/>
            <w:vAlign w:val="center"/>
            <w:hideMark/>
          </w:tcPr>
          <w:p w14:paraId="01522257"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6FC228C" w14:textId="77777777" w:rsidR="00E040FD" w:rsidRDefault="00740D64">
            <w:pPr>
              <w:pStyle w:val="P68B1DB1-Normal23"/>
              <w:spacing w:after="0"/>
              <w:jc w:val="both"/>
              <w:rPr>
                <w:rFonts w:eastAsia="Calibri" w:cs="Calibri"/>
                <w:noProof/>
              </w:rPr>
            </w:pPr>
            <w:r>
              <w:rPr>
                <w:noProof/>
              </w:rPr>
              <w:t>Utökade eller utrustade vetenskaps- och teknikparker</w:t>
            </w:r>
          </w:p>
        </w:tc>
      </w:tr>
      <w:tr w:rsidR="00E040FD" w14:paraId="2CA2E86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8D8219" w14:textId="77777777" w:rsidR="00E040FD" w:rsidRDefault="00740D64">
            <w:pPr>
              <w:pStyle w:val="P68B1DB1-Normal23"/>
              <w:spacing w:after="0"/>
              <w:jc w:val="center"/>
              <w:rPr>
                <w:rFonts w:eastAsia="Calibri" w:cs="Calibri"/>
                <w:noProof/>
              </w:rPr>
            </w:pPr>
            <w:r>
              <w:rPr>
                <w:noProof/>
              </w:rPr>
              <w:t>17.13</w:t>
            </w:r>
          </w:p>
        </w:tc>
        <w:tc>
          <w:tcPr>
            <w:tcW w:w="1760" w:type="dxa"/>
            <w:tcBorders>
              <w:top w:val="nil"/>
              <w:left w:val="nil"/>
              <w:bottom w:val="single" w:sz="4" w:space="0" w:color="auto"/>
              <w:right w:val="single" w:sz="4" w:space="0" w:color="auto"/>
            </w:tcBorders>
            <w:shd w:val="clear" w:color="auto" w:fill="C4EFCE"/>
            <w:vAlign w:val="center"/>
            <w:hideMark/>
          </w:tcPr>
          <w:p w14:paraId="27C4D240" w14:textId="77777777" w:rsidR="00E040FD" w:rsidRDefault="00740D64">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44C29A92"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8B0AB27" w14:textId="77777777" w:rsidR="00E040FD" w:rsidRDefault="00740D64">
            <w:pPr>
              <w:pStyle w:val="P68B1DB1-Normal23"/>
              <w:spacing w:after="0"/>
              <w:jc w:val="both"/>
              <w:rPr>
                <w:rFonts w:eastAsia="Calibri" w:cs="Calibri"/>
                <w:noProof/>
              </w:rPr>
            </w:pPr>
            <w:r>
              <w:rPr>
                <w:noProof/>
              </w:rPr>
              <w:t>Slutförande av genomförandet av Sistema de Gestão de Património Imobiliário Público (SIGPIP) och moderniseringen av informationssystemen för statsägda fordon</w:t>
            </w:r>
          </w:p>
        </w:tc>
      </w:tr>
      <w:tr w:rsidR="00E040FD" w14:paraId="17F0D9F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B9E321" w14:textId="77777777" w:rsidR="00E040FD" w:rsidRDefault="00740D64">
            <w:pPr>
              <w:pStyle w:val="P68B1DB1-Normal23"/>
              <w:spacing w:after="0"/>
              <w:jc w:val="center"/>
              <w:rPr>
                <w:rFonts w:eastAsia="Calibri" w:cs="Calibri"/>
                <w:noProof/>
              </w:rPr>
            </w:pPr>
            <w:r>
              <w:rPr>
                <w:noProof/>
              </w:rPr>
              <w:t>17.25</w:t>
            </w:r>
          </w:p>
        </w:tc>
        <w:tc>
          <w:tcPr>
            <w:tcW w:w="1760" w:type="dxa"/>
            <w:tcBorders>
              <w:top w:val="nil"/>
              <w:left w:val="nil"/>
              <w:bottom w:val="single" w:sz="4" w:space="0" w:color="auto"/>
              <w:right w:val="single" w:sz="4" w:space="0" w:color="auto"/>
            </w:tcBorders>
            <w:shd w:val="clear" w:color="auto" w:fill="C4EFCE"/>
            <w:vAlign w:val="center"/>
            <w:hideMark/>
          </w:tcPr>
          <w:p w14:paraId="764B0F33" w14:textId="482904A7" w:rsidR="00E040FD" w:rsidRDefault="00740D64">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389309CC"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BEB9645" w14:textId="77777777" w:rsidR="00E040FD" w:rsidRDefault="00740D64">
            <w:pPr>
              <w:pStyle w:val="P68B1DB1-Normal23"/>
              <w:spacing w:after="0"/>
              <w:jc w:val="both"/>
              <w:rPr>
                <w:rFonts w:eastAsia="Calibri" w:cs="Calibri"/>
                <w:noProof/>
              </w:rPr>
            </w:pPr>
            <w:r>
              <w:rPr>
                <w:noProof/>
              </w:rPr>
              <w:t>Ikraftträdande av en rättsakt om beskattning – förmåner</w:t>
            </w:r>
          </w:p>
        </w:tc>
      </w:tr>
      <w:tr w:rsidR="00E040FD" w14:paraId="3C4237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E7A1BE" w14:textId="77777777" w:rsidR="00E040FD" w:rsidRDefault="00740D64">
            <w:pPr>
              <w:pStyle w:val="P68B1DB1-Normal23"/>
              <w:spacing w:after="0"/>
              <w:jc w:val="center"/>
              <w:rPr>
                <w:rFonts w:eastAsia="Calibri" w:cs="Calibri"/>
                <w:noProof/>
              </w:rPr>
            </w:pPr>
            <w:r>
              <w:rPr>
                <w:noProof/>
              </w:rPr>
              <w:t>19.2</w:t>
            </w:r>
          </w:p>
        </w:tc>
        <w:tc>
          <w:tcPr>
            <w:tcW w:w="1760" w:type="dxa"/>
            <w:tcBorders>
              <w:top w:val="nil"/>
              <w:left w:val="nil"/>
              <w:bottom w:val="single" w:sz="4" w:space="0" w:color="auto"/>
              <w:right w:val="single" w:sz="4" w:space="0" w:color="auto"/>
            </w:tcBorders>
            <w:shd w:val="clear" w:color="auto" w:fill="C4EFCE"/>
            <w:vAlign w:val="center"/>
            <w:hideMark/>
          </w:tcPr>
          <w:p w14:paraId="0A34BFE8" w14:textId="77777777" w:rsidR="00E040FD" w:rsidRDefault="00740D64">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24B2DE81"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D0ECFAE" w14:textId="77777777" w:rsidR="00E040FD" w:rsidRDefault="00740D64">
            <w:pPr>
              <w:pStyle w:val="P68B1DB1-Normal23"/>
              <w:spacing w:after="0"/>
              <w:jc w:val="both"/>
              <w:rPr>
                <w:rFonts w:eastAsia="Calibri" w:cs="Calibri"/>
                <w:noProof/>
              </w:rPr>
            </w:pPr>
            <w:r>
              <w:rPr>
                <w:noProof/>
              </w:rPr>
              <w:t>Offentliga tjänster som är tillgängliga på ett förenklat och enhetligt sätt genom olika kanaler</w:t>
            </w:r>
          </w:p>
        </w:tc>
      </w:tr>
      <w:tr w:rsidR="00E040FD" w14:paraId="30CE9AD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360BB9A" w14:textId="77777777" w:rsidR="00E040FD" w:rsidRDefault="00740D64">
            <w:pPr>
              <w:pStyle w:val="P68B1DB1-Normal23"/>
              <w:spacing w:after="0"/>
              <w:jc w:val="center"/>
              <w:rPr>
                <w:rFonts w:eastAsia="Calibri" w:cs="Calibri"/>
                <w:noProof/>
              </w:rPr>
            </w:pPr>
            <w:r>
              <w:rPr>
                <w:noProof/>
              </w:rPr>
              <w:t>19.3</w:t>
            </w:r>
          </w:p>
        </w:tc>
        <w:tc>
          <w:tcPr>
            <w:tcW w:w="1760" w:type="dxa"/>
            <w:tcBorders>
              <w:top w:val="nil"/>
              <w:left w:val="nil"/>
              <w:bottom w:val="single" w:sz="4" w:space="0" w:color="auto"/>
              <w:right w:val="single" w:sz="4" w:space="0" w:color="auto"/>
            </w:tcBorders>
            <w:shd w:val="clear" w:color="auto" w:fill="C4EFCE"/>
            <w:vAlign w:val="center"/>
            <w:hideMark/>
          </w:tcPr>
          <w:p w14:paraId="4109E567" w14:textId="77777777" w:rsidR="00E040FD" w:rsidRDefault="00740D64">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33B26DD2"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F2BDD1D" w14:textId="77777777" w:rsidR="00E040FD" w:rsidRDefault="00740D64">
            <w:pPr>
              <w:pStyle w:val="P68B1DB1-Normal23"/>
              <w:spacing w:after="0"/>
              <w:jc w:val="both"/>
              <w:rPr>
                <w:rFonts w:eastAsia="Calibri" w:cs="Calibri"/>
                <w:noProof/>
              </w:rPr>
            </w:pPr>
            <w:r>
              <w:rPr>
                <w:noProof/>
              </w:rPr>
              <w:t>Ny modell för konsulär förvaltning</w:t>
            </w:r>
          </w:p>
        </w:tc>
      </w:tr>
      <w:tr w:rsidR="00E040FD" w14:paraId="33DF1DA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172D3C" w14:textId="77777777" w:rsidR="00E040FD" w:rsidRDefault="00740D64">
            <w:pPr>
              <w:pStyle w:val="P68B1DB1-Normal23"/>
              <w:spacing w:after="0"/>
              <w:jc w:val="center"/>
              <w:rPr>
                <w:rFonts w:eastAsia="Calibri" w:cs="Calibri"/>
                <w:noProof/>
              </w:rPr>
            </w:pPr>
            <w:r>
              <w:rPr>
                <w:noProof/>
              </w:rPr>
              <w:t>19.5</w:t>
            </w:r>
          </w:p>
        </w:tc>
        <w:tc>
          <w:tcPr>
            <w:tcW w:w="1760" w:type="dxa"/>
            <w:tcBorders>
              <w:top w:val="nil"/>
              <w:left w:val="nil"/>
              <w:bottom w:val="single" w:sz="4" w:space="0" w:color="auto"/>
              <w:right w:val="single" w:sz="4" w:space="0" w:color="auto"/>
            </w:tcBorders>
            <w:shd w:val="clear" w:color="auto" w:fill="C4EFCE"/>
            <w:vAlign w:val="center"/>
            <w:hideMark/>
          </w:tcPr>
          <w:p w14:paraId="712F0553" w14:textId="77777777" w:rsidR="00E040FD" w:rsidRDefault="00740D64">
            <w:pPr>
              <w:pStyle w:val="P68B1DB1-Normal23"/>
              <w:spacing w:after="0"/>
              <w:jc w:val="center"/>
              <w:rPr>
                <w:rFonts w:eastAsia="Calibri" w:cs="Calibri"/>
                <w:noProof/>
              </w:rPr>
            </w:pPr>
            <w:r>
              <w:rPr>
                <w:noProof/>
              </w:rPr>
              <w:t>TD-C19-i02</w:t>
            </w:r>
          </w:p>
        </w:tc>
        <w:tc>
          <w:tcPr>
            <w:tcW w:w="1520" w:type="dxa"/>
            <w:tcBorders>
              <w:top w:val="nil"/>
              <w:left w:val="nil"/>
              <w:bottom w:val="single" w:sz="4" w:space="0" w:color="auto"/>
              <w:right w:val="single" w:sz="4" w:space="0" w:color="auto"/>
            </w:tcBorders>
            <w:shd w:val="clear" w:color="auto" w:fill="C4EFCE"/>
            <w:vAlign w:val="center"/>
            <w:hideMark/>
          </w:tcPr>
          <w:p w14:paraId="33EC39A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6C0A98" w14:textId="77777777" w:rsidR="00E040FD" w:rsidRDefault="00740D64">
            <w:pPr>
              <w:pStyle w:val="P68B1DB1-Normal23"/>
              <w:spacing w:after="0"/>
              <w:jc w:val="both"/>
              <w:rPr>
                <w:rFonts w:eastAsia="Calibri" w:cs="Calibri"/>
                <w:noProof/>
              </w:rPr>
            </w:pPr>
            <w:r>
              <w:rPr>
                <w:noProof/>
              </w:rPr>
              <w:t>Offentliga tjänster som är tillgängliga på ett säkert sätt med hjälp av elektronisk identitet och med respekt för engångsprincipen</w:t>
            </w:r>
          </w:p>
        </w:tc>
      </w:tr>
      <w:tr w:rsidR="00E040FD" w14:paraId="1C29A39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8208A8" w14:textId="77777777" w:rsidR="00E040FD" w:rsidRDefault="00740D64">
            <w:pPr>
              <w:pStyle w:val="P68B1DB1-Normal23"/>
              <w:spacing w:after="0"/>
              <w:jc w:val="center"/>
              <w:rPr>
                <w:rFonts w:eastAsia="Calibri" w:cs="Calibri"/>
                <w:noProof/>
              </w:rPr>
            </w:pPr>
            <w:r>
              <w:rPr>
                <w:noProof/>
              </w:rPr>
              <w:t>19.6</w:t>
            </w:r>
          </w:p>
        </w:tc>
        <w:tc>
          <w:tcPr>
            <w:tcW w:w="1760" w:type="dxa"/>
            <w:tcBorders>
              <w:top w:val="nil"/>
              <w:left w:val="nil"/>
              <w:bottom w:val="single" w:sz="4" w:space="0" w:color="auto"/>
              <w:right w:val="single" w:sz="4" w:space="0" w:color="auto"/>
            </w:tcBorders>
            <w:shd w:val="clear" w:color="auto" w:fill="C4EFCE"/>
            <w:vAlign w:val="center"/>
            <w:hideMark/>
          </w:tcPr>
          <w:p w14:paraId="4492DF36" w14:textId="77777777" w:rsidR="00E040FD" w:rsidRDefault="00740D64">
            <w:pPr>
              <w:pStyle w:val="P68B1DB1-Normal23"/>
              <w:spacing w:after="0"/>
              <w:jc w:val="center"/>
              <w:rPr>
                <w:rFonts w:eastAsia="Calibri" w:cs="Calibri"/>
                <w:noProof/>
              </w:rPr>
            </w:pPr>
            <w:r>
              <w:rPr>
                <w:noProof/>
              </w:rPr>
              <w:t>TD-C19-i02</w:t>
            </w:r>
          </w:p>
        </w:tc>
        <w:tc>
          <w:tcPr>
            <w:tcW w:w="1520" w:type="dxa"/>
            <w:tcBorders>
              <w:top w:val="nil"/>
              <w:left w:val="nil"/>
              <w:bottom w:val="single" w:sz="4" w:space="0" w:color="auto"/>
              <w:right w:val="single" w:sz="4" w:space="0" w:color="auto"/>
            </w:tcBorders>
            <w:shd w:val="clear" w:color="auto" w:fill="C4EFCE"/>
            <w:vAlign w:val="center"/>
            <w:hideMark/>
          </w:tcPr>
          <w:p w14:paraId="5189EDB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7149D1" w14:textId="77777777" w:rsidR="00E040FD" w:rsidRDefault="00740D64">
            <w:pPr>
              <w:pStyle w:val="P68B1DB1-Normal23"/>
              <w:spacing w:after="0"/>
              <w:jc w:val="both"/>
              <w:rPr>
                <w:rFonts w:eastAsia="Calibri" w:cs="Calibri"/>
                <w:noProof/>
              </w:rPr>
            </w:pPr>
            <w:r>
              <w:rPr>
                <w:noProof/>
              </w:rPr>
              <w:t>Territoriell informationsinfrastruktur</w:t>
            </w:r>
          </w:p>
        </w:tc>
      </w:tr>
      <w:tr w:rsidR="00E040FD" w14:paraId="30AE8AE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47537A4" w14:textId="77777777" w:rsidR="00E040FD" w:rsidRDefault="00740D64">
            <w:pPr>
              <w:pStyle w:val="P68B1DB1-Normal23"/>
              <w:spacing w:after="0"/>
              <w:jc w:val="center"/>
              <w:rPr>
                <w:rFonts w:eastAsia="Calibri" w:cs="Calibri"/>
                <w:noProof/>
              </w:rPr>
            </w:pPr>
            <w:r>
              <w:rPr>
                <w:noProof/>
              </w:rPr>
              <w:t>19.7</w:t>
            </w:r>
          </w:p>
        </w:tc>
        <w:tc>
          <w:tcPr>
            <w:tcW w:w="1760" w:type="dxa"/>
            <w:tcBorders>
              <w:top w:val="nil"/>
              <w:left w:val="nil"/>
              <w:bottom w:val="single" w:sz="4" w:space="0" w:color="auto"/>
              <w:right w:val="single" w:sz="4" w:space="0" w:color="auto"/>
            </w:tcBorders>
            <w:shd w:val="clear" w:color="auto" w:fill="C4EFCE"/>
            <w:vAlign w:val="center"/>
            <w:hideMark/>
          </w:tcPr>
          <w:p w14:paraId="1FE43E03" w14:textId="77777777" w:rsidR="00E040FD" w:rsidRDefault="00740D64">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122BABBF"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06869C5" w14:textId="77777777" w:rsidR="00E040FD" w:rsidRDefault="00740D64">
            <w:pPr>
              <w:pStyle w:val="P68B1DB1-Normal23"/>
              <w:spacing w:after="0"/>
              <w:jc w:val="both"/>
              <w:rPr>
                <w:rFonts w:eastAsia="Calibri" w:cs="Calibri"/>
                <w:noProof/>
              </w:rPr>
            </w:pPr>
            <w:r>
              <w:rPr>
                <w:noProof/>
              </w:rPr>
              <w:t>Utbildning av it-specialister för att stärka kapaciteten för cybersäkerhet och informationssäkerhet</w:t>
            </w:r>
          </w:p>
        </w:tc>
      </w:tr>
      <w:tr w:rsidR="00E040FD" w14:paraId="1999A62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147034" w14:textId="77777777" w:rsidR="00E040FD" w:rsidRDefault="00740D64">
            <w:pPr>
              <w:pStyle w:val="P68B1DB1-Normal23"/>
              <w:spacing w:after="0"/>
              <w:jc w:val="center"/>
              <w:rPr>
                <w:rFonts w:eastAsia="Calibri" w:cs="Calibri"/>
                <w:noProof/>
              </w:rPr>
            </w:pPr>
            <w:r>
              <w:rPr>
                <w:noProof/>
              </w:rPr>
              <w:t>19.8</w:t>
            </w:r>
          </w:p>
        </w:tc>
        <w:tc>
          <w:tcPr>
            <w:tcW w:w="1760" w:type="dxa"/>
            <w:tcBorders>
              <w:top w:val="nil"/>
              <w:left w:val="nil"/>
              <w:bottom w:val="single" w:sz="4" w:space="0" w:color="auto"/>
              <w:right w:val="single" w:sz="4" w:space="0" w:color="auto"/>
            </w:tcBorders>
            <w:shd w:val="clear" w:color="auto" w:fill="C4EFCE"/>
            <w:vAlign w:val="center"/>
            <w:hideMark/>
          </w:tcPr>
          <w:p w14:paraId="32214705" w14:textId="77777777" w:rsidR="00E040FD" w:rsidRDefault="00740D64">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41AE534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BD70B5" w14:textId="77777777" w:rsidR="00E040FD" w:rsidRDefault="00740D64">
            <w:pPr>
              <w:pStyle w:val="P68B1DB1-Normal23"/>
              <w:spacing w:after="0"/>
              <w:jc w:val="both"/>
              <w:rPr>
                <w:rFonts w:eastAsia="Calibri" w:cs="Calibri"/>
                <w:noProof/>
              </w:rPr>
            </w:pPr>
            <w:r>
              <w:rPr>
                <w:noProof/>
              </w:rPr>
              <w:t>Offentliga myndigheters antagande av den portugisiska kryptografiska lösningen</w:t>
            </w:r>
          </w:p>
        </w:tc>
      </w:tr>
      <w:tr w:rsidR="00E040FD" w14:paraId="4419910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87C3D7" w14:textId="77777777" w:rsidR="00E040FD" w:rsidRDefault="00740D64">
            <w:pPr>
              <w:pStyle w:val="P68B1DB1-Normal23"/>
              <w:spacing w:after="0"/>
              <w:jc w:val="center"/>
              <w:rPr>
                <w:rFonts w:eastAsia="Calibri" w:cs="Calibri"/>
                <w:noProof/>
              </w:rPr>
            </w:pPr>
            <w:r>
              <w:rPr>
                <w:noProof/>
              </w:rPr>
              <w:t>19.9</w:t>
            </w:r>
          </w:p>
        </w:tc>
        <w:tc>
          <w:tcPr>
            <w:tcW w:w="1760" w:type="dxa"/>
            <w:tcBorders>
              <w:top w:val="nil"/>
              <w:left w:val="nil"/>
              <w:bottom w:val="single" w:sz="4" w:space="0" w:color="auto"/>
              <w:right w:val="single" w:sz="4" w:space="0" w:color="auto"/>
            </w:tcBorders>
            <w:shd w:val="clear" w:color="auto" w:fill="C4EFCE"/>
            <w:vAlign w:val="center"/>
            <w:hideMark/>
          </w:tcPr>
          <w:p w14:paraId="1170E640" w14:textId="77777777" w:rsidR="00E040FD" w:rsidRDefault="00740D64">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333DE23E"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1D38D1" w14:textId="77777777" w:rsidR="00E040FD" w:rsidRDefault="00740D64">
            <w:pPr>
              <w:pStyle w:val="P68B1DB1-Normal23"/>
              <w:spacing w:after="0"/>
              <w:jc w:val="both"/>
              <w:rPr>
                <w:rFonts w:eastAsia="Calibri" w:cs="Calibri"/>
                <w:noProof/>
              </w:rPr>
            </w:pPr>
            <w:r>
              <w:rPr>
                <w:noProof/>
              </w:rPr>
              <w:t>Genomförande av den nationella ramen för cybersäkerhet</w:t>
            </w:r>
          </w:p>
        </w:tc>
      </w:tr>
      <w:tr w:rsidR="00E040FD" w14:paraId="07AB23E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DD90FD" w14:textId="77777777" w:rsidR="00E040FD" w:rsidRDefault="00740D64">
            <w:pPr>
              <w:pStyle w:val="P68B1DB1-Normal23"/>
              <w:spacing w:after="0"/>
              <w:jc w:val="center"/>
              <w:rPr>
                <w:rFonts w:eastAsia="Calibri" w:cs="Calibri"/>
                <w:noProof/>
              </w:rPr>
            </w:pPr>
            <w:r>
              <w:rPr>
                <w:noProof/>
              </w:rPr>
              <w:t>19.10</w:t>
            </w:r>
          </w:p>
        </w:tc>
        <w:tc>
          <w:tcPr>
            <w:tcW w:w="1760" w:type="dxa"/>
            <w:tcBorders>
              <w:top w:val="nil"/>
              <w:left w:val="nil"/>
              <w:bottom w:val="single" w:sz="4" w:space="0" w:color="auto"/>
              <w:right w:val="single" w:sz="4" w:space="0" w:color="auto"/>
            </w:tcBorders>
            <w:shd w:val="clear" w:color="auto" w:fill="C4EFCE"/>
            <w:vAlign w:val="center"/>
            <w:hideMark/>
          </w:tcPr>
          <w:p w14:paraId="060FEC6A" w14:textId="77777777" w:rsidR="00E040FD" w:rsidRDefault="00740D64">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2BED6252"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E1A606" w14:textId="77777777" w:rsidR="00E040FD" w:rsidRDefault="00740D64">
            <w:pPr>
              <w:pStyle w:val="P68B1DB1-Normal23"/>
              <w:spacing w:after="0"/>
              <w:jc w:val="both"/>
              <w:rPr>
                <w:rFonts w:eastAsia="Calibri" w:cs="Calibri"/>
                <w:noProof/>
              </w:rPr>
            </w:pPr>
            <w:r>
              <w:rPr>
                <w:noProof/>
              </w:rPr>
              <w:t>Slutförande av uppbyggnaden av myndigheter för cybersäkerhet och informationssäkerhet</w:t>
            </w:r>
          </w:p>
        </w:tc>
      </w:tr>
      <w:tr w:rsidR="00E040FD" w14:paraId="760DEC5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8D01BA" w14:textId="77777777" w:rsidR="00E040FD" w:rsidRDefault="00740D64">
            <w:pPr>
              <w:pStyle w:val="P68B1DB1-Normal23"/>
              <w:spacing w:after="0"/>
              <w:jc w:val="center"/>
              <w:rPr>
                <w:rFonts w:eastAsia="Calibri" w:cs="Calibri"/>
                <w:noProof/>
              </w:rPr>
            </w:pPr>
            <w:r>
              <w:rPr>
                <w:noProof/>
              </w:rPr>
              <w:t>19.15</w:t>
            </w:r>
          </w:p>
        </w:tc>
        <w:tc>
          <w:tcPr>
            <w:tcW w:w="1760" w:type="dxa"/>
            <w:tcBorders>
              <w:top w:val="nil"/>
              <w:left w:val="nil"/>
              <w:bottom w:val="single" w:sz="4" w:space="0" w:color="auto"/>
              <w:right w:val="single" w:sz="4" w:space="0" w:color="auto"/>
            </w:tcBorders>
            <w:shd w:val="clear" w:color="auto" w:fill="C4EFCE"/>
            <w:vAlign w:val="center"/>
            <w:hideMark/>
          </w:tcPr>
          <w:p w14:paraId="7B8807DF" w14:textId="77777777" w:rsidR="00E040FD" w:rsidRDefault="00740D64">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2CA2E4E8"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0346B88" w14:textId="77777777" w:rsidR="00E040FD" w:rsidRDefault="00740D64">
            <w:pPr>
              <w:pStyle w:val="P68B1DB1-Normal23"/>
              <w:spacing w:after="0"/>
              <w:jc w:val="both"/>
              <w:rPr>
                <w:rFonts w:eastAsia="Calibri" w:cs="Calibri"/>
                <w:noProof/>
              </w:rPr>
            </w:pPr>
            <w:r>
              <w:rPr>
                <w:noProof/>
              </w:rPr>
              <w:t>Stärka regeringens centrum för förvaltning av it-nät (RING)</w:t>
            </w:r>
          </w:p>
        </w:tc>
      </w:tr>
      <w:tr w:rsidR="00E040FD" w14:paraId="792CC6D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F2FA3D7" w14:textId="77777777" w:rsidR="00E040FD" w:rsidRDefault="00740D64">
            <w:pPr>
              <w:pStyle w:val="P68B1DB1-Normal23"/>
              <w:spacing w:after="0"/>
              <w:jc w:val="center"/>
              <w:rPr>
                <w:rFonts w:eastAsia="Calibri" w:cs="Calibri"/>
                <w:noProof/>
              </w:rPr>
            </w:pPr>
            <w:r>
              <w:rPr>
                <w:noProof/>
              </w:rPr>
              <w:t>19.21</w:t>
            </w:r>
          </w:p>
        </w:tc>
        <w:tc>
          <w:tcPr>
            <w:tcW w:w="1760" w:type="dxa"/>
            <w:tcBorders>
              <w:top w:val="nil"/>
              <w:left w:val="nil"/>
              <w:bottom w:val="single" w:sz="4" w:space="0" w:color="auto"/>
              <w:right w:val="single" w:sz="4" w:space="0" w:color="auto"/>
            </w:tcBorders>
            <w:shd w:val="clear" w:color="auto" w:fill="C4EFCE"/>
            <w:vAlign w:val="center"/>
            <w:hideMark/>
          </w:tcPr>
          <w:p w14:paraId="31AD2AD3" w14:textId="77777777" w:rsidR="00E040FD" w:rsidRDefault="00740D64">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5B50B19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1B934D6" w14:textId="77777777" w:rsidR="00E040FD" w:rsidRDefault="00740D64">
            <w:pPr>
              <w:pStyle w:val="P68B1DB1-Normal23"/>
              <w:spacing w:after="0"/>
              <w:jc w:val="both"/>
              <w:rPr>
                <w:rFonts w:eastAsia="Calibri" w:cs="Calibri"/>
                <w:noProof/>
              </w:rPr>
            </w:pPr>
            <w:r>
              <w:rPr>
                <w:noProof/>
              </w:rPr>
              <w:t>Utbildning för offentliganställda</w:t>
            </w:r>
          </w:p>
        </w:tc>
      </w:tr>
      <w:tr w:rsidR="00E040FD" w14:paraId="4D1F4A1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D407EF" w14:textId="77777777" w:rsidR="00E040FD" w:rsidRDefault="00740D64">
            <w:pPr>
              <w:pStyle w:val="P68B1DB1-Normal23"/>
              <w:spacing w:after="0"/>
              <w:jc w:val="center"/>
              <w:rPr>
                <w:rFonts w:eastAsia="Calibri" w:cs="Calibri"/>
                <w:noProof/>
              </w:rPr>
            </w:pPr>
            <w:r>
              <w:rPr>
                <w:noProof/>
              </w:rPr>
              <w:t>19.26</w:t>
            </w:r>
          </w:p>
        </w:tc>
        <w:tc>
          <w:tcPr>
            <w:tcW w:w="1760" w:type="dxa"/>
            <w:tcBorders>
              <w:top w:val="nil"/>
              <w:left w:val="nil"/>
              <w:bottom w:val="single" w:sz="4" w:space="0" w:color="auto"/>
              <w:right w:val="single" w:sz="4" w:space="0" w:color="auto"/>
            </w:tcBorders>
            <w:shd w:val="clear" w:color="auto" w:fill="C4EFCE"/>
            <w:vAlign w:val="center"/>
            <w:hideMark/>
          </w:tcPr>
          <w:p w14:paraId="724124BA" w14:textId="77777777" w:rsidR="00E040FD" w:rsidRDefault="00740D64">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482AE9A8"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152B610" w14:textId="0A982997" w:rsidR="00E040FD" w:rsidRDefault="00740D64">
            <w:pPr>
              <w:pStyle w:val="P68B1DB1-Normal23"/>
              <w:spacing w:after="0"/>
              <w:jc w:val="both"/>
              <w:rPr>
                <w:rFonts w:eastAsia="Calibri" w:cs="Calibri"/>
                <w:noProof/>
              </w:rPr>
            </w:pPr>
            <w:r>
              <w:rPr>
                <w:noProof/>
              </w:rPr>
              <w:t>Lojas do Cidadão och Espaços cidadão</w:t>
            </w:r>
          </w:p>
        </w:tc>
      </w:tr>
      <w:tr w:rsidR="00E040FD" w14:paraId="0A6C160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46A6318" w14:textId="77777777" w:rsidR="00E040FD" w:rsidRDefault="00740D64">
            <w:pPr>
              <w:pStyle w:val="P68B1DB1-Normal23"/>
              <w:spacing w:after="0"/>
              <w:jc w:val="center"/>
              <w:rPr>
                <w:rFonts w:eastAsia="Calibri" w:cs="Calibri"/>
                <w:noProof/>
              </w:rPr>
            </w:pPr>
            <w:r>
              <w:rPr>
                <w:noProof/>
              </w:rPr>
              <w:t>19.35</w:t>
            </w:r>
          </w:p>
        </w:tc>
        <w:tc>
          <w:tcPr>
            <w:tcW w:w="1760" w:type="dxa"/>
            <w:tcBorders>
              <w:top w:val="nil"/>
              <w:left w:val="nil"/>
              <w:bottom w:val="single" w:sz="4" w:space="0" w:color="auto"/>
              <w:right w:val="single" w:sz="4" w:space="0" w:color="auto"/>
            </w:tcBorders>
            <w:shd w:val="clear" w:color="auto" w:fill="C4EFCE"/>
            <w:vAlign w:val="center"/>
            <w:hideMark/>
          </w:tcPr>
          <w:p w14:paraId="40686A88" w14:textId="77777777" w:rsidR="00E040FD" w:rsidRDefault="00740D64">
            <w:pPr>
              <w:pStyle w:val="P68B1DB1-Normal23"/>
              <w:spacing w:after="0"/>
              <w:jc w:val="center"/>
              <w:rPr>
                <w:rFonts w:eastAsia="Calibri" w:cs="Calibri"/>
                <w:noProof/>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00CBC2F2"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40261BB" w14:textId="77777777" w:rsidR="00E040FD" w:rsidRDefault="00740D64">
            <w:pPr>
              <w:pStyle w:val="P68B1DB1-Normal23"/>
              <w:spacing w:after="0"/>
              <w:jc w:val="both"/>
              <w:rPr>
                <w:rFonts w:eastAsia="Calibri" w:cs="Calibri"/>
                <w:noProof/>
              </w:rPr>
            </w:pPr>
            <w:r>
              <w:rPr>
                <w:noProof/>
              </w:rPr>
              <w:t>Intelligenta territorier: Plattformar för stadsförvaltning, digitala tvillingar och offentlig politik</w:t>
            </w:r>
          </w:p>
        </w:tc>
      </w:tr>
      <w:tr w:rsidR="00E040FD" w14:paraId="680F3C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9600BD" w14:textId="77777777" w:rsidR="00E040FD" w:rsidRDefault="00740D64">
            <w:pPr>
              <w:pStyle w:val="P68B1DB1-Normal23"/>
              <w:spacing w:after="0"/>
              <w:jc w:val="center"/>
              <w:rPr>
                <w:rFonts w:eastAsia="Calibri" w:cs="Calibri"/>
                <w:noProof/>
              </w:rPr>
            </w:pPr>
            <w:r>
              <w:rPr>
                <w:noProof/>
              </w:rPr>
              <w:t>21.1</w:t>
            </w:r>
          </w:p>
        </w:tc>
        <w:tc>
          <w:tcPr>
            <w:tcW w:w="1760" w:type="dxa"/>
            <w:tcBorders>
              <w:top w:val="nil"/>
              <w:left w:val="nil"/>
              <w:bottom w:val="single" w:sz="4" w:space="0" w:color="auto"/>
              <w:right w:val="single" w:sz="4" w:space="0" w:color="auto"/>
            </w:tcBorders>
            <w:shd w:val="clear" w:color="auto" w:fill="C4EFCE"/>
            <w:vAlign w:val="center"/>
            <w:hideMark/>
          </w:tcPr>
          <w:p w14:paraId="68A75452" w14:textId="77777777" w:rsidR="00E040FD" w:rsidRDefault="00740D64">
            <w:pPr>
              <w:pStyle w:val="P68B1DB1-Normal23"/>
              <w:spacing w:after="0"/>
              <w:jc w:val="center"/>
              <w:rPr>
                <w:rFonts w:eastAsia="Calibri" w:cs="Calibri"/>
                <w:noProof/>
              </w:rPr>
            </w:pPr>
            <w:r>
              <w:rPr>
                <w:noProof/>
              </w:rPr>
              <w:t>RP-C21-i01</w:t>
            </w:r>
          </w:p>
        </w:tc>
        <w:tc>
          <w:tcPr>
            <w:tcW w:w="1520" w:type="dxa"/>
            <w:tcBorders>
              <w:top w:val="nil"/>
              <w:left w:val="nil"/>
              <w:bottom w:val="single" w:sz="4" w:space="0" w:color="auto"/>
              <w:right w:val="single" w:sz="4" w:space="0" w:color="auto"/>
            </w:tcBorders>
            <w:shd w:val="clear" w:color="auto" w:fill="C4EFCE"/>
            <w:vAlign w:val="center"/>
            <w:hideMark/>
          </w:tcPr>
          <w:p w14:paraId="765AC78B"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3A62612" w14:textId="77777777" w:rsidR="00E040FD" w:rsidRDefault="00740D64">
            <w:pPr>
              <w:pStyle w:val="P68B1DB1-Normal23"/>
              <w:spacing w:after="0"/>
              <w:jc w:val="both"/>
              <w:rPr>
                <w:rFonts w:eastAsia="Calibri" w:cs="Calibri"/>
                <w:noProof/>
              </w:rPr>
            </w:pPr>
            <w:r>
              <w:rPr>
                <w:noProof/>
              </w:rPr>
              <w:t>Ekonomiskt stöd till förenklade projekt för utfasning av fossila bränslen inom industrin</w:t>
            </w:r>
          </w:p>
        </w:tc>
      </w:tr>
      <w:tr w:rsidR="00E040FD" w14:paraId="0AB05DD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B98C020" w14:textId="77777777" w:rsidR="00E040FD" w:rsidRDefault="00740D64">
            <w:pPr>
              <w:pStyle w:val="P68B1DB1-Normal23"/>
              <w:spacing w:after="0"/>
              <w:jc w:val="center"/>
              <w:rPr>
                <w:rFonts w:eastAsia="Calibri" w:cs="Calibri"/>
                <w:noProof/>
              </w:rPr>
            </w:pPr>
            <w:r>
              <w:rPr>
                <w:noProof/>
              </w:rPr>
              <w:t>21.4</w:t>
            </w:r>
          </w:p>
        </w:tc>
        <w:tc>
          <w:tcPr>
            <w:tcW w:w="1760" w:type="dxa"/>
            <w:tcBorders>
              <w:top w:val="nil"/>
              <w:left w:val="nil"/>
              <w:bottom w:val="single" w:sz="4" w:space="0" w:color="auto"/>
              <w:right w:val="single" w:sz="4" w:space="0" w:color="auto"/>
            </w:tcBorders>
            <w:shd w:val="clear" w:color="auto" w:fill="C4EFCE"/>
            <w:vAlign w:val="center"/>
            <w:hideMark/>
          </w:tcPr>
          <w:p w14:paraId="1E0F5355" w14:textId="77777777" w:rsidR="00E040FD" w:rsidRDefault="00740D64">
            <w:pPr>
              <w:pStyle w:val="P68B1DB1-Normal23"/>
              <w:spacing w:after="0"/>
              <w:jc w:val="center"/>
              <w:rPr>
                <w:rFonts w:eastAsia="Calibri" w:cs="Calibri"/>
                <w:noProof/>
              </w:rPr>
            </w:pPr>
            <w:r>
              <w:rPr>
                <w:noProof/>
              </w:rPr>
              <w:t>RP-C21-i03</w:t>
            </w:r>
          </w:p>
        </w:tc>
        <w:tc>
          <w:tcPr>
            <w:tcW w:w="1520" w:type="dxa"/>
            <w:tcBorders>
              <w:top w:val="nil"/>
              <w:left w:val="nil"/>
              <w:bottom w:val="single" w:sz="4" w:space="0" w:color="auto"/>
              <w:right w:val="single" w:sz="4" w:space="0" w:color="auto"/>
            </w:tcBorders>
            <w:shd w:val="clear" w:color="auto" w:fill="C4EFCE"/>
            <w:vAlign w:val="center"/>
            <w:hideMark/>
          </w:tcPr>
          <w:p w14:paraId="4CFCB73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60CF8C5" w14:textId="77777777" w:rsidR="00E040FD" w:rsidRDefault="00740D64">
            <w:pPr>
              <w:pStyle w:val="P68B1DB1-Normal23"/>
              <w:spacing w:after="0"/>
              <w:jc w:val="both"/>
              <w:rPr>
                <w:rFonts w:eastAsia="Calibri" w:cs="Calibri"/>
                <w:noProof/>
              </w:rPr>
            </w:pPr>
            <w:r>
              <w:rPr>
                <w:noProof/>
              </w:rPr>
              <w:t>Energieffektiv renovering av tjänstebyggnader</w:t>
            </w:r>
          </w:p>
        </w:tc>
      </w:tr>
      <w:tr w:rsidR="00E040FD" w14:paraId="7AE3C13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B0D6E8E" w14:textId="77777777" w:rsidR="00E040FD" w:rsidRDefault="00740D64">
            <w:pPr>
              <w:pStyle w:val="P68B1DB1-Normal23"/>
              <w:spacing w:after="0"/>
              <w:jc w:val="center"/>
              <w:rPr>
                <w:rFonts w:eastAsia="Calibri" w:cs="Calibri"/>
                <w:noProof/>
              </w:rPr>
            </w:pPr>
            <w:r>
              <w:rPr>
                <w:noProof/>
              </w:rPr>
              <w:t>21.13</w:t>
            </w:r>
          </w:p>
        </w:tc>
        <w:tc>
          <w:tcPr>
            <w:tcW w:w="1760" w:type="dxa"/>
            <w:tcBorders>
              <w:top w:val="nil"/>
              <w:left w:val="nil"/>
              <w:bottom w:val="single" w:sz="4" w:space="0" w:color="auto"/>
              <w:right w:val="single" w:sz="4" w:space="0" w:color="auto"/>
            </w:tcBorders>
            <w:shd w:val="clear" w:color="auto" w:fill="C4EFCE"/>
            <w:vAlign w:val="center"/>
            <w:hideMark/>
          </w:tcPr>
          <w:p w14:paraId="3D5708D0" w14:textId="77777777" w:rsidR="00E040FD" w:rsidRDefault="00740D64">
            <w:pPr>
              <w:pStyle w:val="P68B1DB1-Normal23"/>
              <w:spacing w:after="0"/>
              <w:jc w:val="center"/>
              <w:rPr>
                <w:rFonts w:eastAsia="Calibri" w:cs="Calibri"/>
                <w:noProof/>
              </w:rPr>
            </w:pPr>
            <w:r>
              <w:rPr>
                <w:noProof/>
              </w:rPr>
              <w:t>RP-C21-i05</w:t>
            </w:r>
          </w:p>
        </w:tc>
        <w:tc>
          <w:tcPr>
            <w:tcW w:w="1520" w:type="dxa"/>
            <w:tcBorders>
              <w:top w:val="nil"/>
              <w:left w:val="nil"/>
              <w:bottom w:val="single" w:sz="4" w:space="0" w:color="auto"/>
              <w:right w:val="single" w:sz="4" w:space="0" w:color="auto"/>
            </w:tcBorders>
            <w:shd w:val="clear" w:color="auto" w:fill="C4EFCE"/>
            <w:vAlign w:val="center"/>
            <w:hideMark/>
          </w:tcPr>
          <w:p w14:paraId="4EF9FB7D"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731C1C6" w14:textId="77777777" w:rsidR="00E040FD" w:rsidRDefault="00740D64">
            <w:pPr>
              <w:pStyle w:val="P68B1DB1-Normal23"/>
              <w:spacing w:after="0"/>
              <w:jc w:val="both"/>
              <w:rPr>
                <w:rFonts w:eastAsia="Calibri" w:cs="Calibri"/>
                <w:noProof/>
              </w:rPr>
            </w:pPr>
            <w:r>
              <w:rPr>
                <w:noProof/>
              </w:rPr>
              <w:t>Slutförande av 5 industriprojekt inom strategisk teknik för klimatomställningen</w:t>
            </w:r>
          </w:p>
        </w:tc>
      </w:tr>
      <w:tr w:rsidR="00E040FD" w14:paraId="46B66D6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E773CBC" w14:textId="77777777" w:rsidR="00E040FD" w:rsidRDefault="00740D64">
            <w:pPr>
              <w:pStyle w:val="P68B1DB1-Normal23"/>
              <w:spacing w:after="0"/>
              <w:jc w:val="center"/>
              <w:rPr>
                <w:rFonts w:eastAsia="Calibri" w:cs="Calibri"/>
                <w:noProof/>
              </w:rPr>
            </w:pPr>
            <w:r>
              <w:rPr>
                <w:noProof/>
              </w:rPr>
              <w:t>21.25</w:t>
            </w:r>
          </w:p>
        </w:tc>
        <w:tc>
          <w:tcPr>
            <w:tcW w:w="1760" w:type="dxa"/>
            <w:tcBorders>
              <w:top w:val="nil"/>
              <w:left w:val="nil"/>
              <w:bottom w:val="single" w:sz="4" w:space="0" w:color="auto"/>
              <w:right w:val="single" w:sz="4" w:space="0" w:color="auto"/>
            </w:tcBorders>
            <w:shd w:val="clear" w:color="auto" w:fill="C4EFCE"/>
            <w:vAlign w:val="center"/>
            <w:hideMark/>
          </w:tcPr>
          <w:p w14:paraId="0F61BA2A" w14:textId="0F7A2382" w:rsidR="00E040FD" w:rsidRDefault="00740D64">
            <w:pPr>
              <w:pStyle w:val="P68B1DB1-Normal23"/>
              <w:spacing w:after="0"/>
              <w:jc w:val="center"/>
              <w:rPr>
                <w:rFonts w:eastAsia="Calibri" w:cs="Calibri"/>
                <w:noProof/>
              </w:rPr>
            </w:pPr>
            <w:r>
              <w:rPr>
                <w:noProof/>
              </w:rPr>
              <w:t>RP-C21-i06</w:t>
            </w:r>
          </w:p>
        </w:tc>
        <w:tc>
          <w:tcPr>
            <w:tcW w:w="1520" w:type="dxa"/>
            <w:tcBorders>
              <w:top w:val="nil"/>
              <w:left w:val="nil"/>
              <w:bottom w:val="single" w:sz="4" w:space="0" w:color="auto"/>
              <w:right w:val="single" w:sz="4" w:space="0" w:color="auto"/>
            </w:tcBorders>
            <w:shd w:val="clear" w:color="auto" w:fill="C4EFCE"/>
            <w:vAlign w:val="center"/>
            <w:hideMark/>
          </w:tcPr>
          <w:p w14:paraId="332F83C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DF0458" w14:textId="77777777" w:rsidR="00E040FD" w:rsidRDefault="00740D64">
            <w:pPr>
              <w:pStyle w:val="P68B1DB1-Normal23"/>
              <w:spacing w:after="0"/>
              <w:jc w:val="both"/>
              <w:rPr>
                <w:rFonts w:eastAsia="Calibri" w:cs="Calibri"/>
                <w:noProof/>
              </w:rPr>
            </w:pPr>
            <w:r>
              <w:rPr>
                <w:noProof/>
              </w:rPr>
              <w:t>Ytterligare produktionskapacitet för förnybar vätgas och förnybar gas</w:t>
            </w:r>
          </w:p>
        </w:tc>
      </w:tr>
      <w:tr w:rsidR="00E040FD" w14:paraId="7AE9352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8FBC31" w14:textId="77777777" w:rsidR="00E040FD" w:rsidRDefault="00740D64">
            <w:pPr>
              <w:pStyle w:val="P68B1DB1-Normal23"/>
              <w:spacing w:after="0"/>
              <w:jc w:val="center"/>
              <w:rPr>
                <w:rFonts w:eastAsia="Calibri" w:cs="Calibri"/>
                <w:noProof/>
              </w:rPr>
            </w:pPr>
            <w:r>
              <w:rPr>
                <w:noProof/>
              </w:rPr>
              <w:t>21.27</w:t>
            </w:r>
          </w:p>
        </w:tc>
        <w:tc>
          <w:tcPr>
            <w:tcW w:w="1760" w:type="dxa"/>
            <w:tcBorders>
              <w:top w:val="nil"/>
              <w:left w:val="nil"/>
              <w:bottom w:val="single" w:sz="4" w:space="0" w:color="auto"/>
              <w:right w:val="single" w:sz="4" w:space="0" w:color="auto"/>
            </w:tcBorders>
            <w:shd w:val="clear" w:color="auto" w:fill="C4EFCE"/>
            <w:vAlign w:val="center"/>
            <w:hideMark/>
          </w:tcPr>
          <w:p w14:paraId="28339159" w14:textId="7DD243E3" w:rsidR="00E040FD" w:rsidRDefault="00740D64">
            <w:pPr>
              <w:pStyle w:val="P68B1DB1-Normal23"/>
              <w:spacing w:after="0"/>
              <w:jc w:val="center"/>
              <w:rPr>
                <w:rFonts w:eastAsia="Calibri" w:cs="Calibri"/>
                <w:noProof/>
              </w:rPr>
            </w:pPr>
            <w:r>
              <w:rPr>
                <w:noProof/>
              </w:rPr>
              <w:t>RP-C21-i07</w:t>
            </w:r>
          </w:p>
        </w:tc>
        <w:tc>
          <w:tcPr>
            <w:tcW w:w="1520" w:type="dxa"/>
            <w:tcBorders>
              <w:top w:val="nil"/>
              <w:left w:val="nil"/>
              <w:bottom w:val="single" w:sz="4" w:space="0" w:color="auto"/>
              <w:right w:val="single" w:sz="4" w:space="0" w:color="auto"/>
            </w:tcBorders>
            <w:shd w:val="clear" w:color="auto" w:fill="C4EFCE"/>
            <w:vAlign w:val="center"/>
            <w:hideMark/>
          </w:tcPr>
          <w:p w14:paraId="5D5BCC3C"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5B70FE3" w14:textId="2301AE6C" w:rsidR="00E040FD" w:rsidRDefault="00740D64">
            <w:pPr>
              <w:pStyle w:val="P68B1DB1-Normal23"/>
              <w:spacing w:after="0"/>
              <w:jc w:val="both"/>
              <w:rPr>
                <w:rFonts w:eastAsia="Calibri" w:cs="Calibri"/>
                <w:noProof/>
              </w:rPr>
            </w:pPr>
            <w:r>
              <w:rPr>
                <w:noProof/>
              </w:rPr>
              <w:t>Slutförande av tekniska studier för havsbaserad vindkraft</w:t>
            </w:r>
          </w:p>
        </w:tc>
      </w:tr>
      <w:tr w:rsidR="00E040FD" w14:paraId="407BDDC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A81FA2" w14:textId="77777777" w:rsidR="00E040FD" w:rsidRDefault="00740D64">
            <w:pPr>
              <w:pStyle w:val="P68B1DB1-Normal23"/>
              <w:spacing w:after="0"/>
              <w:jc w:val="center"/>
              <w:rPr>
                <w:rFonts w:eastAsia="Calibri" w:cs="Calibri"/>
                <w:noProof/>
              </w:rPr>
            </w:pPr>
            <w:r>
              <w:rPr>
                <w:noProof/>
              </w:rPr>
              <w:t>21.33</w:t>
            </w:r>
          </w:p>
        </w:tc>
        <w:tc>
          <w:tcPr>
            <w:tcW w:w="1760" w:type="dxa"/>
            <w:tcBorders>
              <w:top w:val="nil"/>
              <w:left w:val="nil"/>
              <w:bottom w:val="single" w:sz="4" w:space="0" w:color="auto"/>
              <w:right w:val="single" w:sz="4" w:space="0" w:color="auto"/>
            </w:tcBorders>
            <w:shd w:val="clear" w:color="auto" w:fill="C4EFCE"/>
            <w:vAlign w:val="center"/>
            <w:hideMark/>
          </w:tcPr>
          <w:p w14:paraId="4FD27260" w14:textId="4C1DF387" w:rsidR="00E040FD" w:rsidRDefault="00740D64">
            <w:pPr>
              <w:pStyle w:val="P68B1DB1-Normal23"/>
              <w:spacing w:after="0"/>
              <w:jc w:val="center"/>
              <w:rPr>
                <w:rFonts w:eastAsia="Calibri" w:cs="Calibri"/>
                <w:noProof/>
              </w:rPr>
            </w:pPr>
            <w:r>
              <w:rPr>
                <w:noProof/>
              </w:rPr>
              <w:t>RP-C21-i11-RAM</w:t>
            </w:r>
          </w:p>
        </w:tc>
        <w:tc>
          <w:tcPr>
            <w:tcW w:w="1520" w:type="dxa"/>
            <w:tcBorders>
              <w:top w:val="nil"/>
              <w:left w:val="nil"/>
              <w:bottom w:val="single" w:sz="4" w:space="0" w:color="auto"/>
              <w:right w:val="single" w:sz="4" w:space="0" w:color="auto"/>
            </w:tcBorders>
            <w:shd w:val="clear" w:color="auto" w:fill="C4EFCE"/>
            <w:vAlign w:val="center"/>
            <w:hideMark/>
          </w:tcPr>
          <w:p w14:paraId="577AB5A0"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996926B" w14:textId="77777777" w:rsidR="00E040FD" w:rsidRDefault="00740D64">
            <w:pPr>
              <w:pStyle w:val="P68B1DB1-Normal23"/>
              <w:spacing w:after="0"/>
              <w:jc w:val="both"/>
              <w:rPr>
                <w:rFonts w:eastAsia="Calibri" w:cs="Calibri"/>
                <w:noProof/>
              </w:rPr>
            </w:pPr>
            <w:r>
              <w:rPr>
                <w:noProof/>
              </w:rPr>
              <w:t>Ökning av installerad kapacitet i enheter för produktion av förnybar energi för egen förbrukning och ökning av installerad lagringskapacitet för egenförbrukning</w:t>
            </w:r>
          </w:p>
        </w:tc>
      </w:tr>
      <w:tr w:rsidR="00E040FD" w14:paraId="40AE930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AF8CD86" w14:textId="77777777" w:rsidR="00E040FD" w:rsidRDefault="00740D64">
            <w:pPr>
              <w:pStyle w:val="P68B1DB1-Normal23"/>
              <w:spacing w:after="0"/>
              <w:jc w:val="center"/>
              <w:rPr>
                <w:rFonts w:eastAsia="Calibri" w:cs="Calibri"/>
                <w:noProof/>
              </w:rPr>
            </w:pPr>
            <w:r>
              <w:rPr>
                <w:noProof/>
              </w:rPr>
              <w:t>21.36</w:t>
            </w:r>
          </w:p>
        </w:tc>
        <w:tc>
          <w:tcPr>
            <w:tcW w:w="1760" w:type="dxa"/>
            <w:tcBorders>
              <w:top w:val="nil"/>
              <w:left w:val="nil"/>
              <w:bottom w:val="single" w:sz="4" w:space="0" w:color="auto"/>
              <w:right w:val="single" w:sz="4" w:space="0" w:color="auto"/>
            </w:tcBorders>
            <w:shd w:val="clear" w:color="auto" w:fill="C4EFCE"/>
            <w:vAlign w:val="center"/>
            <w:hideMark/>
          </w:tcPr>
          <w:p w14:paraId="65F17587" w14:textId="24D99CE2" w:rsidR="00E040FD" w:rsidRDefault="00740D64">
            <w:pPr>
              <w:pStyle w:val="P68B1DB1-Normal23"/>
              <w:spacing w:after="0"/>
              <w:jc w:val="center"/>
              <w:rPr>
                <w:rFonts w:eastAsia="Calibri" w:cs="Calibri"/>
                <w:noProof/>
              </w:rPr>
            </w:pPr>
            <w:r>
              <w:rPr>
                <w:noProof/>
              </w:rPr>
              <w:t>RP-C21-i12</w:t>
            </w:r>
          </w:p>
        </w:tc>
        <w:tc>
          <w:tcPr>
            <w:tcW w:w="1520" w:type="dxa"/>
            <w:tcBorders>
              <w:top w:val="nil"/>
              <w:left w:val="nil"/>
              <w:bottom w:val="single" w:sz="4" w:space="0" w:color="auto"/>
              <w:right w:val="single" w:sz="4" w:space="0" w:color="auto"/>
            </w:tcBorders>
            <w:shd w:val="clear" w:color="auto" w:fill="C4EFCE"/>
            <w:vAlign w:val="center"/>
            <w:hideMark/>
          </w:tcPr>
          <w:p w14:paraId="7B36B2F3"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C7C1E97" w14:textId="77777777" w:rsidR="00E040FD" w:rsidRDefault="00740D64">
            <w:pPr>
              <w:pStyle w:val="P68B1DB1-Normal23"/>
              <w:spacing w:after="0"/>
              <w:jc w:val="both"/>
              <w:rPr>
                <w:rFonts w:eastAsia="Calibri" w:cs="Calibri"/>
                <w:noProof/>
              </w:rPr>
            </w:pPr>
            <w:r>
              <w:rPr>
                <w:noProof/>
              </w:rPr>
              <w:t>Inköp av nya utsläppsfria bussar (el- eller vätgasbussar) som används för kollektivtrafik</w:t>
            </w:r>
          </w:p>
        </w:tc>
      </w:tr>
      <w:tr w:rsidR="00E040FD" w14:paraId="4BDD8A3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44C0782" w14:textId="77777777" w:rsidR="00E040FD" w:rsidRDefault="00740D64">
            <w:pPr>
              <w:pStyle w:val="P68B1DB1-Normal23"/>
              <w:spacing w:after="0"/>
              <w:jc w:val="center"/>
              <w:rPr>
                <w:rFonts w:eastAsia="Calibri" w:cs="Calibri"/>
                <w:noProof/>
              </w:rPr>
            </w:pPr>
            <w:r>
              <w:rPr>
                <w:noProof/>
              </w:rPr>
              <w:t>21.37</w:t>
            </w:r>
          </w:p>
        </w:tc>
        <w:tc>
          <w:tcPr>
            <w:tcW w:w="1760" w:type="dxa"/>
            <w:tcBorders>
              <w:top w:val="nil"/>
              <w:left w:val="nil"/>
              <w:bottom w:val="single" w:sz="4" w:space="0" w:color="auto"/>
              <w:right w:val="single" w:sz="4" w:space="0" w:color="auto"/>
            </w:tcBorders>
            <w:shd w:val="clear" w:color="auto" w:fill="C4EFCE"/>
            <w:vAlign w:val="center"/>
            <w:hideMark/>
          </w:tcPr>
          <w:p w14:paraId="73C8B906" w14:textId="298D8B93" w:rsidR="00E040FD" w:rsidRDefault="00740D64">
            <w:pPr>
              <w:pStyle w:val="P68B1DB1-Normal23"/>
              <w:spacing w:after="0"/>
              <w:jc w:val="center"/>
              <w:rPr>
                <w:rFonts w:eastAsia="Calibri" w:cs="Calibri"/>
                <w:noProof/>
              </w:rPr>
            </w:pPr>
            <w:r>
              <w:rPr>
                <w:noProof/>
              </w:rPr>
              <w:t>RP-C21-i13-RAM</w:t>
            </w:r>
          </w:p>
        </w:tc>
        <w:tc>
          <w:tcPr>
            <w:tcW w:w="1520" w:type="dxa"/>
            <w:tcBorders>
              <w:top w:val="nil"/>
              <w:left w:val="nil"/>
              <w:bottom w:val="single" w:sz="4" w:space="0" w:color="auto"/>
              <w:right w:val="single" w:sz="4" w:space="0" w:color="auto"/>
            </w:tcBorders>
            <w:shd w:val="clear" w:color="auto" w:fill="C4EFCE"/>
            <w:vAlign w:val="center"/>
            <w:hideMark/>
          </w:tcPr>
          <w:p w14:paraId="766F2139"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05A8643" w14:textId="77777777" w:rsidR="00E040FD" w:rsidRDefault="00740D64">
            <w:pPr>
              <w:pStyle w:val="P68B1DB1-Normal23"/>
              <w:spacing w:after="0"/>
              <w:jc w:val="both"/>
              <w:rPr>
                <w:rFonts w:eastAsia="Calibri" w:cs="Calibri"/>
                <w:noProof/>
              </w:rPr>
            </w:pPr>
            <w:r>
              <w:rPr>
                <w:noProof/>
              </w:rPr>
              <w:t>Inköp av nya utsläppsfria bussar (el- eller vätgasbussar) som används för kollektivtrafik och turisttjänster och inköp av elbilar som ersätter skrotade fordon</w:t>
            </w:r>
          </w:p>
        </w:tc>
      </w:tr>
      <w:tr w:rsidR="00E040FD" w14:paraId="5FC25D8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0D0E18" w14:textId="77777777" w:rsidR="00E040FD" w:rsidRDefault="00740D64">
            <w:pPr>
              <w:pStyle w:val="P68B1DB1-Normal23"/>
              <w:spacing w:after="0"/>
              <w:jc w:val="center"/>
              <w:rPr>
                <w:rFonts w:eastAsia="Calibri" w:cs="Calibri"/>
                <w:noProof/>
              </w:rPr>
            </w:pPr>
            <w:r>
              <w:rPr>
                <w:noProof/>
              </w:rPr>
              <w:t>21.39</w:t>
            </w:r>
          </w:p>
        </w:tc>
        <w:tc>
          <w:tcPr>
            <w:tcW w:w="1760" w:type="dxa"/>
            <w:tcBorders>
              <w:top w:val="nil"/>
              <w:left w:val="nil"/>
              <w:bottom w:val="single" w:sz="4" w:space="0" w:color="auto"/>
              <w:right w:val="single" w:sz="4" w:space="0" w:color="auto"/>
            </w:tcBorders>
            <w:shd w:val="clear" w:color="auto" w:fill="C4EFCE"/>
            <w:vAlign w:val="center"/>
            <w:hideMark/>
          </w:tcPr>
          <w:p w14:paraId="48E27095" w14:textId="5DA60FB6" w:rsidR="00E040FD" w:rsidRDefault="00740D64">
            <w:pPr>
              <w:pStyle w:val="P68B1DB1-Normal23"/>
              <w:spacing w:after="0"/>
              <w:jc w:val="center"/>
              <w:rPr>
                <w:rFonts w:eastAsia="Calibri" w:cs="Calibri"/>
                <w:noProof/>
              </w:rPr>
            </w:pPr>
            <w:r>
              <w:rPr>
                <w:noProof/>
              </w:rPr>
              <w:t>RP-C21-i14</w:t>
            </w:r>
          </w:p>
        </w:tc>
        <w:tc>
          <w:tcPr>
            <w:tcW w:w="1520" w:type="dxa"/>
            <w:tcBorders>
              <w:top w:val="nil"/>
              <w:left w:val="nil"/>
              <w:bottom w:val="single" w:sz="4" w:space="0" w:color="auto"/>
              <w:right w:val="single" w:sz="4" w:space="0" w:color="auto"/>
            </w:tcBorders>
            <w:shd w:val="clear" w:color="auto" w:fill="C4EFCE"/>
            <w:vAlign w:val="center"/>
            <w:hideMark/>
          </w:tcPr>
          <w:p w14:paraId="3205D102"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42FFB24" w14:textId="77777777" w:rsidR="00E040FD" w:rsidRDefault="00740D64">
            <w:pPr>
              <w:pStyle w:val="P68B1DB1-Normal23"/>
              <w:spacing w:after="0"/>
              <w:jc w:val="both"/>
              <w:rPr>
                <w:rFonts w:eastAsia="Calibri" w:cs="Calibri"/>
                <w:noProof/>
              </w:rPr>
            </w:pPr>
            <w:r>
              <w:rPr>
                <w:noProof/>
              </w:rPr>
              <w:t>Byggande av två busslinjer för snabb transitering i Braga</w:t>
            </w:r>
          </w:p>
        </w:tc>
      </w:tr>
      <w:tr w:rsidR="00E040FD" w14:paraId="3E530F0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E8A1E5E" w14:textId="77777777" w:rsidR="00E040FD" w:rsidRDefault="00740D64">
            <w:pPr>
              <w:pStyle w:val="P68B1DB1-Normal23"/>
              <w:spacing w:after="0"/>
              <w:jc w:val="center"/>
              <w:rPr>
                <w:rFonts w:eastAsia="Calibri" w:cs="Calibri"/>
                <w:noProof/>
              </w:rPr>
            </w:pPr>
            <w:r>
              <w:rPr>
                <w:noProof/>
              </w:rPr>
              <w:t>21.43</w:t>
            </w:r>
          </w:p>
        </w:tc>
        <w:tc>
          <w:tcPr>
            <w:tcW w:w="1760" w:type="dxa"/>
            <w:tcBorders>
              <w:top w:val="nil"/>
              <w:left w:val="nil"/>
              <w:bottom w:val="single" w:sz="4" w:space="0" w:color="auto"/>
              <w:right w:val="single" w:sz="4" w:space="0" w:color="auto"/>
            </w:tcBorders>
            <w:shd w:val="clear" w:color="auto" w:fill="C4EFCE"/>
            <w:vAlign w:val="center"/>
            <w:hideMark/>
          </w:tcPr>
          <w:p w14:paraId="53BBC354" w14:textId="6D59C203" w:rsidR="00E040FD" w:rsidRDefault="00740D64">
            <w:pPr>
              <w:pStyle w:val="P68B1DB1-Normal23"/>
              <w:spacing w:after="0"/>
              <w:jc w:val="center"/>
              <w:rPr>
                <w:rFonts w:eastAsia="Calibri" w:cs="Calibri"/>
                <w:noProof/>
              </w:rPr>
            </w:pPr>
            <w:r>
              <w:rPr>
                <w:noProof/>
              </w:rPr>
              <w:t>RP-C21-i16</w:t>
            </w:r>
          </w:p>
        </w:tc>
        <w:tc>
          <w:tcPr>
            <w:tcW w:w="1520" w:type="dxa"/>
            <w:tcBorders>
              <w:top w:val="nil"/>
              <w:left w:val="nil"/>
              <w:bottom w:val="single" w:sz="4" w:space="0" w:color="auto"/>
              <w:right w:val="single" w:sz="4" w:space="0" w:color="auto"/>
            </w:tcBorders>
            <w:shd w:val="clear" w:color="auto" w:fill="C4EFCE"/>
            <w:vAlign w:val="center"/>
            <w:hideMark/>
          </w:tcPr>
          <w:p w14:paraId="65415CC8"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915ABF" w14:textId="42D35AB7" w:rsidR="00E040FD" w:rsidRDefault="00740D64">
            <w:pPr>
              <w:pStyle w:val="P68B1DB1-Normal23"/>
              <w:spacing w:after="0"/>
              <w:jc w:val="both"/>
              <w:rPr>
                <w:rFonts w:eastAsia="Calibri" w:cs="Calibri"/>
                <w:noProof/>
              </w:rPr>
            </w:pPr>
            <w:r>
              <w:rPr>
                <w:noProof/>
              </w:rPr>
              <w:t>Konstruktion av en bergbana</w:t>
            </w:r>
          </w:p>
        </w:tc>
      </w:tr>
      <w:tr w:rsidR="00E040FD" w14:paraId="69534CE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375525F" w14:textId="77777777" w:rsidR="00E040FD" w:rsidRDefault="00E040FD">
            <w:pPr>
              <w:spacing w:after="0"/>
              <w:jc w:val="center"/>
              <w:rPr>
                <w:rFonts w:ascii="Calibri" w:eastAsia="Calibri" w:hAnsi="Calibri" w:cs="Calibri"/>
                <w:noProof/>
                <w:sz w:val="16"/>
              </w:rPr>
            </w:pPr>
          </w:p>
        </w:tc>
        <w:tc>
          <w:tcPr>
            <w:tcW w:w="1760" w:type="dxa"/>
            <w:tcBorders>
              <w:top w:val="nil"/>
              <w:left w:val="nil"/>
              <w:bottom w:val="single" w:sz="4" w:space="0" w:color="auto"/>
              <w:right w:val="single" w:sz="4" w:space="0" w:color="auto"/>
            </w:tcBorders>
            <w:shd w:val="clear" w:color="auto" w:fill="C4EFCE"/>
            <w:vAlign w:val="center"/>
            <w:hideMark/>
          </w:tcPr>
          <w:p w14:paraId="16E5C887" w14:textId="77777777" w:rsidR="00E040FD" w:rsidRDefault="00E040FD">
            <w:pPr>
              <w:spacing w:after="0"/>
              <w:jc w:val="center"/>
              <w:rPr>
                <w:rFonts w:ascii="Calibri" w:eastAsia="Calibri" w:hAnsi="Calibri" w:cs="Calibri"/>
                <w:noProof/>
                <w:sz w:val="16"/>
              </w:rPr>
            </w:pPr>
          </w:p>
        </w:tc>
        <w:tc>
          <w:tcPr>
            <w:tcW w:w="1520" w:type="dxa"/>
            <w:tcBorders>
              <w:top w:val="nil"/>
              <w:left w:val="nil"/>
              <w:bottom w:val="single" w:sz="4" w:space="0" w:color="auto"/>
              <w:right w:val="single" w:sz="4" w:space="0" w:color="auto"/>
            </w:tcBorders>
            <w:shd w:val="clear" w:color="auto" w:fill="C4EFCE"/>
            <w:vAlign w:val="center"/>
            <w:hideMark/>
          </w:tcPr>
          <w:p w14:paraId="084A977F"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tcBorders>
              <w:top w:val="nil"/>
              <w:left w:val="nil"/>
              <w:bottom w:val="single" w:sz="4" w:space="0" w:color="auto"/>
              <w:right w:val="single" w:sz="4" w:space="0" w:color="auto"/>
            </w:tcBorders>
            <w:shd w:val="clear" w:color="auto" w:fill="C4EFCE"/>
            <w:vAlign w:val="center"/>
            <w:hideMark/>
          </w:tcPr>
          <w:p w14:paraId="30A29C4F" w14:textId="5D4F15E5" w:rsidR="00E040FD" w:rsidRDefault="00740D64">
            <w:pPr>
              <w:pStyle w:val="P68B1DB1-Normal25"/>
              <w:spacing w:after="0" w:line="240" w:lineRule="auto"/>
              <w:jc w:val="center"/>
              <w:rPr>
                <w:rFonts w:cs="Calibri"/>
                <w:noProof/>
              </w:rPr>
            </w:pPr>
            <w:r>
              <w:rPr>
                <w:noProof/>
              </w:rPr>
              <w:t xml:space="preserve"> 2 030 690 350 EUR </w:t>
            </w:r>
          </w:p>
        </w:tc>
      </w:tr>
    </w:tbl>
    <w:p w14:paraId="4422C564" w14:textId="77777777" w:rsidR="00E040FD" w:rsidRDefault="00E040FD">
      <w:pPr>
        <w:keepNext/>
        <w:spacing w:before="40" w:after="0" w:line="259" w:lineRule="auto"/>
        <w:ind w:left="360"/>
        <w:jc w:val="both"/>
        <w:outlineLvl w:val="1"/>
        <w:rPr>
          <w:rFonts w:ascii="Times New Roman" w:eastAsiaTheme="majorEastAsia" w:hAnsi="Times New Roman" w:cs="Times New Roman"/>
          <w:b/>
          <w:noProof/>
          <w:sz w:val="24"/>
          <w:u w:val="single"/>
        </w:rPr>
      </w:pPr>
    </w:p>
    <w:p w14:paraId="118A5FEC" w14:textId="77777777" w:rsidR="00E040FD" w:rsidRDefault="00740D64">
      <w:pPr>
        <w:pStyle w:val="P68B1DB1-Normal3"/>
        <w:keepNext/>
        <w:numPr>
          <w:ilvl w:val="0"/>
          <w:numId w:val="19"/>
        </w:numPr>
        <w:spacing w:before="40" w:after="0" w:line="259" w:lineRule="auto"/>
        <w:jc w:val="both"/>
        <w:outlineLvl w:val="1"/>
        <w:rPr>
          <w:rFonts w:eastAsiaTheme="majorEastAsia" w:cs="Times New Roman"/>
          <w:noProof/>
        </w:rPr>
      </w:pPr>
      <w:r>
        <w:rPr>
          <w:noProof/>
        </w:rPr>
        <w:t xml:space="preserve">Lån </w:t>
      </w:r>
    </w:p>
    <w:p w14:paraId="6BCD5950" w14:textId="77777777" w:rsidR="00E040FD" w:rsidRDefault="00740D64">
      <w:pPr>
        <w:pStyle w:val="P68B1DB1-Normal4"/>
        <w:keepNext/>
        <w:spacing w:before="40" w:after="0" w:line="259" w:lineRule="auto"/>
        <w:jc w:val="both"/>
        <w:rPr>
          <w:rFonts w:eastAsiaTheme="minorEastAsia" w:cs="Times New Roman"/>
          <w:noProof/>
        </w:rPr>
      </w:pPr>
      <w:r>
        <w:rPr>
          <w:noProof/>
        </w:rPr>
        <w:t>De delbetalningar som avses i artikel 3.2 ska organiseras på följande sätt:</w:t>
      </w:r>
    </w:p>
    <w:p w14:paraId="3FE85171" w14:textId="77777777" w:rsidR="00E040FD" w:rsidRDefault="00E040FD">
      <w:pPr>
        <w:keepNext/>
        <w:spacing w:after="160" w:line="259" w:lineRule="auto"/>
        <w:ind w:left="360"/>
        <w:contextualSpacing/>
        <w:jc w:val="both"/>
        <w:rPr>
          <w:rFonts w:ascii="Times New Roman" w:eastAsiaTheme="minorEastAsia" w:hAnsi="Times New Roman" w:cs="Times New Roman"/>
          <w:noProof/>
          <w:sz w:val="24"/>
        </w:rPr>
      </w:pPr>
    </w:p>
    <w:p w14:paraId="4E892DCC"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Första betalningsansökan (lånestöd):</w:t>
      </w:r>
    </w:p>
    <w:p w14:paraId="7FAECB77"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48"/>
        <w:gridCol w:w="1515"/>
        <w:gridCol w:w="4983"/>
      </w:tblGrid>
      <w:tr w:rsidR="00E040FD" w14:paraId="074834ED" w14:textId="77777777">
        <w:trPr>
          <w:trHeight w:val="509"/>
          <w:tblHeader/>
        </w:trPr>
        <w:tc>
          <w:tcPr>
            <w:tcW w:w="1200" w:type="dxa"/>
            <w:vMerge w:val="restart"/>
            <w:shd w:val="clear" w:color="auto" w:fill="BDD7EE"/>
            <w:vAlign w:val="center"/>
            <w:hideMark/>
          </w:tcPr>
          <w:p w14:paraId="6FC084B2"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vMerge w:val="restart"/>
            <w:shd w:val="clear" w:color="auto" w:fill="BDD7EE"/>
            <w:vAlign w:val="center"/>
            <w:hideMark/>
          </w:tcPr>
          <w:p w14:paraId="47AF933B"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vMerge w:val="restart"/>
            <w:shd w:val="clear" w:color="auto" w:fill="BDD7EE"/>
            <w:vAlign w:val="center"/>
            <w:hideMark/>
          </w:tcPr>
          <w:p w14:paraId="35B00DEF"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vMerge w:val="restart"/>
            <w:shd w:val="clear" w:color="auto" w:fill="BDD7EE"/>
            <w:vAlign w:val="center"/>
            <w:hideMark/>
          </w:tcPr>
          <w:p w14:paraId="3E1358F3"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69B5D785" w14:textId="77777777">
        <w:trPr>
          <w:trHeight w:val="509"/>
        </w:trPr>
        <w:tc>
          <w:tcPr>
            <w:tcW w:w="1200" w:type="dxa"/>
            <w:vMerge/>
            <w:vAlign w:val="center"/>
            <w:hideMark/>
          </w:tcPr>
          <w:p w14:paraId="782328FC" w14:textId="77777777" w:rsidR="00E040FD" w:rsidRDefault="00E040FD">
            <w:pPr>
              <w:spacing w:after="0" w:line="240" w:lineRule="auto"/>
              <w:rPr>
                <w:rFonts w:ascii="Times New Roman" w:eastAsia="Times New Roman" w:hAnsi="Times New Roman" w:cs="Times New Roman"/>
                <w:noProof/>
                <w:sz w:val="20"/>
              </w:rPr>
            </w:pPr>
          </w:p>
        </w:tc>
        <w:tc>
          <w:tcPr>
            <w:tcW w:w="1760" w:type="dxa"/>
            <w:vMerge/>
            <w:vAlign w:val="center"/>
            <w:hideMark/>
          </w:tcPr>
          <w:p w14:paraId="77E830EC" w14:textId="77777777" w:rsidR="00E040FD" w:rsidRDefault="00E040FD">
            <w:pPr>
              <w:spacing w:after="0" w:line="240" w:lineRule="auto"/>
              <w:rPr>
                <w:rFonts w:ascii="Times New Roman" w:eastAsia="Times New Roman" w:hAnsi="Times New Roman" w:cs="Times New Roman"/>
                <w:noProof/>
                <w:sz w:val="20"/>
              </w:rPr>
            </w:pPr>
          </w:p>
        </w:tc>
        <w:tc>
          <w:tcPr>
            <w:tcW w:w="1520" w:type="dxa"/>
            <w:vMerge/>
            <w:vAlign w:val="center"/>
            <w:hideMark/>
          </w:tcPr>
          <w:p w14:paraId="21A9C4CC" w14:textId="77777777" w:rsidR="00E040FD" w:rsidRDefault="00E040FD">
            <w:pPr>
              <w:spacing w:after="0" w:line="240" w:lineRule="auto"/>
              <w:rPr>
                <w:rFonts w:ascii="Times New Roman" w:eastAsia="Times New Roman" w:hAnsi="Times New Roman" w:cs="Times New Roman"/>
                <w:noProof/>
                <w:sz w:val="20"/>
              </w:rPr>
            </w:pPr>
          </w:p>
        </w:tc>
        <w:tc>
          <w:tcPr>
            <w:tcW w:w="5060" w:type="dxa"/>
            <w:vMerge/>
            <w:vAlign w:val="center"/>
            <w:hideMark/>
          </w:tcPr>
          <w:p w14:paraId="08EF91B7" w14:textId="77777777" w:rsidR="00E040FD" w:rsidRDefault="00E040FD">
            <w:pPr>
              <w:spacing w:after="0" w:line="240" w:lineRule="auto"/>
              <w:rPr>
                <w:rFonts w:ascii="Times New Roman" w:eastAsia="Times New Roman" w:hAnsi="Times New Roman" w:cs="Times New Roman"/>
                <w:noProof/>
                <w:sz w:val="20"/>
              </w:rPr>
            </w:pPr>
          </w:p>
        </w:tc>
      </w:tr>
      <w:tr w:rsidR="00E040FD" w14:paraId="231581F7" w14:textId="77777777">
        <w:trPr>
          <w:trHeight w:val="440"/>
        </w:trPr>
        <w:tc>
          <w:tcPr>
            <w:tcW w:w="1200" w:type="dxa"/>
            <w:shd w:val="clear" w:color="auto" w:fill="C4EFCE"/>
            <w:vAlign w:val="center"/>
            <w:hideMark/>
          </w:tcPr>
          <w:p w14:paraId="0019F272" w14:textId="77777777" w:rsidR="00E040FD" w:rsidRDefault="00740D64">
            <w:pPr>
              <w:pStyle w:val="P68B1DB1-Normal23"/>
              <w:spacing w:after="0" w:line="240" w:lineRule="auto"/>
              <w:jc w:val="center"/>
              <w:rPr>
                <w:rFonts w:eastAsia="Times New Roman" w:cs="Calibri"/>
                <w:noProof/>
              </w:rPr>
            </w:pPr>
            <w:r>
              <w:rPr>
                <w:noProof/>
              </w:rPr>
              <w:t>5.23</w:t>
            </w:r>
          </w:p>
        </w:tc>
        <w:tc>
          <w:tcPr>
            <w:tcW w:w="1760" w:type="dxa"/>
            <w:shd w:val="clear" w:color="auto" w:fill="C4EFCE"/>
            <w:vAlign w:val="center"/>
            <w:hideMark/>
          </w:tcPr>
          <w:p w14:paraId="7E76ACD1" w14:textId="77777777" w:rsidR="00E040FD" w:rsidRDefault="00740D64">
            <w:pPr>
              <w:pStyle w:val="P68B1DB1-Normal23"/>
              <w:spacing w:after="0" w:line="240" w:lineRule="auto"/>
              <w:jc w:val="center"/>
              <w:rPr>
                <w:rFonts w:eastAsia="Times New Roman" w:cs="Calibri"/>
                <w:noProof/>
              </w:rPr>
            </w:pPr>
            <w:r>
              <w:rPr>
                <w:noProof/>
              </w:rPr>
              <w:t>RE-C05-r10 </w:t>
            </w:r>
          </w:p>
        </w:tc>
        <w:tc>
          <w:tcPr>
            <w:tcW w:w="1520" w:type="dxa"/>
            <w:shd w:val="clear" w:color="auto" w:fill="C4EFCE"/>
            <w:vAlign w:val="center"/>
            <w:hideMark/>
          </w:tcPr>
          <w:p w14:paraId="29D0D0FA" w14:textId="77777777" w:rsidR="00E040FD" w:rsidRDefault="00740D6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4AEDE275" w14:textId="77777777" w:rsidR="00E040FD" w:rsidRDefault="00740D64">
            <w:pPr>
              <w:pStyle w:val="P68B1DB1-Normal23"/>
              <w:spacing w:after="0" w:line="240" w:lineRule="auto"/>
              <w:jc w:val="both"/>
              <w:rPr>
                <w:rFonts w:eastAsia="Times New Roman" w:cs="Calibri"/>
                <w:noProof/>
              </w:rPr>
            </w:pPr>
            <w:r>
              <w:rPr>
                <w:noProof/>
              </w:rPr>
              <w:t>Ikraftträdande av förordningen om fastställande av Banco Português de Fomentos (BPF) verksamhet och stadgar</w:t>
            </w:r>
          </w:p>
        </w:tc>
      </w:tr>
      <w:tr w:rsidR="00E040FD" w14:paraId="31564C75" w14:textId="77777777">
        <w:trPr>
          <w:trHeight w:val="440"/>
        </w:trPr>
        <w:tc>
          <w:tcPr>
            <w:tcW w:w="1200" w:type="dxa"/>
            <w:shd w:val="clear" w:color="auto" w:fill="C4EFCE"/>
            <w:vAlign w:val="center"/>
            <w:hideMark/>
          </w:tcPr>
          <w:p w14:paraId="0B27A3F2" w14:textId="77777777" w:rsidR="00E040FD" w:rsidRDefault="00740D64">
            <w:pPr>
              <w:pStyle w:val="P68B1DB1-Normal23"/>
              <w:spacing w:after="0" w:line="240" w:lineRule="auto"/>
              <w:jc w:val="center"/>
              <w:rPr>
                <w:rFonts w:eastAsia="Times New Roman" w:cs="Calibri"/>
                <w:noProof/>
              </w:rPr>
            </w:pPr>
            <w:r>
              <w:rPr>
                <w:noProof/>
              </w:rPr>
              <w:t>5.27</w:t>
            </w:r>
          </w:p>
        </w:tc>
        <w:tc>
          <w:tcPr>
            <w:tcW w:w="1760" w:type="dxa"/>
            <w:shd w:val="clear" w:color="auto" w:fill="C4EFCE"/>
            <w:vAlign w:val="center"/>
            <w:hideMark/>
          </w:tcPr>
          <w:p w14:paraId="0AC92BC5" w14:textId="77777777" w:rsidR="00E040FD" w:rsidRDefault="00740D64">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62A0E886" w14:textId="77777777" w:rsidR="00E040FD" w:rsidRDefault="00740D6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52055337" w14:textId="77777777" w:rsidR="00E040FD" w:rsidRDefault="00740D64">
            <w:pPr>
              <w:pStyle w:val="P68B1DB1-Normal23"/>
              <w:spacing w:after="0" w:line="240" w:lineRule="auto"/>
              <w:jc w:val="both"/>
              <w:rPr>
                <w:rFonts w:eastAsia="Times New Roman" w:cs="Calibri"/>
                <w:noProof/>
              </w:rPr>
            </w:pPr>
            <w:r>
              <w:rPr>
                <w:noProof/>
              </w:rPr>
              <w:t xml:space="preserve">Ikraftträdande av ett lagdekret som reglerar BPF:s kapitaliseringsåtgärd </w:t>
            </w:r>
          </w:p>
        </w:tc>
      </w:tr>
      <w:tr w:rsidR="00E040FD" w14:paraId="5DC5E664" w14:textId="77777777">
        <w:trPr>
          <w:trHeight w:val="440"/>
        </w:trPr>
        <w:tc>
          <w:tcPr>
            <w:tcW w:w="1200" w:type="dxa"/>
            <w:shd w:val="clear" w:color="auto" w:fill="C4EFCE"/>
            <w:vAlign w:val="center"/>
            <w:hideMark/>
          </w:tcPr>
          <w:p w14:paraId="56BFF86C" w14:textId="77777777" w:rsidR="00E040FD" w:rsidRDefault="00740D64">
            <w:pPr>
              <w:pStyle w:val="P68B1DB1-Normal23"/>
              <w:spacing w:after="0" w:line="240" w:lineRule="auto"/>
              <w:jc w:val="center"/>
              <w:rPr>
                <w:rFonts w:eastAsia="Times New Roman" w:cs="Calibri"/>
                <w:noProof/>
              </w:rPr>
            </w:pPr>
            <w:r>
              <w:rPr>
                <w:noProof/>
              </w:rPr>
              <w:t>5.28</w:t>
            </w:r>
          </w:p>
        </w:tc>
        <w:tc>
          <w:tcPr>
            <w:tcW w:w="1760" w:type="dxa"/>
            <w:shd w:val="clear" w:color="auto" w:fill="C4EFCE"/>
            <w:vAlign w:val="center"/>
            <w:hideMark/>
          </w:tcPr>
          <w:p w14:paraId="1DAA31DC" w14:textId="77777777" w:rsidR="00E040FD" w:rsidRDefault="00740D64">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25478A9B" w14:textId="77777777" w:rsidR="00E040FD" w:rsidRDefault="00740D6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449D334D" w14:textId="77777777" w:rsidR="00E040FD" w:rsidRDefault="00740D64">
            <w:pPr>
              <w:pStyle w:val="P68B1DB1-Normal23"/>
              <w:spacing w:after="0" w:line="240" w:lineRule="auto"/>
              <w:jc w:val="both"/>
              <w:rPr>
                <w:rFonts w:eastAsia="Times New Roman" w:cs="Calibri"/>
                <w:noProof/>
              </w:rPr>
            </w:pPr>
            <w:r>
              <w:rPr>
                <w:noProof/>
              </w:rPr>
              <w:t>Utveckling av investeringspolicyn (kapitalisering) och antagande av fordonsförvaltaren</w:t>
            </w:r>
          </w:p>
        </w:tc>
      </w:tr>
      <w:tr w:rsidR="00E040FD" w14:paraId="3FD88BF5" w14:textId="77777777">
        <w:trPr>
          <w:trHeight w:val="440"/>
        </w:trPr>
        <w:tc>
          <w:tcPr>
            <w:tcW w:w="1200" w:type="dxa"/>
            <w:shd w:val="clear" w:color="auto" w:fill="C4EFCE"/>
            <w:vAlign w:val="center"/>
            <w:hideMark/>
          </w:tcPr>
          <w:p w14:paraId="0C2466DE" w14:textId="77777777" w:rsidR="00E040FD" w:rsidRDefault="00740D6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B8B12A3" w14:textId="77777777" w:rsidR="00E040FD" w:rsidRDefault="00740D6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156D5B3"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shd w:val="clear" w:color="auto" w:fill="C4EFCE"/>
            <w:vAlign w:val="center"/>
            <w:hideMark/>
          </w:tcPr>
          <w:p w14:paraId="0B510FD1" w14:textId="63EA3829" w:rsidR="00E040FD" w:rsidRDefault="00740D64">
            <w:pPr>
              <w:pStyle w:val="P68B1DB1-Normal25"/>
              <w:spacing w:after="0" w:line="240" w:lineRule="auto"/>
              <w:jc w:val="center"/>
              <w:rPr>
                <w:rFonts w:cs="Calibri"/>
                <w:noProof/>
              </w:rPr>
            </w:pPr>
            <w:r>
              <w:rPr>
                <w:noProof/>
              </w:rPr>
              <w:t xml:space="preserve">700 000 000 EUR </w:t>
            </w:r>
          </w:p>
        </w:tc>
      </w:tr>
    </w:tbl>
    <w:p w14:paraId="717E1755" w14:textId="77777777" w:rsidR="00E040FD" w:rsidRDefault="00E040FD">
      <w:pPr>
        <w:keepNext/>
        <w:spacing w:after="160" w:line="259" w:lineRule="auto"/>
        <w:contextualSpacing/>
        <w:jc w:val="both"/>
        <w:rPr>
          <w:rFonts w:ascii="Times New Roman" w:eastAsiaTheme="minorEastAsia" w:hAnsi="Times New Roman" w:cs="Times New Roman"/>
          <w:noProof/>
          <w:sz w:val="24"/>
        </w:rPr>
      </w:pPr>
    </w:p>
    <w:p w14:paraId="0D521636" w14:textId="77777777" w:rsidR="00E040FD" w:rsidRDefault="00E040FD">
      <w:pPr>
        <w:keepNext/>
        <w:spacing w:after="160" w:line="259" w:lineRule="auto"/>
        <w:contextualSpacing/>
        <w:jc w:val="both"/>
        <w:rPr>
          <w:rFonts w:ascii="Times New Roman" w:eastAsiaTheme="minorEastAsia" w:hAnsi="Times New Roman" w:cs="Times New Roman"/>
          <w:noProof/>
          <w:sz w:val="24"/>
        </w:rPr>
      </w:pPr>
    </w:p>
    <w:p w14:paraId="212AD2B0"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Andra betalningsansökan (lånestöd): </w:t>
      </w:r>
    </w:p>
    <w:p w14:paraId="02E15ED7"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48"/>
        <w:gridCol w:w="1515"/>
        <w:gridCol w:w="4983"/>
      </w:tblGrid>
      <w:tr w:rsidR="00E040FD" w14:paraId="0EB2FB8A" w14:textId="77777777">
        <w:trPr>
          <w:trHeight w:val="509"/>
        </w:trPr>
        <w:tc>
          <w:tcPr>
            <w:tcW w:w="1200" w:type="dxa"/>
            <w:vMerge w:val="restart"/>
            <w:shd w:val="clear" w:color="auto" w:fill="BDD7EE"/>
            <w:vAlign w:val="center"/>
            <w:hideMark/>
          </w:tcPr>
          <w:p w14:paraId="1B001ABA"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vMerge w:val="restart"/>
            <w:shd w:val="clear" w:color="auto" w:fill="BDD7EE"/>
            <w:vAlign w:val="center"/>
            <w:hideMark/>
          </w:tcPr>
          <w:p w14:paraId="6E0E0306"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vMerge w:val="restart"/>
            <w:shd w:val="clear" w:color="auto" w:fill="BDD7EE"/>
            <w:vAlign w:val="center"/>
            <w:hideMark/>
          </w:tcPr>
          <w:p w14:paraId="2A96E987"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vMerge w:val="restart"/>
            <w:shd w:val="clear" w:color="auto" w:fill="BDD7EE"/>
            <w:vAlign w:val="center"/>
            <w:hideMark/>
          </w:tcPr>
          <w:p w14:paraId="7A89ACB1"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23B562DF" w14:textId="77777777">
        <w:trPr>
          <w:trHeight w:val="509"/>
        </w:trPr>
        <w:tc>
          <w:tcPr>
            <w:tcW w:w="1200" w:type="dxa"/>
            <w:vMerge/>
            <w:vAlign w:val="center"/>
            <w:hideMark/>
          </w:tcPr>
          <w:p w14:paraId="03688CB7" w14:textId="77777777" w:rsidR="00E040FD" w:rsidRDefault="00E040FD">
            <w:pPr>
              <w:spacing w:after="0" w:line="240" w:lineRule="auto"/>
              <w:rPr>
                <w:rFonts w:ascii="Times New Roman" w:eastAsia="Times New Roman" w:hAnsi="Times New Roman" w:cs="Times New Roman"/>
                <w:noProof/>
                <w:sz w:val="20"/>
              </w:rPr>
            </w:pPr>
          </w:p>
        </w:tc>
        <w:tc>
          <w:tcPr>
            <w:tcW w:w="1760" w:type="dxa"/>
            <w:vMerge/>
            <w:vAlign w:val="center"/>
            <w:hideMark/>
          </w:tcPr>
          <w:p w14:paraId="5CEB0911" w14:textId="77777777" w:rsidR="00E040FD" w:rsidRDefault="00E040FD">
            <w:pPr>
              <w:spacing w:after="0" w:line="240" w:lineRule="auto"/>
              <w:rPr>
                <w:rFonts w:ascii="Times New Roman" w:eastAsia="Times New Roman" w:hAnsi="Times New Roman" w:cs="Times New Roman"/>
                <w:noProof/>
                <w:sz w:val="20"/>
              </w:rPr>
            </w:pPr>
          </w:p>
        </w:tc>
        <w:tc>
          <w:tcPr>
            <w:tcW w:w="1520" w:type="dxa"/>
            <w:vMerge/>
            <w:vAlign w:val="center"/>
            <w:hideMark/>
          </w:tcPr>
          <w:p w14:paraId="3FC7C10B" w14:textId="77777777" w:rsidR="00E040FD" w:rsidRDefault="00E040FD">
            <w:pPr>
              <w:spacing w:after="0" w:line="240" w:lineRule="auto"/>
              <w:rPr>
                <w:rFonts w:ascii="Times New Roman" w:eastAsia="Times New Roman" w:hAnsi="Times New Roman" w:cs="Times New Roman"/>
                <w:noProof/>
                <w:sz w:val="20"/>
              </w:rPr>
            </w:pPr>
          </w:p>
        </w:tc>
        <w:tc>
          <w:tcPr>
            <w:tcW w:w="5060" w:type="dxa"/>
            <w:vMerge/>
            <w:vAlign w:val="center"/>
            <w:hideMark/>
          </w:tcPr>
          <w:p w14:paraId="6D45A41A" w14:textId="77777777" w:rsidR="00E040FD" w:rsidRDefault="00E040FD">
            <w:pPr>
              <w:spacing w:after="0" w:line="240" w:lineRule="auto"/>
              <w:rPr>
                <w:rFonts w:ascii="Times New Roman" w:eastAsia="Times New Roman" w:hAnsi="Times New Roman" w:cs="Times New Roman"/>
                <w:noProof/>
                <w:sz w:val="20"/>
              </w:rPr>
            </w:pPr>
          </w:p>
        </w:tc>
      </w:tr>
      <w:tr w:rsidR="00E040FD" w14:paraId="1570ABB6" w14:textId="77777777">
        <w:trPr>
          <w:trHeight w:val="440"/>
        </w:trPr>
        <w:tc>
          <w:tcPr>
            <w:tcW w:w="1200" w:type="dxa"/>
            <w:shd w:val="clear" w:color="auto" w:fill="C4EFCE"/>
            <w:vAlign w:val="center"/>
            <w:hideMark/>
          </w:tcPr>
          <w:p w14:paraId="009ECE5F" w14:textId="77777777" w:rsidR="00E040FD" w:rsidRDefault="00740D64">
            <w:pPr>
              <w:pStyle w:val="P68B1DB1-Normal23"/>
              <w:spacing w:after="0" w:line="240" w:lineRule="auto"/>
              <w:jc w:val="center"/>
              <w:rPr>
                <w:rFonts w:eastAsia="Times New Roman" w:cs="Calibri"/>
                <w:noProof/>
              </w:rPr>
            </w:pPr>
            <w:r>
              <w:rPr>
                <w:noProof/>
              </w:rPr>
              <w:t>5.30</w:t>
            </w:r>
          </w:p>
        </w:tc>
        <w:tc>
          <w:tcPr>
            <w:tcW w:w="1760" w:type="dxa"/>
            <w:shd w:val="clear" w:color="auto" w:fill="C4EFCE"/>
            <w:vAlign w:val="center"/>
            <w:hideMark/>
          </w:tcPr>
          <w:p w14:paraId="675FBF51" w14:textId="77777777" w:rsidR="00E040FD" w:rsidRDefault="00740D64">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5F3B7817" w14:textId="77777777" w:rsidR="00E040FD" w:rsidRDefault="00740D6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077B04B8" w14:textId="77777777" w:rsidR="00E040FD" w:rsidRDefault="00740D64">
            <w:pPr>
              <w:pStyle w:val="P68B1DB1-Normal23"/>
              <w:spacing w:after="0" w:line="240" w:lineRule="auto"/>
              <w:jc w:val="both"/>
              <w:rPr>
                <w:rFonts w:eastAsia="Times New Roman" w:cs="Calibri"/>
                <w:noProof/>
              </w:rPr>
            </w:pPr>
            <w:r>
              <w:rPr>
                <w:noProof/>
              </w:rPr>
              <w:t>Anmälan till Europeiska kommissionen om att pelarbedömningen för BPF har godkänts</w:t>
            </w:r>
          </w:p>
        </w:tc>
      </w:tr>
      <w:tr w:rsidR="00E040FD" w14:paraId="4F63CB2A" w14:textId="77777777">
        <w:trPr>
          <w:trHeight w:val="440"/>
        </w:trPr>
        <w:tc>
          <w:tcPr>
            <w:tcW w:w="1200" w:type="dxa"/>
            <w:shd w:val="clear" w:color="auto" w:fill="C4EFCE"/>
            <w:vAlign w:val="center"/>
            <w:hideMark/>
          </w:tcPr>
          <w:p w14:paraId="1E7826AF" w14:textId="77777777" w:rsidR="00E040FD" w:rsidRDefault="00740D64">
            <w:pPr>
              <w:pStyle w:val="P68B1DB1-Normal23"/>
              <w:spacing w:after="0" w:line="240" w:lineRule="auto"/>
              <w:jc w:val="center"/>
              <w:rPr>
                <w:rFonts w:eastAsia="Times New Roman" w:cs="Calibri"/>
                <w:noProof/>
              </w:rPr>
            </w:pPr>
            <w:r>
              <w:rPr>
                <w:noProof/>
              </w:rPr>
              <w:t>5.31</w:t>
            </w:r>
          </w:p>
        </w:tc>
        <w:tc>
          <w:tcPr>
            <w:tcW w:w="1760" w:type="dxa"/>
            <w:shd w:val="clear" w:color="auto" w:fill="C4EFCE"/>
            <w:vAlign w:val="center"/>
            <w:hideMark/>
          </w:tcPr>
          <w:p w14:paraId="0270B895" w14:textId="77777777" w:rsidR="00E040FD" w:rsidRDefault="00740D64">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3965D7AA" w14:textId="77777777" w:rsidR="00E040FD" w:rsidRDefault="00740D6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130F5CB2" w14:textId="77777777" w:rsidR="00E040FD" w:rsidRDefault="00740D64">
            <w:pPr>
              <w:pStyle w:val="P68B1DB1-Normal23"/>
              <w:spacing w:after="0" w:line="240" w:lineRule="auto"/>
              <w:jc w:val="both"/>
              <w:rPr>
                <w:rFonts w:eastAsia="Times New Roman" w:cs="Calibri"/>
                <w:noProof/>
              </w:rPr>
            </w:pPr>
            <w:r>
              <w:rPr>
                <w:noProof/>
              </w:rPr>
              <w:t>Kapitalöverföring på 250 000 000 EUR från den portugisiska regeringen till BPF och antagande av en investeringspolicy för BPF</w:t>
            </w:r>
          </w:p>
        </w:tc>
      </w:tr>
      <w:tr w:rsidR="00E040FD" w14:paraId="5DF0FC8C" w14:textId="77777777">
        <w:trPr>
          <w:trHeight w:val="440"/>
        </w:trPr>
        <w:tc>
          <w:tcPr>
            <w:tcW w:w="1200" w:type="dxa"/>
            <w:shd w:val="clear" w:color="auto" w:fill="C4EFCE"/>
            <w:vAlign w:val="center"/>
            <w:hideMark/>
          </w:tcPr>
          <w:p w14:paraId="4275F46E" w14:textId="77777777" w:rsidR="00E040FD" w:rsidRDefault="00740D6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422F0890" w14:textId="77777777" w:rsidR="00E040FD" w:rsidRDefault="00740D6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216845AB"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shd w:val="clear" w:color="auto" w:fill="C4EFCE"/>
            <w:vAlign w:val="center"/>
            <w:hideMark/>
          </w:tcPr>
          <w:p w14:paraId="3845844B" w14:textId="3DC80B07" w:rsidR="00E040FD" w:rsidRDefault="00740D64">
            <w:pPr>
              <w:pStyle w:val="P68B1DB1-Normal25"/>
              <w:spacing w:after="0" w:line="240" w:lineRule="auto"/>
              <w:jc w:val="center"/>
              <w:rPr>
                <w:rFonts w:cs="Calibri"/>
                <w:noProof/>
              </w:rPr>
            </w:pPr>
            <w:r>
              <w:rPr>
                <w:noProof/>
              </w:rPr>
              <w:t xml:space="preserve">125 000 000 EUR </w:t>
            </w:r>
          </w:p>
        </w:tc>
      </w:tr>
    </w:tbl>
    <w:p w14:paraId="011575C2"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p w14:paraId="2F53405C"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p w14:paraId="27D8DBB2"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Tredje betalningsansökan (lånestöd): </w:t>
      </w:r>
    </w:p>
    <w:p w14:paraId="45710B93"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45"/>
        <w:gridCol w:w="1514"/>
        <w:gridCol w:w="4987"/>
      </w:tblGrid>
      <w:tr w:rsidR="00E040FD" w14:paraId="56F1D039" w14:textId="77777777">
        <w:trPr>
          <w:trHeight w:val="509"/>
          <w:tblHeader/>
        </w:trPr>
        <w:tc>
          <w:tcPr>
            <w:tcW w:w="1200" w:type="dxa"/>
            <w:vMerge w:val="restart"/>
            <w:shd w:val="clear" w:color="auto" w:fill="BDD7EE"/>
            <w:vAlign w:val="center"/>
            <w:hideMark/>
          </w:tcPr>
          <w:p w14:paraId="1CD5E8AC" w14:textId="77777777" w:rsidR="00E040FD" w:rsidRDefault="00740D64">
            <w:pPr>
              <w:pStyle w:val="P68B1DB1-Normal22"/>
              <w:keepNext/>
              <w:spacing w:after="0" w:line="240" w:lineRule="auto"/>
              <w:jc w:val="center"/>
              <w:rPr>
                <w:rFonts w:eastAsia="Times New Roman" w:cs="Times New Roman"/>
                <w:noProof/>
              </w:rPr>
            </w:pPr>
            <w:r>
              <w:rPr>
                <w:noProof/>
              </w:rPr>
              <w:t>Löpnummer</w:t>
            </w:r>
          </w:p>
        </w:tc>
        <w:tc>
          <w:tcPr>
            <w:tcW w:w="1760" w:type="dxa"/>
            <w:vMerge w:val="restart"/>
            <w:shd w:val="clear" w:color="auto" w:fill="BDD7EE"/>
            <w:vAlign w:val="center"/>
            <w:hideMark/>
          </w:tcPr>
          <w:p w14:paraId="554BDD9C" w14:textId="77777777" w:rsidR="00E040FD" w:rsidRDefault="00740D64">
            <w:pPr>
              <w:pStyle w:val="P68B1DB1-Normal22"/>
              <w:keepNext/>
              <w:spacing w:after="0" w:line="240" w:lineRule="auto"/>
              <w:jc w:val="center"/>
              <w:rPr>
                <w:rFonts w:eastAsia="Times New Roman" w:cs="Times New Roman"/>
                <w:noProof/>
              </w:rPr>
            </w:pPr>
            <w:r>
              <w:rPr>
                <w:noProof/>
              </w:rPr>
              <w:t>Berörd åtgärd (reform eller investering)</w:t>
            </w:r>
          </w:p>
        </w:tc>
        <w:tc>
          <w:tcPr>
            <w:tcW w:w="1520" w:type="dxa"/>
            <w:vMerge w:val="restart"/>
            <w:shd w:val="clear" w:color="auto" w:fill="BDD7EE"/>
            <w:vAlign w:val="center"/>
            <w:hideMark/>
          </w:tcPr>
          <w:p w14:paraId="5A817C51" w14:textId="77777777" w:rsidR="00E040FD" w:rsidRDefault="00740D64">
            <w:pPr>
              <w:pStyle w:val="P68B1DB1-Normal22"/>
              <w:keepNext/>
              <w:spacing w:after="0" w:line="240" w:lineRule="auto"/>
              <w:jc w:val="center"/>
              <w:rPr>
                <w:rFonts w:eastAsia="Times New Roman" w:cs="Times New Roman"/>
                <w:noProof/>
              </w:rPr>
            </w:pPr>
            <w:r>
              <w:rPr>
                <w:noProof/>
              </w:rPr>
              <w:t>Delmål/mål</w:t>
            </w:r>
          </w:p>
        </w:tc>
        <w:tc>
          <w:tcPr>
            <w:tcW w:w="5060" w:type="dxa"/>
            <w:vMerge w:val="restart"/>
            <w:shd w:val="clear" w:color="auto" w:fill="BDD7EE"/>
            <w:vAlign w:val="center"/>
            <w:hideMark/>
          </w:tcPr>
          <w:p w14:paraId="348B16AE" w14:textId="77777777" w:rsidR="00E040FD" w:rsidRDefault="00740D64">
            <w:pPr>
              <w:pStyle w:val="P68B1DB1-Normal22"/>
              <w:keepNext/>
              <w:spacing w:after="0" w:line="240" w:lineRule="auto"/>
              <w:jc w:val="center"/>
              <w:rPr>
                <w:rFonts w:eastAsia="Times New Roman" w:cs="Times New Roman"/>
                <w:noProof/>
              </w:rPr>
            </w:pPr>
            <w:r>
              <w:rPr>
                <w:noProof/>
              </w:rPr>
              <w:t>Namn</w:t>
            </w:r>
          </w:p>
        </w:tc>
      </w:tr>
      <w:tr w:rsidR="00E040FD" w14:paraId="54C48B88" w14:textId="77777777">
        <w:trPr>
          <w:trHeight w:val="509"/>
          <w:tblHeader/>
        </w:trPr>
        <w:tc>
          <w:tcPr>
            <w:tcW w:w="1200" w:type="dxa"/>
            <w:vMerge/>
            <w:vAlign w:val="center"/>
            <w:hideMark/>
          </w:tcPr>
          <w:p w14:paraId="15CE11B2" w14:textId="77777777" w:rsidR="00E040FD" w:rsidRDefault="00E040FD">
            <w:pPr>
              <w:spacing w:after="0" w:line="240" w:lineRule="auto"/>
              <w:rPr>
                <w:rFonts w:ascii="Times New Roman" w:eastAsia="Times New Roman" w:hAnsi="Times New Roman" w:cs="Times New Roman"/>
                <w:noProof/>
                <w:sz w:val="20"/>
              </w:rPr>
            </w:pPr>
          </w:p>
        </w:tc>
        <w:tc>
          <w:tcPr>
            <w:tcW w:w="1760" w:type="dxa"/>
            <w:vMerge/>
            <w:vAlign w:val="center"/>
            <w:hideMark/>
          </w:tcPr>
          <w:p w14:paraId="1D899E3A" w14:textId="77777777" w:rsidR="00E040FD" w:rsidRDefault="00E040FD">
            <w:pPr>
              <w:spacing w:after="0" w:line="240" w:lineRule="auto"/>
              <w:rPr>
                <w:rFonts w:ascii="Times New Roman" w:eastAsia="Times New Roman" w:hAnsi="Times New Roman" w:cs="Times New Roman"/>
                <w:noProof/>
                <w:sz w:val="20"/>
              </w:rPr>
            </w:pPr>
          </w:p>
        </w:tc>
        <w:tc>
          <w:tcPr>
            <w:tcW w:w="1520" w:type="dxa"/>
            <w:vMerge/>
            <w:vAlign w:val="center"/>
            <w:hideMark/>
          </w:tcPr>
          <w:p w14:paraId="4387D244" w14:textId="77777777" w:rsidR="00E040FD" w:rsidRDefault="00E040FD">
            <w:pPr>
              <w:spacing w:after="0" w:line="240" w:lineRule="auto"/>
              <w:rPr>
                <w:rFonts w:ascii="Times New Roman" w:eastAsia="Times New Roman" w:hAnsi="Times New Roman" w:cs="Times New Roman"/>
                <w:noProof/>
                <w:sz w:val="20"/>
              </w:rPr>
            </w:pPr>
          </w:p>
        </w:tc>
        <w:tc>
          <w:tcPr>
            <w:tcW w:w="5060" w:type="dxa"/>
            <w:vMerge/>
            <w:vAlign w:val="center"/>
            <w:hideMark/>
          </w:tcPr>
          <w:p w14:paraId="4C9A4136" w14:textId="77777777" w:rsidR="00E040FD" w:rsidRDefault="00E040FD">
            <w:pPr>
              <w:spacing w:after="0" w:line="240" w:lineRule="auto"/>
              <w:rPr>
                <w:rFonts w:ascii="Times New Roman" w:eastAsia="Times New Roman" w:hAnsi="Times New Roman" w:cs="Times New Roman"/>
                <w:noProof/>
                <w:sz w:val="20"/>
              </w:rPr>
            </w:pPr>
          </w:p>
        </w:tc>
      </w:tr>
      <w:tr w:rsidR="00E040FD" w14:paraId="30E391F9" w14:textId="77777777">
        <w:trPr>
          <w:trHeight w:val="440"/>
        </w:trPr>
        <w:tc>
          <w:tcPr>
            <w:tcW w:w="1200" w:type="dxa"/>
            <w:shd w:val="clear" w:color="auto" w:fill="C4EFCE"/>
            <w:vAlign w:val="center"/>
          </w:tcPr>
          <w:p w14:paraId="1329D539" w14:textId="77777777" w:rsidR="00E040FD" w:rsidRDefault="00740D64">
            <w:pPr>
              <w:pStyle w:val="P68B1DB1-Normal23"/>
              <w:spacing w:after="0"/>
              <w:jc w:val="center"/>
              <w:rPr>
                <w:noProof/>
              </w:rPr>
            </w:pPr>
            <w:r>
              <w:rPr>
                <w:noProof/>
              </w:rPr>
              <w:t>2.20</w:t>
            </w:r>
          </w:p>
        </w:tc>
        <w:tc>
          <w:tcPr>
            <w:tcW w:w="1760" w:type="dxa"/>
            <w:shd w:val="clear" w:color="auto" w:fill="C4EFCE"/>
            <w:vAlign w:val="center"/>
          </w:tcPr>
          <w:p w14:paraId="46E5A600" w14:textId="77777777" w:rsidR="00E040FD" w:rsidRDefault="00740D64">
            <w:pPr>
              <w:pStyle w:val="P68B1DB1-Normal23"/>
              <w:spacing w:after="0"/>
              <w:jc w:val="center"/>
              <w:rPr>
                <w:noProof/>
              </w:rPr>
            </w:pPr>
            <w:r>
              <w:rPr>
                <w:noProof/>
              </w:rPr>
              <w:t>RE-C02-i05</w:t>
            </w:r>
          </w:p>
        </w:tc>
        <w:tc>
          <w:tcPr>
            <w:tcW w:w="1520" w:type="dxa"/>
            <w:shd w:val="clear" w:color="auto" w:fill="C4EFCE"/>
            <w:vAlign w:val="center"/>
          </w:tcPr>
          <w:p w14:paraId="731E33FA" w14:textId="77777777" w:rsidR="00E040FD" w:rsidRDefault="00740D64">
            <w:pPr>
              <w:pStyle w:val="P68B1DB1-Normal23"/>
              <w:spacing w:after="0"/>
              <w:jc w:val="center"/>
              <w:rPr>
                <w:noProof/>
              </w:rPr>
            </w:pPr>
            <w:r>
              <w:rPr>
                <w:noProof/>
              </w:rPr>
              <w:t>T</w:t>
            </w:r>
          </w:p>
        </w:tc>
        <w:tc>
          <w:tcPr>
            <w:tcW w:w="5060" w:type="dxa"/>
            <w:shd w:val="clear" w:color="auto" w:fill="C4EFCE"/>
            <w:vAlign w:val="center"/>
          </w:tcPr>
          <w:p w14:paraId="68BCDFD3" w14:textId="77777777" w:rsidR="00E040FD" w:rsidRDefault="00740D64">
            <w:pPr>
              <w:pStyle w:val="P68B1DB1-Normal23"/>
              <w:spacing w:after="0"/>
              <w:jc w:val="both"/>
              <w:rPr>
                <w:noProof/>
              </w:rPr>
            </w:pPr>
            <w:r>
              <w:rPr>
                <w:noProof/>
              </w:rPr>
              <w:t>Offentliga bostäder till överkomliga priser – bostäder med påbörjat arbete (byggda med hög energieffektivitet eller som renoverats med förbättrad energiprestanda)</w:t>
            </w:r>
          </w:p>
        </w:tc>
      </w:tr>
      <w:tr w:rsidR="00E040FD" w14:paraId="74203895" w14:textId="77777777">
        <w:trPr>
          <w:trHeight w:val="440"/>
        </w:trPr>
        <w:tc>
          <w:tcPr>
            <w:tcW w:w="1200" w:type="dxa"/>
            <w:shd w:val="clear" w:color="auto" w:fill="C4EFCE"/>
            <w:vAlign w:val="center"/>
            <w:hideMark/>
          </w:tcPr>
          <w:p w14:paraId="2563BBA6" w14:textId="77777777" w:rsidR="00E040FD" w:rsidRDefault="00740D64">
            <w:pPr>
              <w:pStyle w:val="P68B1DB1-Normal23"/>
              <w:spacing w:after="0"/>
              <w:jc w:val="center"/>
              <w:rPr>
                <w:noProof/>
              </w:rPr>
            </w:pPr>
            <w:r>
              <w:rPr>
                <w:noProof/>
              </w:rPr>
              <w:t>2.25</w:t>
            </w:r>
          </w:p>
        </w:tc>
        <w:tc>
          <w:tcPr>
            <w:tcW w:w="1760" w:type="dxa"/>
            <w:shd w:val="clear" w:color="auto" w:fill="C4EFCE"/>
            <w:vAlign w:val="center"/>
            <w:hideMark/>
          </w:tcPr>
          <w:p w14:paraId="7E22A000" w14:textId="77777777" w:rsidR="00E040FD" w:rsidRDefault="00740D64">
            <w:pPr>
              <w:pStyle w:val="P68B1DB1-Normal23"/>
              <w:spacing w:after="0"/>
              <w:jc w:val="center"/>
              <w:rPr>
                <w:noProof/>
              </w:rPr>
            </w:pPr>
            <w:r>
              <w:rPr>
                <w:noProof/>
              </w:rPr>
              <w:t>RE-C02-i06</w:t>
            </w:r>
          </w:p>
        </w:tc>
        <w:tc>
          <w:tcPr>
            <w:tcW w:w="1520" w:type="dxa"/>
            <w:shd w:val="clear" w:color="auto" w:fill="C4EFCE"/>
            <w:vAlign w:val="center"/>
            <w:hideMark/>
          </w:tcPr>
          <w:p w14:paraId="116111E5" w14:textId="77777777" w:rsidR="00E040FD" w:rsidRDefault="00740D64">
            <w:pPr>
              <w:pStyle w:val="P68B1DB1-Normal23"/>
              <w:spacing w:after="0"/>
              <w:jc w:val="center"/>
              <w:rPr>
                <w:noProof/>
              </w:rPr>
            </w:pPr>
            <w:r>
              <w:rPr>
                <w:noProof/>
              </w:rPr>
              <w:t>T</w:t>
            </w:r>
          </w:p>
        </w:tc>
        <w:tc>
          <w:tcPr>
            <w:tcW w:w="5060" w:type="dxa"/>
            <w:shd w:val="clear" w:color="auto" w:fill="C4EFCE"/>
            <w:vAlign w:val="center"/>
            <w:hideMark/>
          </w:tcPr>
          <w:p w14:paraId="53F83543" w14:textId="77777777" w:rsidR="00E040FD" w:rsidRDefault="00740D64">
            <w:pPr>
              <w:pStyle w:val="P68B1DB1-Normal23"/>
              <w:spacing w:after="0"/>
              <w:jc w:val="both"/>
              <w:rPr>
                <w:noProof/>
              </w:rPr>
            </w:pPr>
            <w:r>
              <w:rPr>
                <w:noProof/>
              </w:rPr>
              <w:t>Studentbostäder till rimliga kostnader – antal studentboenden med anbudsinfordringar</w:t>
            </w:r>
          </w:p>
        </w:tc>
      </w:tr>
      <w:tr w:rsidR="00E040FD" w14:paraId="30722990" w14:textId="77777777">
        <w:trPr>
          <w:trHeight w:val="440"/>
        </w:trPr>
        <w:tc>
          <w:tcPr>
            <w:tcW w:w="1200" w:type="dxa"/>
            <w:shd w:val="clear" w:color="auto" w:fill="C4EFCE"/>
            <w:vAlign w:val="center"/>
            <w:hideMark/>
          </w:tcPr>
          <w:p w14:paraId="1327A5E4" w14:textId="77777777" w:rsidR="00E040FD" w:rsidRDefault="00740D64">
            <w:pPr>
              <w:pStyle w:val="P68B1DB1-Normal23"/>
              <w:spacing w:after="0"/>
              <w:jc w:val="center"/>
              <w:rPr>
                <w:noProof/>
              </w:rPr>
            </w:pPr>
            <w:r>
              <w:rPr>
                <w:noProof/>
              </w:rPr>
              <w:t>5.24</w:t>
            </w:r>
          </w:p>
        </w:tc>
        <w:tc>
          <w:tcPr>
            <w:tcW w:w="1760" w:type="dxa"/>
            <w:shd w:val="clear" w:color="auto" w:fill="C4EFCE"/>
            <w:vAlign w:val="center"/>
            <w:hideMark/>
          </w:tcPr>
          <w:p w14:paraId="7313D5BF" w14:textId="77777777" w:rsidR="00E040FD" w:rsidRDefault="00740D64">
            <w:pPr>
              <w:pStyle w:val="P68B1DB1-Normal23"/>
              <w:spacing w:after="0"/>
              <w:jc w:val="center"/>
              <w:rPr>
                <w:noProof/>
              </w:rPr>
            </w:pPr>
            <w:r>
              <w:rPr>
                <w:noProof/>
              </w:rPr>
              <w:t xml:space="preserve"> RE-C05-r13</w:t>
            </w:r>
          </w:p>
        </w:tc>
        <w:tc>
          <w:tcPr>
            <w:tcW w:w="1520" w:type="dxa"/>
            <w:shd w:val="clear" w:color="auto" w:fill="C4EFCE"/>
            <w:vAlign w:val="center"/>
            <w:hideMark/>
          </w:tcPr>
          <w:p w14:paraId="5AFBE9E2"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0D4879B7" w14:textId="77777777" w:rsidR="00E040FD" w:rsidRDefault="00740D64">
            <w:pPr>
              <w:pStyle w:val="P68B1DB1-Normal23"/>
              <w:spacing w:after="0"/>
              <w:jc w:val="both"/>
              <w:rPr>
                <w:noProof/>
              </w:rPr>
            </w:pPr>
            <w:r>
              <w:rPr>
                <w:noProof/>
              </w:rPr>
              <w:t>Ikraftträdande av översynen av den rättsliga ramen för företag för kollektiva investeringar</w:t>
            </w:r>
          </w:p>
        </w:tc>
      </w:tr>
      <w:tr w:rsidR="00E040FD" w14:paraId="37C006F7" w14:textId="77777777">
        <w:trPr>
          <w:trHeight w:val="440"/>
        </w:trPr>
        <w:tc>
          <w:tcPr>
            <w:tcW w:w="1200" w:type="dxa"/>
            <w:shd w:val="clear" w:color="auto" w:fill="C4EFCE"/>
            <w:vAlign w:val="center"/>
            <w:hideMark/>
          </w:tcPr>
          <w:p w14:paraId="26B1491D" w14:textId="77777777" w:rsidR="00E040FD" w:rsidRDefault="00740D64">
            <w:pPr>
              <w:pStyle w:val="P68B1DB1-Normal23"/>
              <w:spacing w:after="0"/>
              <w:jc w:val="center"/>
              <w:rPr>
                <w:noProof/>
              </w:rPr>
            </w:pPr>
            <w:r>
              <w:rPr>
                <w:noProof/>
              </w:rPr>
              <w:t>5.25</w:t>
            </w:r>
          </w:p>
        </w:tc>
        <w:tc>
          <w:tcPr>
            <w:tcW w:w="1760" w:type="dxa"/>
            <w:shd w:val="clear" w:color="auto" w:fill="C4EFCE"/>
            <w:vAlign w:val="center"/>
            <w:hideMark/>
          </w:tcPr>
          <w:p w14:paraId="7A4EA22B" w14:textId="77777777" w:rsidR="00E040FD" w:rsidRDefault="00740D64">
            <w:pPr>
              <w:pStyle w:val="P68B1DB1-Normal23"/>
              <w:spacing w:after="0"/>
              <w:jc w:val="center"/>
              <w:rPr>
                <w:noProof/>
              </w:rPr>
            </w:pPr>
            <w:r>
              <w:rPr>
                <w:noProof/>
              </w:rPr>
              <w:t xml:space="preserve"> RE-C05-r13</w:t>
            </w:r>
          </w:p>
        </w:tc>
        <w:tc>
          <w:tcPr>
            <w:tcW w:w="1520" w:type="dxa"/>
            <w:shd w:val="clear" w:color="auto" w:fill="C4EFCE"/>
            <w:vAlign w:val="center"/>
            <w:hideMark/>
          </w:tcPr>
          <w:p w14:paraId="35B03426"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43CD5844" w14:textId="77777777" w:rsidR="00E040FD" w:rsidRDefault="00740D64">
            <w:pPr>
              <w:pStyle w:val="P68B1DB1-Normal23"/>
              <w:spacing w:after="0"/>
              <w:jc w:val="both"/>
              <w:rPr>
                <w:noProof/>
              </w:rPr>
            </w:pPr>
            <w:r>
              <w:rPr>
                <w:noProof/>
              </w:rPr>
              <w:t>Ikraftträdande av revideringen av lagen om värdepapperslagen</w:t>
            </w:r>
          </w:p>
        </w:tc>
      </w:tr>
      <w:tr w:rsidR="00E040FD" w14:paraId="3107CF2B" w14:textId="77777777">
        <w:trPr>
          <w:trHeight w:val="440"/>
        </w:trPr>
        <w:tc>
          <w:tcPr>
            <w:tcW w:w="1200" w:type="dxa"/>
            <w:shd w:val="clear" w:color="auto" w:fill="C4EFCE"/>
            <w:vAlign w:val="center"/>
            <w:hideMark/>
          </w:tcPr>
          <w:p w14:paraId="5CD7F889" w14:textId="77777777" w:rsidR="00E040FD" w:rsidRDefault="00740D64">
            <w:pPr>
              <w:pStyle w:val="P68B1DB1-Normal23"/>
              <w:spacing w:after="0"/>
              <w:jc w:val="center"/>
              <w:rPr>
                <w:noProof/>
              </w:rPr>
            </w:pPr>
            <w:r>
              <w:rPr>
                <w:noProof/>
              </w:rPr>
              <w:t>7.9</w:t>
            </w:r>
          </w:p>
        </w:tc>
        <w:tc>
          <w:tcPr>
            <w:tcW w:w="1760" w:type="dxa"/>
            <w:shd w:val="clear" w:color="auto" w:fill="C4EFCE"/>
            <w:vAlign w:val="center"/>
            <w:hideMark/>
          </w:tcPr>
          <w:p w14:paraId="6466928F" w14:textId="77777777" w:rsidR="00E040FD" w:rsidRDefault="00740D64">
            <w:pPr>
              <w:pStyle w:val="P68B1DB1-Normal23"/>
              <w:spacing w:after="0"/>
              <w:jc w:val="center"/>
              <w:rPr>
                <w:noProof/>
              </w:rPr>
            </w:pPr>
            <w:r>
              <w:rPr>
                <w:noProof/>
              </w:rPr>
              <w:t xml:space="preserve">RE-C07-i03 </w:t>
            </w:r>
          </w:p>
        </w:tc>
        <w:tc>
          <w:tcPr>
            <w:tcW w:w="1520" w:type="dxa"/>
            <w:shd w:val="clear" w:color="auto" w:fill="C4EFCE"/>
            <w:vAlign w:val="center"/>
            <w:hideMark/>
          </w:tcPr>
          <w:p w14:paraId="4E115C47" w14:textId="77777777" w:rsidR="00E040FD" w:rsidRDefault="00740D64">
            <w:pPr>
              <w:pStyle w:val="P68B1DB1-Normal23"/>
              <w:spacing w:after="0"/>
              <w:jc w:val="center"/>
              <w:rPr>
                <w:noProof/>
              </w:rPr>
            </w:pPr>
            <w:r>
              <w:rPr>
                <w:noProof/>
              </w:rPr>
              <w:t>M</w:t>
            </w:r>
          </w:p>
        </w:tc>
        <w:tc>
          <w:tcPr>
            <w:tcW w:w="5060" w:type="dxa"/>
            <w:shd w:val="clear" w:color="auto" w:fill="C4EFCE"/>
            <w:vAlign w:val="center"/>
            <w:hideMark/>
          </w:tcPr>
          <w:p w14:paraId="0B0DF1F4" w14:textId="77777777" w:rsidR="00E040FD" w:rsidRDefault="00740D64">
            <w:pPr>
              <w:pStyle w:val="P68B1DB1-Normal23"/>
              <w:spacing w:after="0"/>
              <w:jc w:val="both"/>
              <w:rPr>
                <w:noProof/>
              </w:rPr>
            </w:pPr>
            <w:r>
              <w:rPr>
                <w:noProof/>
              </w:rPr>
              <w:t>Den första miljökonsekvensbedömningen slutförd</w:t>
            </w:r>
          </w:p>
        </w:tc>
      </w:tr>
      <w:tr w:rsidR="00E040FD" w14:paraId="652BE136" w14:textId="77777777">
        <w:trPr>
          <w:trHeight w:val="440"/>
        </w:trPr>
        <w:tc>
          <w:tcPr>
            <w:tcW w:w="1200" w:type="dxa"/>
            <w:shd w:val="clear" w:color="auto" w:fill="C4EFCE"/>
            <w:vAlign w:val="center"/>
            <w:hideMark/>
          </w:tcPr>
          <w:p w14:paraId="13A380F0" w14:textId="77777777" w:rsidR="00E040FD" w:rsidRDefault="00740D6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02962246" w14:textId="77777777" w:rsidR="00E040FD" w:rsidRDefault="00740D6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4AD9BEA"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shd w:val="clear" w:color="auto" w:fill="C4EFCE"/>
            <w:vAlign w:val="center"/>
            <w:hideMark/>
          </w:tcPr>
          <w:p w14:paraId="23433A9A" w14:textId="7B7D6100" w:rsidR="00E040FD" w:rsidRDefault="00740D64">
            <w:pPr>
              <w:pStyle w:val="P68B1DB1-Normal25"/>
              <w:spacing w:after="0" w:line="240" w:lineRule="auto"/>
              <w:jc w:val="center"/>
              <w:rPr>
                <w:rFonts w:cs="Calibri"/>
                <w:noProof/>
              </w:rPr>
            </w:pPr>
            <w:r>
              <w:rPr>
                <w:noProof/>
              </w:rPr>
              <w:t xml:space="preserve"> 379 431 726 EUR</w:t>
            </w:r>
          </w:p>
        </w:tc>
      </w:tr>
    </w:tbl>
    <w:p w14:paraId="5F6BC874"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44F6034D"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2CE96FCC"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Fjärde betalningsansökan (lånestöd): </w:t>
      </w:r>
    </w:p>
    <w:p w14:paraId="1272C240"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47"/>
        <w:gridCol w:w="1515"/>
        <w:gridCol w:w="4984"/>
      </w:tblGrid>
      <w:tr w:rsidR="00E040FD" w14:paraId="238EAFDB" w14:textId="77777777">
        <w:trPr>
          <w:trHeight w:val="1018"/>
        </w:trPr>
        <w:tc>
          <w:tcPr>
            <w:tcW w:w="1200" w:type="dxa"/>
            <w:shd w:val="clear" w:color="auto" w:fill="BDD7EE"/>
            <w:vAlign w:val="center"/>
            <w:hideMark/>
          </w:tcPr>
          <w:p w14:paraId="5792BC42"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shd w:val="clear" w:color="auto" w:fill="BDD7EE"/>
            <w:vAlign w:val="center"/>
            <w:hideMark/>
          </w:tcPr>
          <w:p w14:paraId="334D13DB"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shd w:val="clear" w:color="auto" w:fill="BDD7EE"/>
            <w:vAlign w:val="center"/>
            <w:hideMark/>
          </w:tcPr>
          <w:p w14:paraId="2EFF9745"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shd w:val="clear" w:color="auto" w:fill="BDD7EE"/>
            <w:vAlign w:val="center"/>
            <w:hideMark/>
          </w:tcPr>
          <w:p w14:paraId="1E5AFC53"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2B0F91C7" w14:textId="77777777">
        <w:trPr>
          <w:trHeight w:val="440"/>
        </w:trPr>
        <w:tc>
          <w:tcPr>
            <w:tcW w:w="1200" w:type="dxa"/>
            <w:shd w:val="clear" w:color="auto" w:fill="C4EFCE"/>
            <w:vAlign w:val="center"/>
            <w:hideMark/>
          </w:tcPr>
          <w:p w14:paraId="33FD24C6" w14:textId="77777777" w:rsidR="00E040FD" w:rsidRDefault="00740D64">
            <w:pPr>
              <w:pStyle w:val="P68B1DB1-Normal23"/>
              <w:spacing w:after="0"/>
              <w:jc w:val="center"/>
              <w:rPr>
                <w:rFonts w:eastAsia="Calibri" w:cs="Calibri"/>
                <w:noProof/>
              </w:rPr>
            </w:pPr>
            <w:r>
              <w:rPr>
                <w:noProof/>
              </w:rPr>
              <w:t>5.44</w:t>
            </w:r>
          </w:p>
        </w:tc>
        <w:tc>
          <w:tcPr>
            <w:tcW w:w="1760" w:type="dxa"/>
            <w:shd w:val="clear" w:color="auto" w:fill="C4EFCE"/>
            <w:vAlign w:val="center"/>
            <w:hideMark/>
          </w:tcPr>
          <w:p w14:paraId="11788CF6" w14:textId="77777777" w:rsidR="00E040FD" w:rsidRDefault="00740D64">
            <w:pPr>
              <w:pStyle w:val="P68B1DB1-Normal23"/>
              <w:spacing w:after="0"/>
              <w:jc w:val="center"/>
              <w:rPr>
                <w:rFonts w:eastAsia="Calibri" w:cs="Calibri"/>
                <w:noProof/>
              </w:rPr>
            </w:pPr>
            <w:r>
              <w:rPr>
                <w:noProof/>
              </w:rPr>
              <w:t xml:space="preserve">RE-C05-i11 </w:t>
            </w:r>
          </w:p>
        </w:tc>
        <w:tc>
          <w:tcPr>
            <w:tcW w:w="1520" w:type="dxa"/>
            <w:shd w:val="clear" w:color="auto" w:fill="C4EFCE"/>
            <w:vAlign w:val="center"/>
            <w:hideMark/>
          </w:tcPr>
          <w:p w14:paraId="58C4625A"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0FDFE40" w14:textId="77777777" w:rsidR="00E040FD" w:rsidRDefault="00740D64">
            <w:pPr>
              <w:pStyle w:val="P68B1DB1-Normal23"/>
              <w:spacing w:after="0"/>
              <w:jc w:val="both"/>
              <w:rPr>
                <w:rFonts w:eastAsia="Calibri" w:cs="Calibri"/>
                <w:noProof/>
              </w:rPr>
            </w:pPr>
            <w:r>
              <w:rPr>
                <w:noProof/>
              </w:rPr>
              <w:t>Ingående av avtal för att utveckla nya produkter, processer eller tjänster inom relevanta strategiska områden (innovationsagendor).</w:t>
            </w:r>
          </w:p>
        </w:tc>
      </w:tr>
      <w:tr w:rsidR="00E040FD" w14:paraId="7151D914" w14:textId="77777777">
        <w:trPr>
          <w:trHeight w:val="440"/>
        </w:trPr>
        <w:tc>
          <w:tcPr>
            <w:tcW w:w="1200" w:type="dxa"/>
            <w:shd w:val="clear" w:color="auto" w:fill="C4EFCE"/>
            <w:vAlign w:val="center"/>
            <w:hideMark/>
          </w:tcPr>
          <w:p w14:paraId="0F583F70" w14:textId="77777777" w:rsidR="00E040FD" w:rsidRDefault="00740D64">
            <w:pPr>
              <w:pStyle w:val="P68B1DB1-Normal23"/>
              <w:spacing w:after="0"/>
              <w:jc w:val="center"/>
              <w:rPr>
                <w:rFonts w:eastAsia="Calibri" w:cs="Calibri"/>
                <w:noProof/>
              </w:rPr>
            </w:pPr>
            <w:r>
              <w:rPr>
                <w:noProof/>
              </w:rPr>
              <w:t>7.11</w:t>
            </w:r>
          </w:p>
        </w:tc>
        <w:tc>
          <w:tcPr>
            <w:tcW w:w="1760" w:type="dxa"/>
            <w:shd w:val="clear" w:color="auto" w:fill="C4EFCE"/>
            <w:vAlign w:val="center"/>
            <w:hideMark/>
          </w:tcPr>
          <w:p w14:paraId="478656E2" w14:textId="77777777" w:rsidR="00E040FD" w:rsidRDefault="00740D64">
            <w:pPr>
              <w:pStyle w:val="P68B1DB1-Normal23"/>
              <w:spacing w:after="0"/>
              <w:jc w:val="center"/>
              <w:rPr>
                <w:rFonts w:eastAsia="Calibri" w:cs="Calibri"/>
                <w:noProof/>
              </w:rPr>
            </w:pPr>
            <w:r>
              <w:rPr>
                <w:noProof/>
              </w:rPr>
              <w:t xml:space="preserve">RE-C07-i04  </w:t>
            </w:r>
          </w:p>
        </w:tc>
        <w:tc>
          <w:tcPr>
            <w:tcW w:w="1520" w:type="dxa"/>
            <w:shd w:val="clear" w:color="auto" w:fill="C4EFCE"/>
            <w:vAlign w:val="center"/>
            <w:hideMark/>
          </w:tcPr>
          <w:p w14:paraId="07BFFE39"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B8891E4" w14:textId="77777777" w:rsidR="00E040FD" w:rsidRDefault="00740D64">
            <w:pPr>
              <w:pStyle w:val="P68B1DB1-Normal23"/>
              <w:spacing w:after="0"/>
              <w:jc w:val="both"/>
              <w:rPr>
                <w:rFonts w:eastAsia="Calibri" w:cs="Calibri"/>
                <w:noProof/>
              </w:rPr>
            </w:pPr>
            <w:r>
              <w:rPr>
                <w:noProof/>
              </w:rPr>
              <w:t>Kontrakt undertecknat för 10 vägprojekt</w:t>
            </w:r>
          </w:p>
        </w:tc>
      </w:tr>
      <w:tr w:rsidR="00E040FD" w14:paraId="2C020E91" w14:textId="77777777">
        <w:trPr>
          <w:trHeight w:val="440"/>
        </w:trPr>
        <w:tc>
          <w:tcPr>
            <w:tcW w:w="1200" w:type="dxa"/>
            <w:shd w:val="clear" w:color="auto" w:fill="C4EFCE"/>
            <w:vAlign w:val="center"/>
            <w:hideMark/>
          </w:tcPr>
          <w:p w14:paraId="6C01BAD7" w14:textId="77777777" w:rsidR="00E040FD" w:rsidRDefault="00740D6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1969BD93" w14:textId="77777777" w:rsidR="00E040FD" w:rsidRDefault="00740D6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089A606F"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shd w:val="clear" w:color="auto" w:fill="C4EFCE"/>
            <w:vAlign w:val="center"/>
            <w:hideMark/>
          </w:tcPr>
          <w:p w14:paraId="2572465C" w14:textId="22F74E77" w:rsidR="00E040FD" w:rsidRDefault="00740D64">
            <w:pPr>
              <w:pStyle w:val="P68B1DB1-Normal25"/>
              <w:spacing w:after="0" w:line="240" w:lineRule="auto"/>
              <w:jc w:val="center"/>
              <w:rPr>
                <w:rFonts w:cs="Calibri"/>
                <w:noProof/>
              </w:rPr>
            </w:pPr>
            <w:r>
              <w:rPr>
                <w:noProof/>
              </w:rPr>
              <w:t xml:space="preserve">235 337 423 EUR </w:t>
            </w:r>
          </w:p>
        </w:tc>
      </w:tr>
    </w:tbl>
    <w:p w14:paraId="1848AD6B"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Femte betalningsansökan (lånestöd): </w:t>
      </w:r>
    </w:p>
    <w:p w14:paraId="3731A29C"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45"/>
        <w:gridCol w:w="1514"/>
        <w:gridCol w:w="4987"/>
      </w:tblGrid>
      <w:tr w:rsidR="00E040FD" w14:paraId="0A22D6D8" w14:textId="77777777">
        <w:trPr>
          <w:trHeight w:val="509"/>
        </w:trPr>
        <w:tc>
          <w:tcPr>
            <w:tcW w:w="1200" w:type="dxa"/>
            <w:vMerge w:val="restart"/>
            <w:shd w:val="clear" w:color="auto" w:fill="BDD7EE"/>
            <w:vAlign w:val="center"/>
            <w:hideMark/>
          </w:tcPr>
          <w:p w14:paraId="0638121E"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vMerge w:val="restart"/>
            <w:shd w:val="clear" w:color="auto" w:fill="BDD7EE"/>
            <w:vAlign w:val="center"/>
            <w:hideMark/>
          </w:tcPr>
          <w:p w14:paraId="301BBB67"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vMerge w:val="restart"/>
            <w:shd w:val="clear" w:color="auto" w:fill="BDD7EE"/>
            <w:vAlign w:val="center"/>
            <w:hideMark/>
          </w:tcPr>
          <w:p w14:paraId="32F1223B"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vMerge w:val="restart"/>
            <w:shd w:val="clear" w:color="auto" w:fill="BDD7EE"/>
            <w:vAlign w:val="center"/>
            <w:hideMark/>
          </w:tcPr>
          <w:p w14:paraId="67BAF3AB"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655C06D0" w14:textId="77777777">
        <w:trPr>
          <w:trHeight w:val="509"/>
        </w:trPr>
        <w:tc>
          <w:tcPr>
            <w:tcW w:w="1200" w:type="dxa"/>
            <w:vMerge/>
            <w:vAlign w:val="center"/>
            <w:hideMark/>
          </w:tcPr>
          <w:p w14:paraId="7598C946" w14:textId="77777777" w:rsidR="00E040FD" w:rsidRDefault="00E040FD">
            <w:pPr>
              <w:spacing w:after="0" w:line="240" w:lineRule="auto"/>
              <w:rPr>
                <w:rFonts w:ascii="Times New Roman" w:eastAsia="Times New Roman" w:hAnsi="Times New Roman" w:cs="Times New Roman"/>
                <w:noProof/>
                <w:sz w:val="20"/>
              </w:rPr>
            </w:pPr>
          </w:p>
        </w:tc>
        <w:tc>
          <w:tcPr>
            <w:tcW w:w="1760" w:type="dxa"/>
            <w:vMerge/>
            <w:vAlign w:val="center"/>
            <w:hideMark/>
          </w:tcPr>
          <w:p w14:paraId="016E741A" w14:textId="77777777" w:rsidR="00E040FD" w:rsidRDefault="00E040FD">
            <w:pPr>
              <w:spacing w:after="0" w:line="240" w:lineRule="auto"/>
              <w:rPr>
                <w:rFonts w:ascii="Times New Roman" w:eastAsia="Times New Roman" w:hAnsi="Times New Roman" w:cs="Times New Roman"/>
                <w:noProof/>
                <w:sz w:val="20"/>
              </w:rPr>
            </w:pPr>
          </w:p>
        </w:tc>
        <w:tc>
          <w:tcPr>
            <w:tcW w:w="1520" w:type="dxa"/>
            <w:vMerge/>
            <w:vAlign w:val="center"/>
            <w:hideMark/>
          </w:tcPr>
          <w:p w14:paraId="0568ABB1" w14:textId="77777777" w:rsidR="00E040FD" w:rsidRDefault="00E040FD">
            <w:pPr>
              <w:spacing w:after="0" w:line="240" w:lineRule="auto"/>
              <w:rPr>
                <w:rFonts w:ascii="Times New Roman" w:eastAsia="Times New Roman" w:hAnsi="Times New Roman" w:cs="Times New Roman"/>
                <w:noProof/>
                <w:sz w:val="20"/>
              </w:rPr>
            </w:pPr>
          </w:p>
        </w:tc>
        <w:tc>
          <w:tcPr>
            <w:tcW w:w="5060" w:type="dxa"/>
            <w:vMerge/>
            <w:vAlign w:val="center"/>
            <w:hideMark/>
          </w:tcPr>
          <w:p w14:paraId="1B8F5928" w14:textId="77777777" w:rsidR="00E040FD" w:rsidRDefault="00E040FD">
            <w:pPr>
              <w:spacing w:after="0" w:line="240" w:lineRule="auto"/>
              <w:rPr>
                <w:rFonts w:ascii="Times New Roman" w:eastAsia="Times New Roman" w:hAnsi="Times New Roman" w:cs="Times New Roman"/>
                <w:noProof/>
                <w:sz w:val="20"/>
              </w:rPr>
            </w:pPr>
          </w:p>
        </w:tc>
      </w:tr>
      <w:tr w:rsidR="00E040FD" w14:paraId="31A58DED" w14:textId="77777777">
        <w:trPr>
          <w:trHeight w:val="440"/>
        </w:trPr>
        <w:tc>
          <w:tcPr>
            <w:tcW w:w="1200" w:type="dxa"/>
            <w:shd w:val="clear" w:color="auto" w:fill="C4EFCE"/>
            <w:vAlign w:val="center"/>
            <w:hideMark/>
          </w:tcPr>
          <w:p w14:paraId="167E4BB8" w14:textId="77777777" w:rsidR="00E040FD" w:rsidRDefault="00740D64">
            <w:pPr>
              <w:pStyle w:val="P68B1DB1-Normal23"/>
              <w:spacing w:after="0"/>
              <w:jc w:val="center"/>
              <w:rPr>
                <w:rFonts w:eastAsia="Calibri" w:cs="Calibri"/>
                <w:noProof/>
              </w:rPr>
            </w:pPr>
            <w:r>
              <w:rPr>
                <w:noProof/>
              </w:rPr>
              <w:t>5.26</w:t>
            </w:r>
          </w:p>
        </w:tc>
        <w:tc>
          <w:tcPr>
            <w:tcW w:w="1760" w:type="dxa"/>
            <w:shd w:val="clear" w:color="auto" w:fill="C4EFCE"/>
            <w:vAlign w:val="center"/>
            <w:hideMark/>
          </w:tcPr>
          <w:p w14:paraId="062B8E17" w14:textId="77777777" w:rsidR="00E040FD" w:rsidRDefault="00740D64">
            <w:pPr>
              <w:pStyle w:val="P68B1DB1-Normal23"/>
              <w:spacing w:after="0"/>
              <w:jc w:val="center"/>
              <w:rPr>
                <w:rFonts w:eastAsia="Calibri" w:cs="Calibri"/>
                <w:noProof/>
              </w:rPr>
            </w:pPr>
            <w:r>
              <w:rPr>
                <w:noProof/>
              </w:rPr>
              <w:t>RE-C05-r13</w:t>
            </w:r>
          </w:p>
        </w:tc>
        <w:tc>
          <w:tcPr>
            <w:tcW w:w="1520" w:type="dxa"/>
            <w:shd w:val="clear" w:color="auto" w:fill="C4EFCE"/>
            <w:vAlign w:val="center"/>
            <w:hideMark/>
          </w:tcPr>
          <w:p w14:paraId="4FF6BD54"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7CA2977" w14:textId="77777777" w:rsidR="00E040FD" w:rsidRDefault="00740D64">
            <w:pPr>
              <w:pStyle w:val="P68B1DB1-Normal23"/>
              <w:spacing w:after="0"/>
              <w:jc w:val="both"/>
              <w:rPr>
                <w:rFonts w:eastAsia="Calibri" w:cs="Calibri"/>
                <w:noProof/>
              </w:rPr>
            </w:pPr>
            <w:r>
              <w:rPr>
                <w:noProof/>
              </w:rPr>
              <w:t>Utveckling av kapitalmarknaden – lagstiftning träder i kraft</w:t>
            </w:r>
          </w:p>
        </w:tc>
      </w:tr>
      <w:tr w:rsidR="00E040FD" w14:paraId="71DDD36A" w14:textId="77777777">
        <w:trPr>
          <w:trHeight w:val="440"/>
        </w:trPr>
        <w:tc>
          <w:tcPr>
            <w:tcW w:w="1200" w:type="dxa"/>
            <w:shd w:val="clear" w:color="auto" w:fill="C4EFCE"/>
            <w:vAlign w:val="center"/>
            <w:hideMark/>
          </w:tcPr>
          <w:p w14:paraId="374292D1" w14:textId="77777777" w:rsidR="00E040FD" w:rsidRDefault="00740D64">
            <w:pPr>
              <w:pStyle w:val="P68B1DB1-Normal23"/>
              <w:spacing w:after="0"/>
              <w:jc w:val="center"/>
              <w:rPr>
                <w:rFonts w:eastAsia="Calibri" w:cs="Calibri"/>
                <w:noProof/>
              </w:rPr>
            </w:pPr>
            <w:r>
              <w:rPr>
                <w:noProof/>
              </w:rPr>
              <w:t>5.43</w:t>
            </w:r>
          </w:p>
        </w:tc>
        <w:tc>
          <w:tcPr>
            <w:tcW w:w="1760" w:type="dxa"/>
            <w:shd w:val="clear" w:color="auto" w:fill="C4EFCE"/>
            <w:vAlign w:val="center"/>
            <w:hideMark/>
          </w:tcPr>
          <w:p w14:paraId="10072DFA" w14:textId="77777777" w:rsidR="00E040FD" w:rsidRDefault="00740D64">
            <w:pPr>
              <w:pStyle w:val="P68B1DB1-Normal23"/>
              <w:spacing w:after="0"/>
              <w:jc w:val="center"/>
              <w:rPr>
                <w:rFonts w:eastAsia="Calibri" w:cs="Calibri"/>
                <w:noProof/>
              </w:rPr>
            </w:pPr>
            <w:r>
              <w:rPr>
                <w:noProof/>
              </w:rPr>
              <w:t>RE-C05-i06</w:t>
            </w:r>
          </w:p>
        </w:tc>
        <w:tc>
          <w:tcPr>
            <w:tcW w:w="1520" w:type="dxa"/>
            <w:shd w:val="clear" w:color="auto" w:fill="C4EFCE"/>
            <w:vAlign w:val="center"/>
            <w:hideMark/>
          </w:tcPr>
          <w:p w14:paraId="7E7B7F52"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2D07322" w14:textId="77777777" w:rsidR="00E040FD" w:rsidRDefault="00740D64">
            <w:pPr>
              <w:pStyle w:val="P68B1DB1-Normal23"/>
              <w:spacing w:after="0"/>
              <w:jc w:val="both"/>
              <w:rPr>
                <w:rFonts w:eastAsia="Calibri" w:cs="Calibri"/>
                <w:noProof/>
              </w:rPr>
            </w:pPr>
            <w:r>
              <w:rPr>
                <w:noProof/>
              </w:rPr>
              <w:t>Tillhandahållande per kapitaliseringsinstrument av totalt 650 000 000 EUR till portugisiska icke-finansiella företag i form av eget kapital och därmed likställt kapital, i linje med dess investeringspolicy.</w:t>
            </w:r>
          </w:p>
        </w:tc>
      </w:tr>
      <w:tr w:rsidR="00E040FD" w14:paraId="67BDDC9F" w14:textId="77777777">
        <w:trPr>
          <w:trHeight w:val="440"/>
        </w:trPr>
        <w:tc>
          <w:tcPr>
            <w:tcW w:w="1200" w:type="dxa"/>
            <w:shd w:val="clear" w:color="auto" w:fill="C4EFCE"/>
            <w:vAlign w:val="center"/>
            <w:hideMark/>
          </w:tcPr>
          <w:p w14:paraId="66047135" w14:textId="77777777" w:rsidR="00E040FD" w:rsidRDefault="00740D64">
            <w:pPr>
              <w:pStyle w:val="P68B1DB1-Normal23"/>
              <w:spacing w:after="0"/>
              <w:jc w:val="center"/>
              <w:rPr>
                <w:rFonts w:eastAsia="Calibri" w:cs="Calibri"/>
                <w:noProof/>
              </w:rPr>
            </w:pPr>
            <w:r>
              <w:rPr>
                <w:noProof/>
              </w:rPr>
              <w:t>5.46</w:t>
            </w:r>
          </w:p>
        </w:tc>
        <w:tc>
          <w:tcPr>
            <w:tcW w:w="1760" w:type="dxa"/>
            <w:shd w:val="clear" w:color="auto" w:fill="C4EFCE"/>
            <w:vAlign w:val="center"/>
            <w:hideMark/>
          </w:tcPr>
          <w:p w14:paraId="5377E714" w14:textId="0B051042" w:rsidR="00E040FD" w:rsidRDefault="00740D64">
            <w:pPr>
              <w:pStyle w:val="P68B1DB1-Normal23"/>
              <w:spacing w:after="0"/>
              <w:jc w:val="center"/>
              <w:rPr>
                <w:rFonts w:eastAsia="Calibri" w:cs="Calibri"/>
                <w:noProof/>
              </w:rPr>
            </w:pPr>
            <w:r>
              <w:rPr>
                <w:noProof/>
              </w:rPr>
              <w:t>RE-C05-i12</w:t>
            </w:r>
          </w:p>
        </w:tc>
        <w:tc>
          <w:tcPr>
            <w:tcW w:w="1520" w:type="dxa"/>
            <w:shd w:val="clear" w:color="auto" w:fill="C4EFCE"/>
            <w:vAlign w:val="center"/>
            <w:hideMark/>
          </w:tcPr>
          <w:p w14:paraId="39E8C887"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261A9DA" w14:textId="77777777" w:rsidR="00E040FD" w:rsidRDefault="00740D64">
            <w:pPr>
              <w:pStyle w:val="P68B1DB1-Normal23"/>
              <w:spacing w:after="0"/>
              <w:jc w:val="both"/>
              <w:rPr>
                <w:rFonts w:eastAsia="Calibri" w:cs="Calibri"/>
                <w:noProof/>
              </w:rPr>
            </w:pPr>
            <w:r>
              <w:rPr>
                <w:noProof/>
              </w:rPr>
              <w:t>Ingående av avtal för att utveckla nya produkter, processer eller tjänster på strategiska områden som är relevanta för en koldioxidsnål ekonomi, motståndskraft mot och anpassning till klimatförändringar.</w:t>
            </w:r>
          </w:p>
        </w:tc>
      </w:tr>
      <w:tr w:rsidR="00E040FD" w14:paraId="783646DD" w14:textId="77777777">
        <w:trPr>
          <w:trHeight w:val="440"/>
        </w:trPr>
        <w:tc>
          <w:tcPr>
            <w:tcW w:w="1200" w:type="dxa"/>
            <w:shd w:val="clear" w:color="auto" w:fill="C4EFCE"/>
            <w:vAlign w:val="center"/>
            <w:hideMark/>
          </w:tcPr>
          <w:p w14:paraId="79C5A416" w14:textId="77777777" w:rsidR="00E040FD" w:rsidRDefault="00740D64">
            <w:pPr>
              <w:pStyle w:val="P68B1DB1-Normal23"/>
              <w:spacing w:after="0"/>
              <w:jc w:val="center"/>
              <w:rPr>
                <w:rFonts w:eastAsia="Calibri" w:cs="Calibri"/>
                <w:noProof/>
              </w:rPr>
            </w:pPr>
            <w:r>
              <w:rPr>
                <w:noProof/>
              </w:rPr>
              <w:t>9.10</w:t>
            </w:r>
          </w:p>
        </w:tc>
        <w:tc>
          <w:tcPr>
            <w:tcW w:w="1760" w:type="dxa"/>
            <w:shd w:val="clear" w:color="auto" w:fill="C4EFCE"/>
            <w:vAlign w:val="center"/>
            <w:hideMark/>
          </w:tcPr>
          <w:p w14:paraId="2E34E883" w14:textId="77777777" w:rsidR="00E040FD" w:rsidRDefault="00740D64">
            <w:pPr>
              <w:pStyle w:val="P68B1DB1-Normal23"/>
              <w:spacing w:after="0"/>
              <w:jc w:val="center"/>
              <w:rPr>
                <w:rFonts w:eastAsia="Calibri" w:cs="Calibri"/>
                <w:noProof/>
              </w:rPr>
            </w:pPr>
            <w:r>
              <w:rPr>
                <w:noProof/>
              </w:rPr>
              <w:t>RE-C09-i02</w:t>
            </w:r>
          </w:p>
        </w:tc>
        <w:tc>
          <w:tcPr>
            <w:tcW w:w="1520" w:type="dxa"/>
            <w:shd w:val="clear" w:color="auto" w:fill="C4EFCE"/>
            <w:vAlign w:val="center"/>
            <w:hideMark/>
          </w:tcPr>
          <w:p w14:paraId="3EC8C1A2"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6B927BD" w14:textId="77777777" w:rsidR="00E040FD" w:rsidRDefault="00740D64">
            <w:pPr>
              <w:pStyle w:val="P68B1DB1-Normal23"/>
              <w:spacing w:after="0"/>
              <w:jc w:val="both"/>
              <w:rPr>
                <w:rFonts w:eastAsia="Calibri" w:cs="Calibri"/>
                <w:noProof/>
              </w:rPr>
            </w:pPr>
            <w:r>
              <w:rPr>
                <w:noProof/>
              </w:rPr>
              <w:t>Villkorad av en positiv miljökonsekvensbedömning som till fullo och i sak uppfyller de rättsliga kriterierna, antagande av en uppdaterad utformning av produktionen och bevattningen av dammen, vattenkraft och solenergi, med fullständig integrering av alla resultat och villkor från miljökonsekvensbedömningen.</w:t>
            </w:r>
          </w:p>
        </w:tc>
      </w:tr>
      <w:tr w:rsidR="00E040FD" w14:paraId="4044B104" w14:textId="77777777">
        <w:trPr>
          <w:trHeight w:val="440"/>
        </w:trPr>
        <w:tc>
          <w:tcPr>
            <w:tcW w:w="1200" w:type="dxa"/>
            <w:shd w:val="clear" w:color="auto" w:fill="C4EFCE"/>
            <w:vAlign w:val="center"/>
            <w:hideMark/>
          </w:tcPr>
          <w:p w14:paraId="554977E2" w14:textId="77777777" w:rsidR="00E040FD" w:rsidRDefault="00740D64">
            <w:pPr>
              <w:pStyle w:val="P68B1DB1-Normal23"/>
              <w:spacing w:after="0"/>
              <w:jc w:val="center"/>
              <w:rPr>
                <w:rFonts w:eastAsia="Calibri" w:cs="Calibri"/>
                <w:noProof/>
              </w:rPr>
            </w:pPr>
            <w:r>
              <w:rPr>
                <w:noProof/>
              </w:rPr>
              <w:t>10.5</w:t>
            </w:r>
          </w:p>
        </w:tc>
        <w:tc>
          <w:tcPr>
            <w:tcW w:w="1760" w:type="dxa"/>
            <w:shd w:val="clear" w:color="auto" w:fill="C4EFCE"/>
            <w:vAlign w:val="center"/>
            <w:hideMark/>
          </w:tcPr>
          <w:p w14:paraId="7E88ECA5" w14:textId="77777777" w:rsidR="00E040FD" w:rsidRDefault="00740D64">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65EB6416"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26B7A6F" w14:textId="77777777" w:rsidR="00E040FD" w:rsidRDefault="00740D64">
            <w:pPr>
              <w:pStyle w:val="P68B1DB1-Normal23"/>
              <w:spacing w:after="0"/>
              <w:jc w:val="both"/>
              <w:rPr>
                <w:rFonts w:eastAsia="Calibri" w:cs="Calibri"/>
                <w:noProof/>
              </w:rPr>
            </w:pPr>
            <w:r>
              <w:rPr>
                <w:noProof/>
              </w:rPr>
              <w:t>Undertecknande av kontraktet för den multifunktionella marina plattformen och operationscentrumet</w:t>
            </w:r>
          </w:p>
        </w:tc>
      </w:tr>
      <w:tr w:rsidR="00E040FD" w14:paraId="2B9DFF49" w14:textId="77777777">
        <w:trPr>
          <w:trHeight w:val="440"/>
        </w:trPr>
        <w:tc>
          <w:tcPr>
            <w:tcW w:w="1200" w:type="dxa"/>
            <w:shd w:val="clear" w:color="auto" w:fill="C4EFCE"/>
            <w:vAlign w:val="center"/>
            <w:hideMark/>
          </w:tcPr>
          <w:p w14:paraId="2647C53D" w14:textId="77777777" w:rsidR="00E040FD" w:rsidRDefault="00740D64">
            <w:pPr>
              <w:pStyle w:val="P68B1DB1-Normal23"/>
              <w:spacing w:after="0"/>
              <w:jc w:val="center"/>
              <w:rPr>
                <w:rFonts w:eastAsia="Calibri" w:cs="Calibri"/>
                <w:noProof/>
              </w:rPr>
            </w:pPr>
            <w:r>
              <w:rPr>
                <w:noProof/>
              </w:rPr>
              <w:t>10.6</w:t>
            </w:r>
          </w:p>
        </w:tc>
        <w:tc>
          <w:tcPr>
            <w:tcW w:w="1760" w:type="dxa"/>
            <w:shd w:val="clear" w:color="auto" w:fill="C4EFCE"/>
            <w:vAlign w:val="center"/>
            <w:hideMark/>
          </w:tcPr>
          <w:p w14:paraId="2A668662" w14:textId="77777777" w:rsidR="00E040FD" w:rsidRDefault="00740D64">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3A3E338C"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F4C4272" w14:textId="77777777" w:rsidR="00E040FD" w:rsidRDefault="00740D64">
            <w:pPr>
              <w:pStyle w:val="P68B1DB1-Normal23"/>
              <w:spacing w:after="0"/>
              <w:jc w:val="both"/>
              <w:rPr>
                <w:rFonts w:eastAsia="Calibri" w:cs="Calibri"/>
                <w:noProof/>
              </w:rPr>
            </w:pPr>
            <w:r>
              <w:rPr>
                <w:noProof/>
              </w:rPr>
              <w:t>Färdigställande av Alfeite Arsenal Academy</w:t>
            </w:r>
          </w:p>
        </w:tc>
      </w:tr>
      <w:tr w:rsidR="00E040FD" w14:paraId="6D18500A" w14:textId="77777777">
        <w:trPr>
          <w:trHeight w:val="440"/>
        </w:trPr>
        <w:tc>
          <w:tcPr>
            <w:tcW w:w="1200" w:type="dxa"/>
            <w:shd w:val="clear" w:color="auto" w:fill="C4EFCE"/>
            <w:vAlign w:val="center"/>
            <w:hideMark/>
          </w:tcPr>
          <w:p w14:paraId="67574E56" w14:textId="77777777" w:rsidR="00E040FD" w:rsidRDefault="00740D64">
            <w:pPr>
              <w:pStyle w:val="P68B1DB1-Normal23"/>
              <w:spacing w:after="0"/>
              <w:jc w:val="center"/>
              <w:rPr>
                <w:rFonts w:eastAsia="Calibri" w:cs="Calibri"/>
                <w:noProof/>
              </w:rPr>
            </w:pPr>
            <w:r>
              <w:rPr>
                <w:noProof/>
              </w:rPr>
              <w:t>10.17</w:t>
            </w:r>
          </w:p>
        </w:tc>
        <w:tc>
          <w:tcPr>
            <w:tcW w:w="1760" w:type="dxa"/>
            <w:shd w:val="clear" w:color="auto" w:fill="C4EFCE"/>
            <w:vAlign w:val="center"/>
            <w:hideMark/>
          </w:tcPr>
          <w:p w14:paraId="1B6529A3" w14:textId="77777777" w:rsidR="00E040FD" w:rsidRDefault="00740D64">
            <w:pPr>
              <w:pStyle w:val="P68B1DB1-Normal23"/>
              <w:spacing w:after="0"/>
              <w:jc w:val="center"/>
              <w:rPr>
                <w:rFonts w:eastAsia="Calibri" w:cs="Calibri"/>
                <w:noProof/>
              </w:rPr>
            </w:pPr>
            <w:r>
              <w:rPr>
                <w:noProof/>
              </w:rPr>
              <w:t>TC-C10-I07</w:t>
            </w:r>
          </w:p>
        </w:tc>
        <w:tc>
          <w:tcPr>
            <w:tcW w:w="1520" w:type="dxa"/>
            <w:shd w:val="clear" w:color="auto" w:fill="C4EFCE"/>
            <w:vAlign w:val="center"/>
            <w:hideMark/>
          </w:tcPr>
          <w:p w14:paraId="12FB1760"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5BC8A74" w14:textId="77777777" w:rsidR="00E040FD" w:rsidRDefault="00740D64">
            <w:pPr>
              <w:pStyle w:val="P68B1DB1-Normal23"/>
              <w:spacing w:after="0"/>
              <w:jc w:val="both"/>
              <w:rPr>
                <w:rFonts w:eastAsia="Calibri" w:cs="Calibri"/>
                <w:noProof/>
              </w:rPr>
            </w:pPr>
            <w:r>
              <w:rPr>
                <w:noProof/>
              </w:rPr>
              <w:t>Inledande av anbudsinfordringar för utfasning av fossila bränslen från fartyg</w:t>
            </w:r>
          </w:p>
        </w:tc>
      </w:tr>
      <w:tr w:rsidR="00E040FD" w14:paraId="433CADC7" w14:textId="77777777">
        <w:trPr>
          <w:trHeight w:val="440"/>
        </w:trPr>
        <w:tc>
          <w:tcPr>
            <w:tcW w:w="1200" w:type="dxa"/>
            <w:shd w:val="clear" w:color="auto" w:fill="C4EFCE"/>
            <w:vAlign w:val="center"/>
            <w:hideMark/>
          </w:tcPr>
          <w:p w14:paraId="58C38FE9" w14:textId="77777777" w:rsidR="00E040FD" w:rsidRDefault="00740D6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174B648" w14:textId="77777777" w:rsidR="00E040FD" w:rsidRDefault="00740D6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581E3C9"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shd w:val="clear" w:color="auto" w:fill="C4EFCE"/>
            <w:vAlign w:val="center"/>
            <w:hideMark/>
          </w:tcPr>
          <w:p w14:paraId="730C8AFB" w14:textId="36EB2DD1" w:rsidR="00E040FD" w:rsidRDefault="00740D64">
            <w:pPr>
              <w:pStyle w:val="P68B1DB1-Normal25"/>
              <w:spacing w:after="0" w:line="240" w:lineRule="auto"/>
              <w:jc w:val="center"/>
              <w:rPr>
                <w:rFonts w:cs="Calibri"/>
                <w:noProof/>
              </w:rPr>
            </w:pPr>
            <w:r>
              <w:rPr>
                <w:noProof/>
              </w:rPr>
              <w:t xml:space="preserve"> 1 313 054 513 EUR </w:t>
            </w:r>
          </w:p>
        </w:tc>
      </w:tr>
    </w:tbl>
    <w:p w14:paraId="776DB0E1"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Sjätte betalningsansökan (lånestöd): </w:t>
      </w:r>
    </w:p>
    <w:p w14:paraId="4627AFE2"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48"/>
        <w:gridCol w:w="1513"/>
        <w:gridCol w:w="4985"/>
      </w:tblGrid>
      <w:tr w:rsidR="00E040FD" w14:paraId="472DF692" w14:textId="77777777">
        <w:trPr>
          <w:trHeight w:val="1018"/>
        </w:trPr>
        <w:tc>
          <w:tcPr>
            <w:tcW w:w="1200" w:type="dxa"/>
            <w:shd w:val="clear" w:color="auto" w:fill="BDD7EE"/>
            <w:vAlign w:val="center"/>
            <w:hideMark/>
          </w:tcPr>
          <w:p w14:paraId="7B934C96"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shd w:val="clear" w:color="auto" w:fill="BDD7EE"/>
            <w:vAlign w:val="center"/>
            <w:hideMark/>
          </w:tcPr>
          <w:p w14:paraId="5CEE0E60"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shd w:val="clear" w:color="auto" w:fill="BDD7EE"/>
            <w:vAlign w:val="center"/>
            <w:hideMark/>
          </w:tcPr>
          <w:p w14:paraId="33AA6AB1"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shd w:val="clear" w:color="auto" w:fill="BDD7EE"/>
            <w:vAlign w:val="center"/>
            <w:hideMark/>
          </w:tcPr>
          <w:p w14:paraId="2BCBDEC5"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248D56A1" w14:textId="77777777">
        <w:trPr>
          <w:trHeight w:val="440"/>
        </w:trPr>
        <w:tc>
          <w:tcPr>
            <w:tcW w:w="1200" w:type="dxa"/>
            <w:shd w:val="clear" w:color="auto" w:fill="C4EFCE"/>
            <w:vAlign w:val="center"/>
            <w:hideMark/>
          </w:tcPr>
          <w:p w14:paraId="4959120F" w14:textId="77777777" w:rsidR="00E040FD" w:rsidRDefault="00740D64">
            <w:pPr>
              <w:pStyle w:val="P68B1DB1-Normal23"/>
              <w:spacing w:after="0"/>
              <w:jc w:val="center"/>
              <w:rPr>
                <w:rFonts w:eastAsia="Calibri" w:cs="Calibri"/>
                <w:noProof/>
              </w:rPr>
            </w:pPr>
            <w:r>
              <w:rPr>
                <w:noProof/>
              </w:rPr>
              <w:t>15.7</w:t>
            </w:r>
          </w:p>
        </w:tc>
        <w:tc>
          <w:tcPr>
            <w:tcW w:w="1760" w:type="dxa"/>
            <w:shd w:val="clear" w:color="auto" w:fill="C4EFCE"/>
            <w:vAlign w:val="center"/>
            <w:hideMark/>
          </w:tcPr>
          <w:p w14:paraId="7916AD2D" w14:textId="27F376C2" w:rsidR="00E040FD" w:rsidRDefault="00740D64">
            <w:pPr>
              <w:pStyle w:val="P68B1DB1-Normal23"/>
              <w:spacing w:after="0"/>
              <w:jc w:val="center"/>
              <w:rPr>
                <w:rFonts w:eastAsia="Calibri" w:cs="Calibri"/>
                <w:noProof/>
              </w:rPr>
            </w:pPr>
            <w:r>
              <w:rPr>
                <w:noProof/>
              </w:rPr>
              <w:t>TC-C15-I03</w:t>
            </w:r>
          </w:p>
        </w:tc>
        <w:tc>
          <w:tcPr>
            <w:tcW w:w="1520" w:type="dxa"/>
            <w:shd w:val="clear" w:color="auto" w:fill="C4EFCE"/>
            <w:vAlign w:val="center"/>
            <w:hideMark/>
          </w:tcPr>
          <w:p w14:paraId="75FE8E7B"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1ACFDB1" w14:textId="77777777" w:rsidR="00E040FD" w:rsidRDefault="00740D64">
            <w:pPr>
              <w:pStyle w:val="P68B1DB1-Normal23"/>
              <w:spacing w:after="0"/>
              <w:jc w:val="both"/>
              <w:rPr>
                <w:rFonts w:eastAsia="Calibri" w:cs="Calibri"/>
                <w:noProof/>
              </w:rPr>
            </w:pPr>
            <w:r>
              <w:rPr>
                <w:noProof/>
              </w:rPr>
              <w:t>Undertecknande av avtalet om anläggande av en transitlinje för lätta tåg mellan Odivelas och Loures</w:t>
            </w:r>
          </w:p>
        </w:tc>
      </w:tr>
      <w:tr w:rsidR="00E040FD" w14:paraId="258C3A70" w14:textId="77777777">
        <w:trPr>
          <w:trHeight w:val="440"/>
        </w:trPr>
        <w:tc>
          <w:tcPr>
            <w:tcW w:w="1200" w:type="dxa"/>
            <w:shd w:val="clear" w:color="auto" w:fill="C4EFCE"/>
            <w:vAlign w:val="center"/>
          </w:tcPr>
          <w:p w14:paraId="0AE9FA9B" w14:textId="260E9AD6" w:rsidR="00E040FD" w:rsidRDefault="00740D64">
            <w:pPr>
              <w:pStyle w:val="P68B1DB1-Normal23"/>
              <w:spacing w:after="0"/>
              <w:jc w:val="center"/>
              <w:rPr>
                <w:rFonts w:eastAsia="Calibri" w:cs="Calibri"/>
                <w:noProof/>
              </w:rPr>
            </w:pPr>
            <w:r>
              <w:rPr>
                <w:noProof/>
              </w:rPr>
              <w:t>19.31</w:t>
            </w:r>
          </w:p>
        </w:tc>
        <w:tc>
          <w:tcPr>
            <w:tcW w:w="1760" w:type="dxa"/>
            <w:shd w:val="clear" w:color="auto" w:fill="C4EFCE"/>
            <w:vAlign w:val="center"/>
          </w:tcPr>
          <w:p w14:paraId="4D3FC2B5" w14:textId="1956D4BE" w:rsidR="00E040FD" w:rsidRDefault="00740D64">
            <w:pPr>
              <w:pStyle w:val="P68B1DB1-Normal23"/>
              <w:spacing w:after="0"/>
              <w:jc w:val="center"/>
              <w:rPr>
                <w:rFonts w:eastAsia="Calibri" w:cs="Calibri"/>
                <w:noProof/>
              </w:rPr>
            </w:pPr>
            <w:r>
              <w:rPr>
                <w:noProof/>
              </w:rPr>
              <w:t xml:space="preserve">TD-C19-r42  </w:t>
            </w:r>
          </w:p>
        </w:tc>
        <w:tc>
          <w:tcPr>
            <w:tcW w:w="1520" w:type="dxa"/>
            <w:shd w:val="clear" w:color="auto" w:fill="C4EFCE"/>
            <w:vAlign w:val="center"/>
          </w:tcPr>
          <w:p w14:paraId="221D6EA6" w14:textId="332C3E10"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tcPr>
          <w:p w14:paraId="5E2AA86D" w14:textId="4355B8C4" w:rsidR="00E040FD" w:rsidRDefault="00740D64">
            <w:pPr>
              <w:pStyle w:val="P68B1DB1-Normal23"/>
              <w:spacing w:after="0"/>
              <w:jc w:val="both"/>
              <w:rPr>
                <w:rFonts w:eastAsia="Calibri" w:cs="Calibri"/>
                <w:noProof/>
              </w:rPr>
            </w:pPr>
            <w:r>
              <w:rPr>
                <w:noProof/>
              </w:rPr>
              <w:t>Ikraftträdande av den rättsakt som reviderar SIADAP</w:t>
            </w:r>
          </w:p>
        </w:tc>
      </w:tr>
      <w:tr w:rsidR="00E040FD" w14:paraId="32B276DA" w14:textId="77777777">
        <w:trPr>
          <w:trHeight w:val="440"/>
        </w:trPr>
        <w:tc>
          <w:tcPr>
            <w:tcW w:w="1200" w:type="dxa"/>
            <w:shd w:val="clear" w:color="auto" w:fill="C4EFCE"/>
            <w:vAlign w:val="center"/>
          </w:tcPr>
          <w:p w14:paraId="762889A1" w14:textId="4A9DFF95" w:rsidR="00E040FD" w:rsidRDefault="00740D64">
            <w:pPr>
              <w:pStyle w:val="P68B1DB1-Normal23"/>
              <w:spacing w:after="0"/>
              <w:jc w:val="center"/>
              <w:rPr>
                <w:rFonts w:eastAsia="Calibri" w:cs="Calibri"/>
                <w:noProof/>
              </w:rPr>
            </w:pPr>
            <w:r>
              <w:rPr>
                <w:noProof/>
              </w:rPr>
              <w:t>19.32</w:t>
            </w:r>
          </w:p>
        </w:tc>
        <w:tc>
          <w:tcPr>
            <w:tcW w:w="1760" w:type="dxa"/>
            <w:shd w:val="clear" w:color="auto" w:fill="C4EFCE"/>
            <w:vAlign w:val="center"/>
          </w:tcPr>
          <w:p w14:paraId="0C34D2D0" w14:textId="2A62E2CD" w:rsidR="00E040FD" w:rsidRDefault="00740D64">
            <w:pPr>
              <w:pStyle w:val="P68B1DB1-Normal23"/>
              <w:spacing w:after="0"/>
              <w:jc w:val="center"/>
              <w:rPr>
                <w:rFonts w:eastAsia="Calibri" w:cs="Calibri"/>
                <w:noProof/>
              </w:rPr>
            </w:pPr>
            <w:r>
              <w:rPr>
                <w:noProof/>
              </w:rPr>
              <w:t xml:space="preserve">TD-C19-r42  </w:t>
            </w:r>
          </w:p>
        </w:tc>
        <w:tc>
          <w:tcPr>
            <w:tcW w:w="1520" w:type="dxa"/>
            <w:shd w:val="clear" w:color="auto" w:fill="C4EFCE"/>
            <w:vAlign w:val="center"/>
          </w:tcPr>
          <w:p w14:paraId="618829A3" w14:textId="2EA3ACFD"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tcPr>
          <w:p w14:paraId="3FB23545" w14:textId="58302992" w:rsidR="00E040FD" w:rsidRDefault="00740D64">
            <w:pPr>
              <w:pStyle w:val="P68B1DB1-Normal23"/>
              <w:spacing w:after="0"/>
              <w:jc w:val="both"/>
              <w:rPr>
                <w:rFonts w:eastAsia="Calibri" w:cs="Calibri"/>
                <w:noProof/>
              </w:rPr>
            </w:pPr>
            <w:r>
              <w:rPr>
                <w:noProof/>
              </w:rPr>
              <w:t>Ikraftträdande av den rättsakt som reviderar den offentliga förvaltningens kompetensprofil</w:t>
            </w:r>
          </w:p>
        </w:tc>
      </w:tr>
      <w:tr w:rsidR="00E040FD" w14:paraId="383E267E" w14:textId="77777777">
        <w:trPr>
          <w:trHeight w:val="440"/>
        </w:trPr>
        <w:tc>
          <w:tcPr>
            <w:tcW w:w="1200" w:type="dxa"/>
            <w:shd w:val="clear" w:color="auto" w:fill="C4EFCE"/>
            <w:vAlign w:val="center"/>
            <w:hideMark/>
          </w:tcPr>
          <w:p w14:paraId="5D412478" w14:textId="77777777" w:rsidR="00E040FD" w:rsidRDefault="00740D64">
            <w:pPr>
              <w:pStyle w:val="P68B1DB1-Normal23"/>
              <w:spacing w:after="0" w:line="240" w:lineRule="auto"/>
              <w:jc w:val="center"/>
              <w:rPr>
                <w:rFonts w:eastAsia="Times New Roman" w:cs="Calibri"/>
                <w:noProof/>
              </w:rPr>
            </w:pPr>
            <w:r>
              <w:rPr>
                <w:noProof/>
              </w:rPr>
              <w:t> </w:t>
            </w:r>
          </w:p>
        </w:tc>
        <w:tc>
          <w:tcPr>
            <w:tcW w:w="1760" w:type="dxa"/>
            <w:shd w:val="clear" w:color="auto" w:fill="C4EFCE"/>
            <w:vAlign w:val="center"/>
            <w:hideMark/>
          </w:tcPr>
          <w:p w14:paraId="27210276" w14:textId="77777777" w:rsidR="00E040FD" w:rsidRDefault="00740D64">
            <w:pPr>
              <w:pStyle w:val="P68B1DB1-Normal23"/>
              <w:spacing w:after="0" w:line="240" w:lineRule="auto"/>
              <w:rPr>
                <w:rFonts w:eastAsia="Times New Roman" w:cs="Calibri"/>
                <w:noProof/>
              </w:rPr>
            </w:pPr>
            <w:r>
              <w:rPr>
                <w:noProof/>
              </w:rPr>
              <w:t> </w:t>
            </w:r>
          </w:p>
        </w:tc>
        <w:tc>
          <w:tcPr>
            <w:tcW w:w="1520" w:type="dxa"/>
            <w:shd w:val="clear" w:color="auto" w:fill="C4EFCE"/>
            <w:vAlign w:val="center"/>
            <w:hideMark/>
          </w:tcPr>
          <w:p w14:paraId="38682DCD" w14:textId="77777777" w:rsidR="00E040FD" w:rsidRDefault="00740D64">
            <w:pPr>
              <w:pStyle w:val="P68B1DB1-Normal23"/>
              <w:spacing w:after="0" w:line="240" w:lineRule="auto"/>
              <w:jc w:val="center"/>
              <w:rPr>
                <w:rFonts w:eastAsia="Times New Roman" w:cs="Calibri"/>
                <w:noProof/>
              </w:rPr>
            </w:pPr>
            <w:r>
              <w:rPr>
                <w:noProof/>
              </w:rPr>
              <w:t>Delbetalning, belopp</w:t>
            </w:r>
          </w:p>
        </w:tc>
        <w:tc>
          <w:tcPr>
            <w:tcW w:w="5060" w:type="dxa"/>
            <w:shd w:val="clear" w:color="auto" w:fill="C4EFCE"/>
            <w:vAlign w:val="center"/>
            <w:hideMark/>
          </w:tcPr>
          <w:p w14:paraId="0FB1EF83" w14:textId="29D26B48" w:rsidR="00E040FD" w:rsidRDefault="00740D64">
            <w:pPr>
              <w:pStyle w:val="P68B1DB1-Normal25"/>
              <w:spacing w:after="0" w:line="240" w:lineRule="auto"/>
              <w:jc w:val="center"/>
              <w:rPr>
                <w:rFonts w:cs="Calibri"/>
                <w:noProof/>
              </w:rPr>
            </w:pPr>
            <w:r>
              <w:rPr>
                <w:noProof/>
              </w:rPr>
              <w:t xml:space="preserve"> 366 243 120 EUR </w:t>
            </w:r>
          </w:p>
        </w:tc>
      </w:tr>
    </w:tbl>
    <w:p w14:paraId="43578890"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0B71B7AD"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Sjunde betalningsansökan (lånestöd):</w:t>
      </w:r>
    </w:p>
    <w:p w14:paraId="24A030D4"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tbl>
      <w:tblPr>
        <w:tblW w:w="0" w:type="auto"/>
        <w:tblInd w:w="108" w:type="dxa"/>
        <w:tblLook w:val="04A0" w:firstRow="1" w:lastRow="0" w:firstColumn="1" w:lastColumn="0" w:noHBand="0" w:noVBand="1"/>
      </w:tblPr>
      <w:tblGrid>
        <w:gridCol w:w="1294"/>
        <w:gridCol w:w="1760"/>
        <w:gridCol w:w="1520"/>
        <w:gridCol w:w="5060"/>
      </w:tblGrid>
      <w:tr w:rsidR="00E040FD" w14:paraId="29B816DE"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307E0BB5"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6E93FEA9"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E9D866A"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3C3A7570"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582BD1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1651F993" w14:textId="77777777" w:rsidR="00E040FD" w:rsidRDefault="00740D64">
            <w:pPr>
              <w:pStyle w:val="P68B1DB1-Normal23"/>
              <w:spacing w:after="0"/>
              <w:jc w:val="center"/>
              <w:rPr>
                <w:rFonts w:eastAsia="Calibri" w:cs="Calibri"/>
                <w:noProof/>
              </w:rPr>
            </w:pPr>
            <w:r>
              <w:rPr>
                <w:noProof/>
              </w:rPr>
              <w:t>2.21</w:t>
            </w:r>
          </w:p>
        </w:tc>
        <w:tc>
          <w:tcPr>
            <w:tcW w:w="1760" w:type="dxa"/>
            <w:tcBorders>
              <w:top w:val="nil"/>
              <w:left w:val="nil"/>
              <w:bottom w:val="single" w:sz="4" w:space="0" w:color="auto"/>
              <w:right w:val="single" w:sz="4" w:space="0" w:color="auto"/>
            </w:tcBorders>
            <w:shd w:val="clear" w:color="auto" w:fill="C4EFCE"/>
            <w:vAlign w:val="center"/>
          </w:tcPr>
          <w:p w14:paraId="61E03559" w14:textId="77777777" w:rsidR="00E040FD" w:rsidRDefault="00740D64">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716B72F7"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4226738D" w14:textId="77777777" w:rsidR="00E040FD" w:rsidRDefault="00740D64">
            <w:pPr>
              <w:pStyle w:val="P68B1DB1-Normal23"/>
              <w:spacing w:after="0"/>
              <w:jc w:val="both"/>
              <w:rPr>
                <w:rFonts w:eastAsia="Calibri" w:cs="Calibri"/>
                <w:noProof/>
              </w:rPr>
            </w:pPr>
            <w:r>
              <w:rPr>
                <w:noProof/>
              </w:rPr>
              <w:t>Offentliga bostäder till överkomliga priser – bostäder med påbörjat arbete (byggda med hög energieffektivitet eller som renoverats med förbättrad energiprestanda)</w:t>
            </w:r>
          </w:p>
        </w:tc>
      </w:tr>
      <w:tr w:rsidR="00E040FD" w14:paraId="0BF1C5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4221612" w14:textId="77777777" w:rsidR="00E040FD" w:rsidRDefault="00740D64">
            <w:pPr>
              <w:pStyle w:val="P68B1DB1-Normal23"/>
              <w:spacing w:after="0"/>
              <w:jc w:val="center"/>
              <w:rPr>
                <w:rFonts w:eastAsia="Calibri" w:cs="Calibri"/>
                <w:noProof/>
              </w:rPr>
            </w:pPr>
            <w:r>
              <w:rPr>
                <w:noProof/>
              </w:rPr>
              <w:t>2.22</w:t>
            </w:r>
          </w:p>
        </w:tc>
        <w:tc>
          <w:tcPr>
            <w:tcW w:w="1760" w:type="dxa"/>
            <w:tcBorders>
              <w:top w:val="nil"/>
              <w:left w:val="nil"/>
              <w:bottom w:val="single" w:sz="4" w:space="0" w:color="auto"/>
              <w:right w:val="single" w:sz="4" w:space="0" w:color="auto"/>
            </w:tcBorders>
            <w:shd w:val="clear" w:color="auto" w:fill="C4EFCE"/>
            <w:vAlign w:val="center"/>
          </w:tcPr>
          <w:p w14:paraId="4AB56C42" w14:textId="77777777" w:rsidR="00E040FD" w:rsidRDefault="00740D64">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2D06F0E7"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7E5487FC" w14:textId="77777777" w:rsidR="00E040FD" w:rsidRDefault="00740D64">
            <w:pPr>
              <w:pStyle w:val="P68B1DB1-Normal23"/>
              <w:spacing w:after="0"/>
              <w:jc w:val="both"/>
              <w:rPr>
                <w:rFonts w:eastAsia="Calibri" w:cs="Calibri"/>
                <w:noProof/>
              </w:rPr>
            </w:pPr>
            <w:r>
              <w:rPr>
                <w:noProof/>
              </w:rPr>
              <w:t>Offentliga bostäder till överkomliga priser – Tilldelade bostäder (byggda med hög energieffektivitet eller som renoverats med förbättrad energiprestanda)</w:t>
            </w:r>
          </w:p>
        </w:tc>
      </w:tr>
      <w:tr w:rsidR="00E040FD" w14:paraId="3D1277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55451CB4" w14:textId="77777777" w:rsidR="00E040FD" w:rsidRDefault="00740D64">
            <w:pPr>
              <w:pStyle w:val="P68B1DB1-Normal23"/>
              <w:spacing w:after="0"/>
              <w:jc w:val="center"/>
              <w:rPr>
                <w:rFonts w:eastAsia="Calibri" w:cs="Calibri"/>
                <w:noProof/>
              </w:rPr>
            </w:pPr>
            <w:r>
              <w:rPr>
                <w:noProof/>
              </w:rPr>
              <w:t>2.26</w:t>
            </w:r>
          </w:p>
        </w:tc>
        <w:tc>
          <w:tcPr>
            <w:tcW w:w="1760" w:type="dxa"/>
            <w:tcBorders>
              <w:top w:val="nil"/>
              <w:left w:val="nil"/>
              <w:bottom w:val="single" w:sz="4" w:space="0" w:color="auto"/>
              <w:right w:val="single" w:sz="4" w:space="0" w:color="auto"/>
            </w:tcBorders>
            <w:shd w:val="clear" w:color="auto" w:fill="C4EFCE"/>
            <w:vAlign w:val="center"/>
          </w:tcPr>
          <w:p w14:paraId="576AFC28" w14:textId="77777777" w:rsidR="00E040FD" w:rsidRDefault="00740D64">
            <w:pPr>
              <w:pStyle w:val="P68B1DB1-Normal23"/>
              <w:spacing w:after="0"/>
              <w:jc w:val="center"/>
              <w:rPr>
                <w:rFonts w:eastAsia="Calibri" w:cs="Calibri"/>
                <w:noProof/>
              </w:rPr>
            </w:pPr>
            <w:r>
              <w:rPr>
                <w:noProof/>
              </w:rPr>
              <w:t>RE-C02-i06</w:t>
            </w:r>
          </w:p>
        </w:tc>
        <w:tc>
          <w:tcPr>
            <w:tcW w:w="1520" w:type="dxa"/>
            <w:tcBorders>
              <w:top w:val="nil"/>
              <w:left w:val="nil"/>
              <w:bottom w:val="single" w:sz="4" w:space="0" w:color="auto"/>
              <w:right w:val="single" w:sz="4" w:space="0" w:color="auto"/>
            </w:tcBorders>
            <w:shd w:val="clear" w:color="auto" w:fill="C4EFCE"/>
            <w:vAlign w:val="center"/>
          </w:tcPr>
          <w:p w14:paraId="3E587169"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62038BAE" w14:textId="77777777" w:rsidR="00E040FD" w:rsidRDefault="00740D64">
            <w:pPr>
              <w:pStyle w:val="P68B1DB1-Normal23"/>
              <w:spacing w:after="0"/>
              <w:jc w:val="both"/>
              <w:rPr>
                <w:rFonts w:eastAsia="Calibri" w:cs="Calibri"/>
                <w:noProof/>
              </w:rPr>
            </w:pPr>
            <w:r>
              <w:rPr>
                <w:noProof/>
              </w:rPr>
              <w:t>Studenternas boende till rimliga kostnader</w:t>
            </w:r>
          </w:p>
        </w:tc>
      </w:tr>
      <w:tr w:rsidR="00E040FD" w14:paraId="295142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87CECBE" w14:textId="77777777" w:rsidR="00E040FD" w:rsidRDefault="00740D64">
            <w:pPr>
              <w:pStyle w:val="P68B1DB1-Normal23"/>
              <w:spacing w:after="0"/>
              <w:jc w:val="center"/>
              <w:rPr>
                <w:rFonts w:eastAsia="Calibri" w:cs="Calibri"/>
                <w:noProof/>
              </w:rPr>
            </w:pPr>
            <w:r>
              <w:rPr>
                <w:noProof/>
              </w:rPr>
              <w:t>6.28</w:t>
            </w:r>
          </w:p>
        </w:tc>
        <w:tc>
          <w:tcPr>
            <w:tcW w:w="1760" w:type="dxa"/>
            <w:tcBorders>
              <w:top w:val="nil"/>
              <w:left w:val="nil"/>
              <w:bottom w:val="single" w:sz="4" w:space="0" w:color="auto"/>
              <w:right w:val="single" w:sz="4" w:space="0" w:color="auto"/>
            </w:tcBorders>
            <w:shd w:val="clear" w:color="auto" w:fill="C4EFCE"/>
            <w:vAlign w:val="center"/>
          </w:tcPr>
          <w:p w14:paraId="3B92DB76" w14:textId="3F6FD07E" w:rsidR="00E040FD" w:rsidRDefault="00740D64">
            <w:pPr>
              <w:pStyle w:val="P68B1DB1-Normal23"/>
              <w:spacing w:after="0"/>
              <w:jc w:val="center"/>
              <w:rPr>
                <w:rFonts w:eastAsia="Calibri" w:cs="Calibri"/>
                <w:noProof/>
              </w:rPr>
            </w:pPr>
            <w:r>
              <w:rPr>
                <w:noProof/>
              </w:rPr>
              <w:t>RE-C06-i09</w:t>
            </w:r>
          </w:p>
        </w:tc>
        <w:tc>
          <w:tcPr>
            <w:tcW w:w="1520" w:type="dxa"/>
            <w:tcBorders>
              <w:top w:val="nil"/>
              <w:left w:val="nil"/>
              <w:bottom w:val="nil"/>
              <w:right w:val="single" w:sz="4" w:space="0" w:color="auto"/>
            </w:tcBorders>
            <w:shd w:val="clear" w:color="auto" w:fill="C4EFCE"/>
            <w:vAlign w:val="center"/>
          </w:tcPr>
          <w:p w14:paraId="0BFA1EAE"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nil"/>
              <w:right w:val="single" w:sz="4" w:space="0" w:color="auto"/>
            </w:tcBorders>
            <w:shd w:val="clear" w:color="auto" w:fill="C4EFCE"/>
            <w:vAlign w:val="center"/>
          </w:tcPr>
          <w:p w14:paraId="1577A067" w14:textId="77777777" w:rsidR="00E040FD" w:rsidRDefault="00740D64">
            <w:pPr>
              <w:pStyle w:val="P68B1DB1-Normal23"/>
              <w:spacing w:after="0"/>
              <w:jc w:val="both"/>
              <w:rPr>
                <w:rFonts w:eastAsia="Calibri" w:cs="Calibri"/>
                <w:noProof/>
              </w:rPr>
            </w:pPr>
            <w:r>
              <w:rPr>
                <w:noProof/>
              </w:rPr>
              <w:t>Undertecknande av kontrakt för byggande och renovering av offentliga skolor</w:t>
            </w:r>
          </w:p>
        </w:tc>
      </w:tr>
      <w:tr w:rsidR="00E040FD" w14:paraId="1EF6CC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D7D3CFE" w14:textId="77777777" w:rsidR="00E040FD" w:rsidRDefault="00740D64">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tcPr>
          <w:p w14:paraId="3899B9C9" w14:textId="77777777" w:rsidR="00E040FD" w:rsidRDefault="00740D64">
            <w:pPr>
              <w:pStyle w:val="P68B1DB1-Normal8"/>
              <w:spacing w:after="0" w:line="240" w:lineRule="auto"/>
              <w:rPr>
                <w:rFonts w:eastAsia="Times New Roman" w:cs="Calibri"/>
                <w:noProof/>
              </w:rPr>
            </w:pPr>
            <w:r>
              <w:rPr>
                <w:noProof/>
              </w:rPr>
              <w:t> </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7C7921DE"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4E153749" w14:textId="0F77FEA4" w:rsidR="00E040FD" w:rsidRDefault="00740D64">
            <w:pPr>
              <w:pStyle w:val="P68B1DB1-Normal25"/>
              <w:spacing w:after="0" w:line="240" w:lineRule="auto"/>
              <w:jc w:val="center"/>
              <w:rPr>
                <w:rFonts w:cs="Calibri"/>
                <w:noProof/>
              </w:rPr>
            </w:pPr>
            <w:r>
              <w:rPr>
                <w:noProof/>
              </w:rPr>
              <w:t xml:space="preserve">689 431 726 EUR </w:t>
            </w:r>
          </w:p>
        </w:tc>
      </w:tr>
    </w:tbl>
    <w:p w14:paraId="7D06A031"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p w14:paraId="656FC920" w14:textId="77777777" w:rsidR="00E040FD" w:rsidRDefault="00740D64">
      <w:pPr>
        <w:pStyle w:val="P68B1DB1-Normal4"/>
        <w:keepNext/>
        <w:numPr>
          <w:ilvl w:val="1"/>
          <w:numId w:val="19"/>
        </w:numPr>
        <w:spacing w:before="40" w:after="160" w:line="259" w:lineRule="auto"/>
        <w:contextualSpacing/>
        <w:jc w:val="both"/>
        <w:rPr>
          <w:rFonts w:eastAsiaTheme="minorEastAsia" w:cs="Times New Roman"/>
          <w:noProof/>
        </w:rPr>
      </w:pPr>
      <w:r>
        <w:rPr>
          <w:noProof/>
        </w:rPr>
        <w:t>Åttonde betalningsansökan (lånestöd):</w:t>
      </w:r>
    </w:p>
    <w:p w14:paraId="0C83B8A2" w14:textId="77777777" w:rsidR="00E040FD" w:rsidRDefault="00E040FD">
      <w:pPr>
        <w:keepNext/>
        <w:spacing w:before="40" w:after="160" w:line="259" w:lineRule="auto"/>
        <w:ind w:left="360"/>
        <w:contextualSpacing/>
        <w:jc w:val="both"/>
        <w:rPr>
          <w:rFonts w:ascii="Times New Roman" w:eastAsiaTheme="minorEastAsia" w:hAnsi="Times New Roman" w:cs="Times New Roman"/>
          <w:noProof/>
          <w:sz w:val="24"/>
        </w:rPr>
      </w:pPr>
    </w:p>
    <w:tbl>
      <w:tblPr>
        <w:tblW w:w="0" w:type="auto"/>
        <w:tblInd w:w="108" w:type="dxa"/>
        <w:tblLook w:val="04A0" w:firstRow="1" w:lastRow="0" w:firstColumn="1" w:lastColumn="0" w:noHBand="0" w:noVBand="1"/>
      </w:tblPr>
      <w:tblGrid>
        <w:gridCol w:w="1294"/>
        <w:gridCol w:w="1760"/>
        <w:gridCol w:w="1520"/>
        <w:gridCol w:w="5060"/>
      </w:tblGrid>
      <w:tr w:rsidR="00E040FD" w14:paraId="1EB3D4C6"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344EC777"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4D46E4F0"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3C9BAAF"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5D0B89D7"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329A16C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3F67755" w14:textId="77777777" w:rsidR="00E040FD" w:rsidRDefault="00740D64">
            <w:pPr>
              <w:pStyle w:val="P68B1DB1-Normal23"/>
              <w:spacing w:after="0"/>
              <w:jc w:val="center"/>
              <w:rPr>
                <w:rFonts w:eastAsia="Calibri" w:cs="Calibri"/>
                <w:noProof/>
              </w:rPr>
            </w:pPr>
            <w:r>
              <w:rPr>
                <w:noProof/>
              </w:rPr>
              <w:t>15.8</w:t>
            </w:r>
          </w:p>
        </w:tc>
        <w:tc>
          <w:tcPr>
            <w:tcW w:w="1760" w:type="dxa"/>
            <w:tcBorders>
              <w:top w:val="nil"/>
              <w:left w:val="nil"/>
              <w:bottom w:val="single" w:sz="4" w:space="0" w:color="auto"/>
              <w:right w:val="single" w:sz="4" w:space="0" w:color="auto"/>
            </w:tcBorders>
            <w:shd w:val="clear" w:color="auto" w:fill="C4EFCE"/>
            <w:vAlign w:val="center"/>
          </w:tcPr>
          <w:p w14:paraId="514CFC0D" w14:textId="77777777" w:rsidR="00E040FD" w:rsidRDefault="00740D64">
            <w:pPr>
              <w:pStyle w:val="P68B1DB1-Normal23"/>
              <w:spacing w:after="0"/>
              <w:jc w:val="center"/>
              <w:rPr>
                <w:rFonts w:eastAsia="Calibri" w:cs="Calibri"/>
                <w:noProof/>
              </w:rPr>
            </w:pPr>
            <w:r>
              <w:rPr>
                <w:noProof/>
              </w:rPr>
              <w:t>TC-C15-I03</w:t>
            </w:r>
          </w:p>
        </w:tc>
        <w:tc>
          <w:tcPr>
            <w:tcW w:w="1520" w:type="dxa"/>
            <w:tcBorders>
              <w:top w:val="nil"/>
              <w:left w:val="nil"/>
              <w:bottom w:val="single" w:sz="4" w:space="0" w:color="auto"/>
              <w:right w:val="single" w:sz="4" w:space="0" w:color="auto"/>
            </w:tcBorders>
            <w:shd w:val="clear" w:color="auto" w:fill="C4EFCE"/>
            <w:vAlign w:val="center"/>
          </w:tcPr>
          <w:p w14:paraId="116E6873" w14:textId="77777777" w:rsidR="00E040FD" w:rsidRDefault="00740D6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tcPr>
          <w:p w14:paraId="53A9C291" w14:textId="77777777" w:rsidR="00E040FD" w:rsidRDefault="00740D64">
            <w:pPr>
              <w:pStyle w:val="P68B1DB1-Normal23"/>
              <w:spacing w:after="0"/>
              <w:jc w:val="both"/>
              <w:rPr>
                <w:rFonts w:eastAsia="Calibri" w:cs="Calibri"/>
                <w:noProof/>
              </w:rPr>
            </w:pPr>
            <w:r>
              <w:rPr>
                <w:noProof/>
              </w:rPr>
              <w:t>Lägesrapport om byggandet av transiteringslinjen för lätta tåg mellan Odivelas och Loures</w:t>
            </w:r>
          </w:p>
        </w:tc>
      </w:tr>
      <w:tr w:rsidR="00E040FD" w14:paraId="06662A9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18904BF" w14:textId="74BC30D7" w:rsidR="00E040FD" w:rsidRDefault="00740D64">
            <w:pPr>
              <w:pStyle w:val="P68B1DB1-Normal23"/>
              <w:spacing w:after="0"/>
              <w:jc w:val="center"/>
              <w:rPr>
                <w:rFonts w:eastAsia="Calibri" w:cs="Calibri"/>
                <w:noProof/>
              </w:rPr>
            </w:pPr>
            <w:r>
              <w:rPr>
                <w:noProof/>
              </w:rPr>
              <w:t>19.33</w:t>
            </w:r>
          </w:p>
        </w:tc>
        <w:tc>
          <w:tcPr>
            <w:tcW w:w="1760" w:type="dxa"/>
            <w:tcBorders>
              <w:top w:val="nil"/>
              <w:left w:val="nil"/>
              <w:bottom w:val="single" w:sz="4" w:space="0" w:color="auto"/>
              <w:right w:val="single" w:sz="4" w:space="0" w:color="auto"/>
            </w:tcBorders>
            <w:shd w:val="clear" w:color="auto" w:fill="C4EFCE"/>
            <w:vAlign w:val="center"/>
          </w:tcPr>
          <w:p w14:paraId="608803B4" w14:textId="72AAAB61" w:rsidR="00E040FD" w:rsidRDefault="00740D64">
            <w:pPr>
              <w:pStyle w:val="P68B1DB1-Normal23"/>
              <w:spacing w:after="0"/>
              <w:jc w:val="center"/>
              <w:rPr>
                <w:rFonts w:eastAsia="Calibri" w:cs="Calibri"/>
                <w:noProof/>
              </w:rPr>
            </w:pPr>
            <w:r>
              <w:rPr>
                <w:noProof/>
              </w:rPr>
              <w:t>TD-C19-r42</w:t>
            </w:r>
          </w:p>
        </w:tc>
        <w:tc>
          <w:tcPr>
            <w:tcW w:w="1520" w:type="dxa"/>
            <w:tcBorders>
              <w:top w:val="nil"/>
              <w:left w:val="nil"/>
              <w:bottom w:val="single" w:sz="4" w:space="0" w:color="auto"/>
              <w:right w:val="single" w:sz="4" w:space="0" w:color="auto"/>
            </w:tcBorders>
            <w:shd w:val="clear" w:color="auto" w:fill="C4EFCE"/>
            <w:vAlign w:val="center"/>
          </w:tcPr>
          <w:p w14:paraId="5D02F4F1" w14:textId="187D8B12"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557BB89C" w14:textId="234CFB7F" w:rsidR="00E040FD" w:rsidRDefault="00740D64">
            <w:pPr>
              <w:pStyle w:val="P68B1DB1-Normal23"/>
              <w:spacing w:after="0"/>
              <w:jc w:val="both"/>
              <w:rPr>
                <w:rFonts w:eastAsia="Calibri" w:cs="Calibri"/>
                <w:noProof/>
              </w:rPr>
            </w:pPr>
            <w:r>
              <w:rPr>
                <w:noProof/>
              </w:rPr>
              <w:t>Idrifttagande av det nya SIADAP-systemet</w:t>
            </w:r>
          </w:p>
        </w:tc>
      </w:tr>
      <w:tr w:rsidR="00E040FD" w14:paraId="564D14E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5C67E166" w14:textId="77777777" w:rsidR="00E040FD" w:rsidRDefault="00E040FD">
            <w:pPr>
              <w:spacing w:after="0" w:line="240" w:lineRule="auto"/>
              <w:jc w:val="center"/>
              <w:rPr>
                <w:rFonts w:ascii="Calibri" w:eastAsia="Times New Roman" w:hAnsi="Calibri" w:cs="Calibri"/>
                <w:noProof/>
                <w:sz w:val="16"/>
              </w:rPr>
            </w:pPr>
          </w:p>
        </w:tc>
        <w:tc>
          <w:tcPr>
            <w:tcW w:w="1760" w:type="dxa"/>
            <w:tcBorders>
              <w:top w:val="nil"/>
              <w:left w:val="nil"/>
              <w:bottom w:val="single" w:sz="4" w:space="0" w:color="auto"/>
              <w:right w:val="single" w:sz="4" w:space="0" w:color="auto"/>
            </w:tcBorders>
            <w:shd w:val="clear" w:color="auto" w:fill="C4EFCE"/>
            <w:vAlign w:val="center"/>
          </w:tcPr>
          <w:p w14:paraId="183EE67D" w14:textId="77777777" w:rsidR="00E040FD" w:rsidRDefault="00E040FD">
            <w:pPr>
              <w:spacing w:after="0" w:line="240" w:lineRule="auto"/>
              <w:rPr>
                <w:rFonts w:ascii="Calibri" w:eastAsia="Times New Roman" w:hAnsi="Calibri" w:cs="Calibri"/>
                <w:noProof/>
                <w:sz w:val="16"/>
              </w:rPr>
            </w:pPr>
          </w:p>
        </w:tc>
        <w:tc>
          <w:tcPr>
            <w:tcW w:w="1520" w:type="dxa"/>
            <w:tcBorders>
              <w:top w:val="single" w:sz="4" w:space="0" w:color="auto"/>
              <w:left w:val="nil"/>
              <w:bottom w:val="single" w:sz="4" w:space="0" w:color="auto"/>
              <w:right w:val="single" w:sz="4" w:space="0" w:color="auto"/>
            </w:tcBorders>
            <w:shd w:val="clear" w:color="auto" w:fill="C4EFCE"/>
            <w:vAlign w:val="center"/>
          </w:tcPr>
          <w:p w14:paraId="401D1A7C"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378DCF0E" w14:textId="269A2A38" w:rsidR="00E040FD" w:rsidRDefault="00740D64">
            <w:pPr>
              <w:pStyle w:val="P68B1DB1-Normal25"/>
              <w:spacing w:after="0" w:line="240" w:lineRule="auto"/>
              <w:jc w:val="center"/>
              <w:rPr>
                <w:rFonts w:cs="Calibri"/>
                <w:noProof/>
              </w:rPr>
            </w:pPr>
            <w:r>
              <w:rPr>
                <w:noProof/>
              </w:rPr>
              <w:t xml:space="preserve">  235 337 423 EUR </w:t>
            </w:r>
          </w:p>
        </w:tc>
      </w:tr>
    </w:tbl>
    <w:p w14:paraId="66284420" w14:textId="567F52B7" w:rsidR="00E040FD" w:rsidRDefault="00E040FD">
      <w:pPr>
        <w:keepNext/>
        <w:spacing w:before="40" w:after="160" w:line="259" w:lineRule="auto"/>
        <w:contextualSpacing/>
        <w:jc w:val="both"/>
        <w:rPr>
          <w:rFonts w:ascii="Times New Roman" w:eastAsiaTheme="minorEastAsia" w:hAnsi="Times New Roman" w:cs="Times New Roman"/>
          <w:noProof/>
          <w:sz w:val="24"/>
        </w:rPr>
      </w:pPr>
    </w:p>
    <w:p w14:paraId="6D952C31" w14:textId="0ECD3B5B" w:rsidR="00E040FD" w:rsidRDefault="00E040FD">
      <w:pPr>
        <w:keepNext/>
        <w:spacing w:before="40" w:after="160" w:line="259" w:lineRule="auto"/>
        <w:contextualSpacing/>
        <w:jc w:val="both"/>
        <w:rPr>
          <w:rFonts w:ascii="Times New Roman" w:eastAsiaTheme="minorEastAsia" w:hAnsi="Times New Roman" w:cs="Times New Roman"/>
          <w:noProof/>
          <w:sz w:val="24"/>
        </w:rPr>
      </w:pPr>
    </w:p>
    <w:p w14:paraId="726AC6BB"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p w14:paraId="3CFC0334" w14:textId="77777777" w:rsidR="00E040FD" w:rsidRDefault="00740D64">
      <w:pPr>
        <w:pStyle w:val="ListParagraph"/>
        <w:numPr>
          <w:ilvl w:val="1"/>
          <w:numId w:val="19"/>
        </w:numPr>
        <w:spacing w:before="40" w:line="259" w:lineRule="auto"/>
        <w:rPr>
          <w:noProof/>
        </w:rPr>
      </w:pPr>
      <w:r>
        <w:rPr>
          <w:noProof/>
        </w:rPr>
        <w:t xml:space="preserve"> Nionde betalningsansökan (lånestöd):</w:t>
      </w:r>
    </w:p>
    <w:tbl>
      <w:tblPr>
        <w:tblW w:w="0" w:type="auto"/>
        <w:tblInd w:w="108" w:type="dxa"/>
        <w:tblLook w:val="04A0" w:firstRow="1" w:lastRow="0" w:firstColumn="1" w:lastColumn="0" w:noHBand="0" w:noVBand="1"/>
      </w:tblPr>
      <w:tblGrid>
        <w:gridCol w:w="1294"/>
        <w:gridCol w:w="1760"/>
        <w:gridCol w:w="1520"/>
        <w:gridCol w:w="5060"/>
      </w:tblGrid>
      <w:tr w:rsidR="00E040FD" w14:paraId="1494D25F"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2B13A76D"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2C0AC9A7"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4E6E954"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1992174E"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78D3922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C57417B" w14:textId="77777777" w:rsidR="00E040FD" w:rsidRDefault="00740D64">
            <w:pPr>
              <w:pStyle w:val="P68B1DB1-Normal23"/>
              <w:spacing w:after="0"/>
              <w:jc w:val="center"/>
              <w:rPr>
                <w:rFonts w:eastAsia="Calibri" w:cs="Calibri"/>
                <w:noProof/>
              </w:rPr>
            </w:pPr>
            <w:r>
              <w:rPr>
                <w:noProof/>
              </w:rPr>
              <w:t>2.23</w:t>
            </w:r>
          </w:p>
        </w:tc>
        <w:tc>
          <w:tcPr>
            <w:tcW w:w="1760" w:type="dxa"/>
            <w:tcBorders>
              <w:top w:val="nil"/>
              <w:left w:val="nil"/>
              <w:bottom w:val="single" w:sz="4" w:space="0" w:color="auto"/>
              <w:right w:val="single" w:sz="4" w:space="0" w:color="auto"/>
            </w:tcBorders>
            <w:shd w:val="clear" w:color="auto" w:fill="C4EFCE"/>
            <w:vAlign w:val="center"/>
          </w:tcPr>
          <w:p w14:paraId="2A77E3A7" w14:textId="77777777" w:rsidR="00E040FD" w:rsidRDefault="00740D64">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54653A95"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4A8559D1" w14:textId="77777777" w:rsidR="00E040FD" w:rsidRDefault="00740D64">
            <w:pPr>
              <w:pStyle w:val="P68B1DB1-Normal23"/>
              <w:spacing w:after="0"/>
              <w:jc w:val="both"/>
              <w:rPr>
                <w:rFonts w:eastAsia="Calibri" w:cs="Calibri"/>
                <w:noProof/>
              </w:rPr>
            </w:pPr>
            <w:r>
              <w:rPr>
                <w:noProof/>
              </w:rPr>
              <w:t>Offentliga bostäder till överkomliga priser – Tilldelade bostäder (byggda med hög energieffektivitet eller som renoverats med förbättrad energiprestanda)</w:t>
            </w:r>
          </w:p>
        </w:tc>
      </w:tr>
      <w:tr w:rsidR="00E040FD" w14:paraId="78375D2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79A92DF" w14:textId="77777777" w:rsidR="00E040FD" w:rsidRDefault="00740D64">
            <w:pPr>
              <w:pStyle w:val="P68B1DB1-Normal23"/>
              <w:spacing w:after="0"/>
              <w:jc w:val="center"/>
              <w:rPr>
                <w:rFonts w:eastAsia="Calibri" w:cs="Calibri"/>
                <w:noProof/>
              </w:rPr>
            </w:pPr>
            <w:r>
              <w:rPr>
                <w:noProof/>
              </w:rPr>
              <w:t>2.27</w:t>
            </w:r>
          </w:p>
        </w:tc>
        <w:tc>
          <w:tcPr>
            <w:tcW w:w="1760" w:type="dxa"/>
            <w:tcBorders>
              <w:top w:val="nil"/>
              <w:left w:val="nil"/>
              <w:bottom w:val="single" w:sz="4" w:space="0" w:color="auto"/>
              <w:right w:val="single" w:sz="4" w:space="0" w:color="auto"/>
            </w:tcBorders>
            <w:shd w:val="clear" w:color="auto" w:fill="C4EFCE"/>
            <w:vAlign w:val="center"/>
          </w:tcPr>
          <w:p w14:paraId="3001518D" w14:textId="77777777" w:rsidR="00E040FD" w:rsidRDefault="00740D64">
            <w:pPr>
              <w:pStyle w:val="P68B1DB1-Normal23"/>
              <w:spacing w:after="0"/>
              <w:jc w:val="center"/>
              <w:rPr>
                <w:rFonts w:eastAsia="Calibri" w:cs="Calibri"/>
                <w:noProof/>
              </w:rPr>
            </w:pPr>
            <w:r>
              <w:rPr>
                <w:noProof/>
              </w:rPr>
              <w:t>RE-C02-i06</w:t>
            </w:r>
          </w:p>
        </w:tc>
        <w:tc>
          <w:tcPr>
            <w:tcW w:w="1520" w:type="dxa"/>
            <w:tcBorders>
              <w:top w:val="nil"/>
              <w:left w:val="nil"/>
              <w:bottom w:val="single" w:sz="4" w:space="0" w:color="auto"/>
              <w:right w:val="single" w:sz="4" w:space="0" w:color="auto"/>
            </w:tcBorders>
            <w:shd w:val="clear" w:color="auto" w:fill="C4EFCE"/>
            <w:vAlign w:val="center"/>
          </w:tcPr>
          <w:p w14:paraId="3DA24E3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169F4C1B" w14:textId="77777777" w:rsidR="00E040FD" w:rsidRDefault="00740D64">
            <w:pPr>
              <w:pStyle w:val="P68B1DB1-Normal23"/>
              <w:spacing w:after="0"/>
              <w:jc w:val="both"/>
              <w:rPr>
                <w:rFonts w:eastAsia="Calibri" w:cs="Calibri"/>
                <w:noProof/>
              </w:rPr>
            </w:pPr>
            <w:r>
              <w:rPr>
                <w:noProof/>
              </w:rPr>
              <w:t>Studenternas boende till rimliga kostnader</w:t>
            </w:r>
          </w:p>
        </w:tc>
      </w:tr>
      <w:tr w:rsidR="00E040FD" w14:paraId="67D2565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EFDADF4" w14:textId="77777777" w:rsidR="00E040FD" w:rsidRDefault="00740D64">
            <w:pPr>
              <w:pStyle w:val="P68B1DB1-Normal23"/>
              <w:spacing w:after="0"/>
              <w:jc w:val="center"/>
              <w:rPr>
                <w:rFonts w:eastAsia="Calibri" w:cs="Calibri"/>
                <w:noProof/>
              </w:rPr>
            </w:pPr>
            <w:r>
              <w:rPr>
                <w:noProof/>
              </w:rPr>
              <w:t>5.29</w:t>
            </w:r>
          </w:p>
        </w:tc>
        <w:tc>
          <w:tcPr>
            <w:tcW w:w="1760" w:type="dxa"/>
            <w:tcBorders>
              <w:top w:val="nil"/>
              <w:left w:val="nil"/>
              <w:bottom w:val="single" w:sz="4" w:space="0" w:color="auto"/>
              <w:right w:val="single" w:sz="4" w:space="0" w:color="auto"/>
            </w:tcBorders>
            <w:shd w:val="clear" w:color="auto" w:fill="C4EFCE"/>
            <w:vAlign w:val="center"/>
          </w:tcPr>
          <w:p w14:paraId="65077588" w14:textId="77777777" w:rsidR="00E040FD" w:rsidRDefault="00740D64">
            <w:pPr>
              <w:pStyle w:val="P68B1DB1-Normal23"/>
              <w:spacing w:after="0"/>
              <w:jc w:val="center"/>
              <w:rPr>
                <w:rFonts w:eastAsia="Calibri" w:cs="Calibri"/>
                <w:noProof/>
              </w:rPr>
            </w:pPr>
            <w:r>
              <w:rPr>
                <w:noProof/>
              </w:rPr>
              <w:t>RE-C05-i06</w:t>
            </w:r>
          </w:p>
        </w:tc>
        <w:tc>
          <w:tcPr>
            <w:tcW w:w="1520" w:type="dxa"/>
            <w:tcBorders>
              <w:top w:val="nil"/>
              <w:left w:val="nil"/>
              <w:bottom w:val="single" w:sz="4" w:space="0" w:color="auto"/>
              <w:right w:val="single" w:sz="4" w:space="0" w:color="auto"/>
            </w:tcBorders>
            <w:shd w:val="clear" w:color="auto" w:fill="C4EFCE"/>
            <w:vAlign w:val="center"/>
          </w:tcPr>
          <w:p w14:paraId="6A34C10A"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04DE8649" w14:textId="73C0101C" w:rsidR="00E040FD" w:rsidRDefault="00740D64">
            <w:pPr>
              <w:pStyle w:val="P68B1DB1-Normal23"/>
              <w:spacing w:after="0"/>
              <w:jc w:val="both"/>
              <w:rPr>
                <w:rFonts w:eastAsia="Calibri" w:cs="Calibri"/>
                <w:noProof/>
              </w:rPr>
            </w:pPr>
            <w:r>
              <w:rPr>
                <w:noProof/>
              </w:rPr>
              <w:t>Tillhandahållande genom kapitaliseringsinstrumentet av totalt 1 300 000 000 EUR till portugisiska icke-finansiella företag i form av eget kapital och därmed likställt kapital, i linje med dess investeringspolicy</w:t>
            </w:r>
          </w:p>
        </w:tc>
      </w:tr>
      <w:tr w:rsidR="00E040FD" w14:paraId="50C64A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B472DD0" w14:textId="77777777" w:rsidR="00E040FD" w:rsidRDefault="00740D64">
            <w:pPr>
              <w:pStyle w:val="P68B1DB1-Normal23"/>
              <w:spacing w:after="0"/>
              <w:jc w:val="center"/>
              <w:rPr>
                <w:rFonts w:eastAsia="Calibri" w:cs="Calibri"/>
                <w:noProof/>
              </w:rPr>
            </w:pPr>
            <w:r>
              <w:rPr>
                <w:noProof/>
              </w:rPr>
              <w:t>5.32</w:t>
            </w:r>
          </w:p>
        </w:tc>
        <w:tc>
          <w:tcPr>
            <w:tcW w:w="1760" w:type="dxa"/>
            <w:tcBorders>
              <w:top w:val="nil"/>
              <w:left w:val="nil"/>
              <w:bottom w:val="single" w:sz="4" w:space="0" w:color="auto"/>
              <w:right w:val="single" w:sz="4" w:space="0" w:color="auto"/>
            </w:tcBorders>
            <w:shd w:val="clear" w:color="auto" w:fill="C4EFCE"/>
            <w:vAlign w:val="center"/>
          </w:tcPr>
          <w:p w14:paraId="44B52EBF" w14:textId="77777777" w:rsidR="00E040FD" w:rsidRDefault="00740D64">
            <w:pPr>
              <w:pStyle w:val="P68B1DB1-Normal23"/>
              <w:spacing w:after="0"/>
              <w:jc w:val="center"/>
              <w:rPr>
                <w:rFonts w:eastAsia="Calibri" w:cs="Calibri"/>
                <w:noProof/>
              </w:rPr>
            </w:pPr>
            <w:r>
              <w:rPr>
                <w:noProof/>
              </w:rPr>
              <w:t>RE-C05-i06</w:t>
            </w:r>
          </w:p>
        </w:tc>
        <w:tc>
          <w:tcPr>
            <w:tcW w:w="1520" w:type="dxa"/>
            <w:tcBorders>
              <w:top w:val="nil"/>
              <w:left w:val="nil"/>
              <w:bottom w:val="single" w:sz="4" w:space="0" w:color="auto"/>
              <w:right w:val="single" w:sz="4" w:space="0" w:color="auto"/>
            </w:tcBorders>
            <w:shd w:val="clear" w:color="auto" w:fill="C4EFCE"/>
            <w:vAlign w:val="center"/>
          </w:tcPr>
          <w:p w14:paraId="75CF3957"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29D7A449" w14:textId="77777777" w:rsidR="00E040FD" w:rsidRDefault="00740D64">
            <w:pPr>
              <w:pStyle w:val="P68B1DB1-Normal23"/>
              <w:spacing w:after="0"/>
              <w:jc w:val="both"/>
              <w:rPr>
                <w:rFonts w:eastAsia="Calibri" w:cs="Calibri"/>
                <w:noProof/>
              </w:rPr>
            </w:pPr>
            <w:r>
              <w:rPr>
                <w:noProof/>
              </w:rPr>
              <w:t>100 % av de garantier som ställdes till förfogande genom kapitalökningen har undertecknats.</w:t>
            </w:r>
          </w:p>
        </w:tc>
      </w:tr>
      <w:tr w:rsidR="00E040FD" w14:paraId="382C66B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22DA2FA" w14:textId="77777777" w:rsidR="00E040FD" w:rsidRDefault="00740D64">
            <w:pPr>
              <w:pStyle w:val="P68B1DB1-Normal23"/>
              <w:spacing w:after="0"/>
              <w:jc w:val="center"/>
              <w:rPr>
                <w:rFonts w:eastAsia="Calibri" w:cs="Calibri"/>
                <w:noProof/>
              </w:rPr>
            </w:pPr>
            <w:r>
              <w:rPr>
                <w:noProof/>
              </w:rPr>
              <w:t>5.45</w:t>
            </w:r>
          </w:p>
        </w:tc>
        <w:tc>
          <w:tcPr>
            <w:tcW w:w="1760" w:type="dxa"/>
            <w:tcBorders>
              <w:top w:val="nil"/>
              <w:left w:val="nil"/>
              <w:bottom w:val="single" w:sz="4" w:space="0" w:color="auto"/>
              <w:right w:val="single" w:sz="4" w:space="0" w:color="auto"/>
            </w:tcBorders>
            <w:shd w:val="clear" w:color="auto" w:fill="C4EFCE"/>
            <w:vAlign w:val="center"/>
          </w:tcPr>
          <w:p w14:paraId="0BD22FC2" w14:textId="77777777" w:rsidR="00E040FD" w:rsidRDefault="00740D64">
            <w:pPr>
              <w:pStyle w:val="P68B1DB1-Normal23"/>
              <w:spacing w:after="0"/>
              <w:jc w:val="center"/>
              <w:rPr>
                <w:rFonts w:eastAsia="Calibri" w:cs="Calibri"/>
                <w:noProof/>
              </w:rPr>
            </w:pPr>
            <w:r>
              <w:rPr>
                <w:noProof/>
              </w:rPr>
              <w:t>RE-C05-i11</w:t>
            </w:r>
          </w:p>
        </w:tc>
        <w:tc>
          <w:tcPr>
            <w:tcW w:w="1520" w:type="dxa"/>
            <w:tcBorders>
              <w:top w:val="nil"/>
              <w:left w:val="nil"/>
              <w:bottom w:val="single" w:sz="4" w:space="0" w:color="auto"/>
              <w:right w:val="single" w:sz="4" w:space="0" w:color="auto"/>
            </w:tcBorders>
            <w:shd w:val="clear" w:color="auto" w:fill="C4EFCE"/>
            <w:vAlign w:val="center"/>
          </w:tcPr>
          <w:p w14:paraId="197EDE46"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3321F122" w14:textId="77777777" w:rsidR="00E040FD" w:rsidRDefault="00740D64">
            <w:pPr>
              <w:pStyle w:val="P68B1DB1-Normal23"/>
              <w:spacing w:after="0"/>
              <w:jc w:val="both"/>
              <w:rPr>
                <w:rFonts w:eastAsia="Calibri" w:cs="Calibri"/>
                <w:noProof/>
              </w:rPr>
            </w:pPr>
            <w:r>
              <w:rPr>
                <w:noProof/>
              </w:rPr>
              <w:t>Slutförande av 446 produkter, processer eller tjänster.</w:t>
            </w:r>
          </w:p>
        </w:tc>
      </w:tr>
      <w:tr w:rsidR="00E040FD" w14:paraId="75A43AF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1A6C56C4" w14:textId="77777777" w:rsidR="00E040FD" w:rsidRDefault="00740D64">
            <w:pPr>
              <w:pStyle w:val="P68B1DB1-Normal23"/>
              <w:spacing w:after="0"/>
              <w:jc w:val="center"/>
              <w:rPr>
                <w:rFonts w:eastAsia="Calibri" w:cs="Calibri"/>
                <w:noProof/>
              </w:rPr>
            </w:pPr>
            <w:r>
              <w:rPr>
                <w:noProof/>
              </w:rPr>
              <w:t>5.47</w:t>
            </w:r>
          </w:p>
        </w:tc>
        <w:tc>
          <w:tcPr>
            <w:tcW w:w="1760" w:type="dxa"/>
            <w:tcBorders>
              <w:top w:val="nil"/>
              <w:left w:val="nil"/>
              <w:bottom w:val="single" w:sz="4" w:space="0" w:color="auto"/>
              <w:right w:val="single" w:sz="4" w:space="0" w:color="auto"/>
            </w:tcBorders>
            <w:shd w:val="clear" w:color="auto" w:fill="C4EFCE"/>
            <w:vAlign w:val="center"/>
          </w:tcPr>
          <w:p w14:paraId="49495519" w14:textId="3E544D5D" w:rsidR="00E040FD" w:rsidRDefault="00740D64">
            <w:pPr>
              <w:pStyle w:val="P68B1DB1-Normal23"/>
              <w:spacing w:after="0"/>
              <w:jc w:val="center"/>
              <w:rPr>
                <w:rFonts w:eastAsia="Calibri" w:cs="Calibri"/>
                <w:noProof/>
              </w:rPr>
            </w:pPr>
            <w:r>
              <w:rPr>
                <w:noProof/>
              </w:rPr>
              <w:t>RE-C05-i12</w:t>
            </w:r>
          </w:p>
        </w:tc>
        <w:tc>
          <w:tcPr>
            <w:tcW w:w="1520" w:type="dxa"/>
            <w:tcBorders>
              <w:top w:val="nil"/>
              <w:left w:val="nil"/>
              <w:bottom w:val="single" w:sz="4" w:space="0" w:color="auto"/>
              <w:right w:val="single" w:sz="4" w:space="0" w:color="auto"/>
            </w:tcBorders>
            <w:shd w:val="clear" w:color="auto" w:fill="C4EFCE"/>
            <w:vAlign w:val="center"/>
          </w:tcPr>
          <w:p w14:paraId="1D528D41"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0301C30B" w14:textId="77777777" w:rsidR="00E040FD" w:rsidRDefault="00740D64">
            <w:pPr>
              <w:pStyle w:val="P68B1DB1-Normal23"/>
              <w:spacing w:after="0"/>
              <w:jc w:val="both"/>
              <w:rPr>
                <w:rFonts w:eastAsia="Calibri" w:cs="Calibri"/>
                <w:noProof/>
              </w:rPr>
            </w:pPr>
            <w:r>
              <w:rPr>
                <w:noProof/>
              </w:rPr>
              <w:t>Ingående av avtal för att utveckla nya produkter, processer eller tjänster på strategiska områden som är relevanta för en koldioxidsnål ekonomi, motståndskraft mot och anpassning till klimatförändringar.</w:t>
            </w:r>
          </w:p>
        </w:tc>
      </w:tr>
      <w:tr w:rsidR="00E040FD" w14:paraId="14F0C66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3876D187" w14:textId="77777777" w:rsidR="00E040FD" w:rsidRDefault="00740D64">
            <w:pPr>
              <w:pStyle w:val="P68B1DB1-Normal23"/>
              <w:spacing w:after="0"/>
              <w:jc w:val="center"/>
              <w:rPr>
                <w:rFonts w:eastAsia="Calibri" w:cs="Calibri"/>
                <w:noProof/>
              </w:rPr>
            </w:pPr>
            <w:r>
              <w:rPr>
                <w:noProof/>
              </w:rPr>
              <w:t>7.10</w:t>
            </w:r>
          </w:p>
        </w:tc>
        <w:tc>
          <w:tcPr>
            <w:tcW w:w="1760" w:type="dxa"/>
            <w:tcBorders>
              <w:top w:val="nil"/>
              <w:left w:val="nil"/>
              <w:bottom w:val="single" w:sz="4" w:space="0" w:color="auto"/>
              <w:right w:val="single" w:sz="4" w:space="0" w:color="auto"/>
            </w:tcBorders>
            <w:shd w:val="clear" w:color="auto" w:fill="C4EFCE"/>
            <w:vAlign w:val="center"/>
          </w:tcPr>
          <w:p w14:paraId="4150F0A6" w14:textId="77777777" w:rsidR="00E040FD" w:rsidRDefault="00740D64">
            <w:pPr>
              <w:pStyle w:val="P68B1DB1-Normal23"/>
              <w:spacing w:after="0"/>
              <w:jc w:val="center"/>
              <w:rPr>
                <w:rFonts w:eastAsia="Calibri" w:cs="Calibri"/>
                <w:noProof/>
              </w:rPr>
            </w:pPr>
            <w:r>
              <w:rPr>
                <w:noProof/>
              </w:rPr>
              <w:t>RE-C07-i03</w:t>
            </w:r>
          </w:p>
        </w:tc>
        <w:tc>
          <w:tcPr>
            <w:tcW w:w="1520" w:type="dxa"/>
            <w:tcBorders>
              <w:top w:val="nil"/>
              <w:left w:val="nil"/>
              <w:bottom w:val="single" w:sz="4" w:space="0" w:color="auto"/>
              <w:right w:val="single" w:sz="4" w:space="0" w:color="auto"/>
            </w:tcBorders>
            <w:shd w:val="clear" w:color="auto" w:fill="C4EFCE"/>
            <w:vAlign w:val="center"/>
          </w:tcPr>
          <w:p w14:paraId="592CEA84" w14:textId="77777777" w:rsidR="00E040FD" w:rsidRDefault="00740D6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2B2DBE78" w14:textId="77777777" w:rsidR="00E040FD" w:rsidRDefault="00740D64">
            <w:pPr>
              <w:pStyle w:val="P68B1DB1-Normal23"/>
              <w:spacing w:after="0"/>
              <w:jc w:val="both"/>
              <w:rPr>
                <w:rFonts w:eastAsia="Calibri" w:cs="Calibri"/>
                <w:noProof/>
              </w:rPr>
            </w:pPr>
            <w:r>
              <w:rPr>
                <w:noProof/>
              </w:rPr>
              <w:t>Vägar som har byggts eller renoverats</w:t>
            </w:r>
          </w:p>
        </w:tc>
      </w:tr>
      <w:tr w:rsidR="00E040FD" w14:paraId="7DB20DE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3F74755" w14:textId="77777777" w:rsidR="00E040FD" w:rsidRDefault="00740D64">
            <w:pPr>
              <w:pStyle w:val="P68B1DB1-Normal23"/>
              <w:spacing w:after="0"/>
              <w:jc w:val="center"/>
              <w:rPr>
                <w:rFonts w:eastAsia="Calibri" w:cs="Calibri"/>
                <w:noProof/>
              </w:rPr>
            </w:pPr>
            <w:r>
              <w:rPr>
                <w:noProof/>
              </w:rPr>
              <w:t>7.12</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70788EBF" w14:textId="77777777" w:rsidR="00E040FD" w:rsidRDefault="00740D64">
            <w:pPr>
              <w:pStyle w:val="P68B1DB1-Normal23"/>
              <w:spacing w:after="0"/>
              <w:jc w:val="center"/>
              <w:rPr>
                <w:rFonts w:eastAsia="Calibri" w:cs="Calibri"/>
                <w:noProof/>
              </w:rPr>
            </w:pPr>
            <w:r>
              <w:rPr>
                <w:noProof/>
              </w:rPr>
              <w:t>RE-C07-i04</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5C0933CA" w14:textId="77777777" w:rsidR="00E040FD" w:rsidRDefault="00740D6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6814B6B4" w14:textId="77777777" w:rsidR="00E040FD" w:rsidRDefault="00740D64">
            <w:pPr>
              <w:pStyle w:val="P68B1DB1-Normal23"/>
              <w:spacing w:after="0"/>
              <w:jc w:val="both"/>
              <w:rPr>
                <w:rFonts w:eastAsia="Calibri" w:cs="Calibri"/>
                <w:noProof/>
              </w:rPr>
            </w:pPr>
            <w:r>
              <w:rPr>
                <w:noProof/>
              </w:rPr>
              <w:t>Vägar som har byggts eller renoverats</w:t>
            </w:r>
          </w:p>
        </w:tc>
      </w:tr>
      <w:tr w:rsidR="00E040FD" w14:paraId="2FF9C2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DAA1A82" w14:textId="66BEC41C" w:rsidR="00E040FD" w:rsidRDefault="00740D64">
            <w:pPr>
              <w:pStyle w:val="P68B1DB1-Normal23"/>
              <w:spacing w:after="0"/>
              <w:jc w:val="center"/>
              <w:rPr>
                <w:rFonts w:eastAsia="Calibri" w:cs="Calibri"/>
                <w:noProof/>
              </w:rPr>
            </w:pPr>
            <w:r>
              <w:rPr>
                <w:noProof/>
              </w:rPr>
              <w:t>19.30</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71C7B993" w14:textId="3F7646E8" w:rsidR="00E040FD" w:rsidRDefault="00740D64">
            <w:pPr>
              <w:pStyle w:val="P68B1DB1-Normal23"/>
              <w:spacing w:after="0"/>
              <w:jc w:val="center"/>
              <w:rPr>
                <w:rFonts w:eastAsia="Calibri" w:cs="Calibri"/>
                <w:noProof/>
              </w:rPr>
            </w:pPr>
            <w:r>
              <w:rPr>
                <w:noProof/>
              </w:rPr>
              <w:t>TD-C19-r41</w:t>
            </w:r>
          </w:p>
        </w:tc>
        <w:tc>
          <w:tcPr>
            <w:tcW w:w="1520" w:type="dxa"/>
            <w:tcBorders>
              <w:top w:val="single" w:sz="4" w:space="0" w:color="auto"/>
              <w:left w:val="nil"/>
              <w:bottom w:val="nil"/>
              <w:right w:val="single" w:sz="4" w:space="0" w:color="auto"/>
            </w:tcBorders>
            <w:shd w:val="clear" w:color="auto" w:fill="C4EFCE"/>
            <w:vAlign w:val="center"/>
          </w:tcPr>
          <w:p w14:paraId="16274021" w14:textId="378AF8DD" w:rsidR="00E040FD" w:rsidRDefault="00740D64">
            <w:pPr>
              <w:pStyle w:val="P68B1DB1-Normal23"/>
              <w:spacing w:after="0"/>
              <w:jc w:val="center"/>
              <w:rPr>
                <w:rFonts w:eastAsia="Calibri" w:cs="Calibri"/>
                <w:noProof/>
              </w:rPr>
            </w:pPr>
            <w:r>
              <w:rPr>
                <w:noProof/>
              </w:rPr>
              <w:t>M</w:t>
            </w:r>
          </w:p>
        </w:tc>
        <w:tc>
          <w:tcPr>
            <w:tcW w:w="5060" w:type="dxa"/>
            <w:tcBorders>
              <w:top w:val="single" w:sz="4" w:space="0" w:color="auto"/>
              <w:left w:val="nil"/>
              <w:bottom w:val="nil"/>
              <w:right w:val="single" w:sz="4" w:space="0" w:color="auto"/>
            </w:tcBorders>
            <w:shd w:val="clear" w:color="auto" w:fill="C4EFCE"/>
            <w:vAlign w:val="center"/>
          </w:tcPr>
          <w:p w14:paraId="7AD3F20C" w14:textId="697A142B" w:rsidR="00E040FD" w:rsidRDefault="00740D64">
            <w:pPr>
              <w:pStyle w:val="P68B1DB1-Normal23"/>
              <w:spacing w:after="0"/>
              <w:jc w:val="both"/>
              <w:rPr>
                <w:rFonts w:eastAsia="Calibri" w:cs="Calibri"/>
                <w:noProof/>
              </w:rPr>
            </w:pPr>
            <w:r>
              <w:rPr>
                <w:noProof/>
              </w:rPr>
              <w:t>Ikraftträdande av lagstiftningsakten om tillgång till offentliga tjänster</w:t>
            </w:r>
          </w:p>
        </w:tc>
      </w:tr>
      <w:tr w:rsidR="00E040FD" w14:paraId="2DA41D0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32CD2493" w14:textId="77777777" w:rsidR="00E040FD" w:rsidRDefault="00740D64">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tcPr>
          <w:p w14:paraId="0300EF67" w14:textId="77777777" w:rsidR="00E040FD" w:rsidRDefault="00740D64">
            <w:pPr>
              <w:pStyle w:val="P68B1DB1-Normal8"/>
              <w:spacing w:after="0" w:line="240" w:lineRule="auto"/>
              <w:rPr>
                <w:rFonts w:eastAsia="Times New Roman" w:cs="Calibri"/>
                <w:noProof/>
              </w:rPr>
            </w:pPr>
            <w:r>
              <w:rPr>
                <w:noProof/>
              </w:rPr>
              <w:t> </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55ECE748"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7C719D15" w14:textId="6A1C6747" w:rsidR="00E040FD" w:rsidRDefault="00740D64">
            <w:pPr>
              <w:pStyle w:val="P68B1DB1-Normal25"/>
              <w:spacing w:after="0" w:line="240" w:lineRule="auto"/>
              <w:jc w:val="center"/>
              <w:rPr>
                <w:rFonts w:cs="Calibri"/>
                <w:noProof/>
              </w:rPr>
            </w:pPr>
            <w:r>
              <w:rPr>
                <w:noProof/>
              </w:rPr>
              <w:t xml:space="preserve"> 938 960 210 EUR </w:t>
            </w:r>
          </w:p>
        </w:tc>
      </w:tr>
    </w:tbl>
    <w:p w14:paraId="2594BF65" w14:textId="77777777" w:rsidR="00E040FD" w:rsidRDefault="00E040FD">
      <w:pPr>
        <w:keepNext/>
        <w:spacing w:before="40" w:after="160" w:line="259" w:lineRule="auto"/>
        <w:contextualSpacing/>
        <w:jc w:val="both"/>
        <w:rPr>
          <w:rFonts w:ascii="Times New Roman" w:eastAsiaTheme="minorEastAsia" w:hAnsi="Times New Roman" w:cs="Times New Roman"/>
          <w:noProof/>
          <w:sz w:val="24"/>
        </w:rPr>
      </w:pPr>
    </w:p>
    <w:p w14:paraId="76C80100" w14:textId="2CDFED06" w:rsidR="00E040FD" w:rsidRDefault="00740D64">
      <w:pPr>
        <w:pStyle w:val="P68B1DB1-Normal4"/>
        <w:keepNext/>
        <w:spacing w:before="40" w:after="160" w:line="259" w:lineRule="auto"/>
        <w:contextualSpacing/>
        <w:jc w:val="both"/>
        <w:rPr>
          <w:rFonts w:eastAsia="Yu Mincho" w:cs="Times New Roman"/>
          <w:noProof/>
        </w:rPr>
      </w:pPr>
      <w:r>
        <w:rPr>
          <w:noProof/>
        </w:rPr>
        <w:t>2.10. Tionde betalningsansökan (lånestöd):</w:t>
      </w:r>
    </w:p>
    <w:p w14:paraId="71DB6764" w14:textId="77777777" w:rsidR="00E040FD" w:rsidRDefault="00E040FD">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45"/>
        <w:gridCol w:w="1514"/>
        <w:gridCol w:w="4987"/>
      </w:tblGrid>
      <w:tr w:rsidR="00E040FD" w14:paraId="6B7C20FE" w14:textId="77777777">
        <w:trPr>
          <w:trHeight w:val="509"/>
          <w:tblHeader/>
        </w:trPr>
        <w:tc>
          <w:tcPr>
            <w:tcW w:w="1200" w:type="dxa"/>
            <w:vMerge w:val="restart"/>
            <w:shd w:val="clear" w:color="auto" w:fill="BDD7EE"/>
            <w:vAlign w:val="center"/>
            <w:hideMark/>
          </w:tcPr>
          <w:p w14:paraId="091A540E" w14:textId="77777777" w:rsidR="00E040FD" w:rsidRDefault="00740D64">
            <w:pPr>
              <w:pStyle w:val="P68B1DB1-Normal22"/>
              <w:spacing w:after="0" w:line="240" w:lineRule="auto"/>
              <w:jc w:val="center"/>
              <w:rPr>
                <w:rFonts w:eastAsia="Times New Roman" w:cs="Times New Roman"/>
                <w:noProof/>
              </w:rPr>
            </w:pPr>
            <w:r>
              <w:rPr>
                <w:noProof/>
              </w:rPr>
              <w:t>Löpnummer</w:t>
            </w:r>
          </w:p>
        </w:tc>
        <w:tc>
          <w:tcPr>
            <w:tcW w:w="1760" w:type="dxa"/>
            <w:vMerge w:val="restart"/>
            <w:shd w:val="clear" w:color="auto" w:fill="BDD7EE"/>
            <w:vAlign w:val="center"/>
            <w:hideMark/>
          </w:tcPr>
          <w:p w14:paraId="52173FC7" w14:textId="77777777" w:rsidR="00E040FD" w:rsidRDefault="00740D64">
            <w:pPr>
              <w:pStyle w:val="P68B1DB1-Normal22"/>
              <w:spacing w:after="0" w:line="240" w:lineRule="auto"/>
              <w:jc w:val="center"/>
              <w:rPr>
                <w:rFonts w:eastAsia="Times New Roman" w:cs="Times New Roman"/>
                <w:noProof/>
              </w:rPr>
            </w:pPr>
            <w:r>
              <w:rPr>
                <w:noProof/>
              </w:rPr>
              <w:t>Berörd åtgärd (reform eller investering)</w:t>
            </w:r>
          </w:p>
        </w:tc>
        <w:tc>
          <w:tcPr>
            <w:tcW w:w="1520" w:type="dxa"/>
            <w:vMerge w:val="restart"/>
            <w:shd w:val="clear" w:color="auto" w:fill="BDD7EE"/>
            <w:vAlign w:val="center"/>
            <w:hideMark/>
          </w:tcPr>
          <w:p w14:paraId="60F692F4" w14:textId="77777777" w:rsidR="00E040FD" w:rsidRDefault="00740D64">
            <w:pPr>
              <w:pStyle w:val="P68B1DB1-Normal22"/>
              <w:spacing w:after="0" w:line="240" w:lineRule="auto"/>
              <w:jc w:val="center"/>
              <w:rPr>
                <w:rFonts w:eastAsia="Times New Roman" w:cs="Times New Roman"/>
                <w:noProof/>
              </w:rPr>
            </w:pPr>
            <w:r>
              <w:rPr>
                <w:noProof/>
              </w:rPr>
              <w:t>Delmål/mål</w:t>
            </w:r>
          </w:p>
        </w:tc>
        <w:tc>
          <w:tcPr>
            <w:tcW w:w="5060" w:type="dxa"/>
            <w:vMerge w:val="restart"/>
            <w:shd w:val="clear" w:color="auto" w:fill="BDD7EE"/>
            <w:vAlign w:val="center"/>
            <w:hideMark/>
          </w:tcPr>
          <w:p w14:paraId="6E70766D" w14:textId="77777777" w:rsidR="00E040FD" w:rsidRDefault="00740D64">
            <w:pPr>
              <w:pStyle w:val="P68B1DB1-Normal22"/>
              <w:spacing w:after="0" w:line="240" w:lineRule="auto"/>
              <w:jc w:val="center"/>
              <w:rPr>
                <w:rFonts w:eastAsia="Times New Roman" w:cs="Times New Roman"/>
                <w:noProof/>
              </w:rPr>
            </w:pPr>
            <w:r>
              <w:rPr>
                <w:noProof/>
              </w:rPr>
              <w:t>Namn</w:t>
            </w:r>
          </w:p>
        </w:tc>
      </w:tr>
      <w:tr w:rsidR="00E040FD" w14:paraId="5EC6EC37" w14:textId="77777777">
        <w:trPr>
          <w:trHeight w:val="509"/>
          <w:tblHeader/>
        </w:trPr>
        <w:tc>
          <w:tcPr>
            <w:tcW w:w="1200" w:type="dxa"/>
            <w:vMerge/>
            <w:vAlign w:val="center"/>
            <w:hideMark/>
          </w:tcPr>
          <w:p w14:paraId="140A919C" w14:textId="77777777" w:rsidR="00E040FD" w:rsidRDefault="00E040FD">
            <w:pPr>
              <w:spacing w:after="0" w:line="240" w:lineRule="auto"/>
              <w:rPr>
                <w:rFonts w:ascii="Times New Roman" w:eastAsia="Times New Roman" w:hAnsi="Times New Roman" w:cs="Times New Roman"/>
                <w:noProof/>
                <w:sz w:val="20"/>
              </w:rPr>
            </w:pPr>
          </w:p>
        </w:tc>
        <w:tc>
          <w:tcPr>
            <w:tcW w:w="1760" w:type="dxa"/>
            <w:vMerge/>
            <w:vAlign w:val="center"/>
            <w:hideMark/>
          </w:tcPr>
          <w:p w14:paraId="7480BF59" w14:textId="77777777" w:rsidR="00E040FD" w:rsidRDefault="00E040FD">
            <w:pPr>
              <w:spacing w:after="0" w:line="240" w:lineRule="auto"/>
              <w:rPr>
                <w:rFonts w:ascii="Times New Roman" w:eastAsia="Times New Roman" w:hAnsi="Times New Roman" w:cs="Times New Roman"/>
                <w:noProof/>
                <w:sz w:val="20"/>
              </w:rPr>
            </w:pPr>
          </w:p>
        </w:tc>
        <w:tc>
          <w:tcPr>
            <w:tcW w:w="1520" w:type="dxa"/>
            <w:vMerge/>
            <w:vAlign w:val="center"/>
            <w:hideMark/>
          </w:tcPr>
          <w:p w14:paraId="0A39A395" w14:textId="77777777" w:rsidR="00E040FD" w:rsidRDefault="00E040FD">
            <w:pPr>
              <w:spacing w:after="0" w:line="240" w:lineRule="auto"/>
              <w:rPr>
                <w:rFonts w:ascii="Times New Roman" w:eastAsia="Times New Roman" w:hAnsi="Times New Roman" w:cs="Times New Roman"/>
                <w:noProof/>
                <w:sz w:val="20"/>
              </w:rPr>
            </w:pPr>
          </w:p>
        </w:tc>
        <w:tc>
          <w:tcPr>
            <w:tcW w:w="5060" w:type="dxa"/>
            <w:vMerge/>
            <w:vAlign w:val="center"/>
            <w:hideMark/>
          </w:tcPr>
          <w:p w14:paraId="6045547B" w14:textId="77777777" w:rsidR="00E040FD" w:rsidRDefault="00E040FD">
            <w:pPr>
              <w:spacing w:after="0" w:line="240" w:lineRule="auto"/>
              <w:rPr>
                <w:rFonts w:ascii="Times New Roman" w:eastAsia="Times New Roman" w:hAnsi="Times New Roman" w:cs="Times New Roman"/>
                <w:noProof/>
                <w:sz w:val="20"/>
              </w:rPr>
            </w:pPr>
          </w:p>
        </w:tc>
      </w:tr>
      <w:tr w:rsidR="00E040FD" w14:paraId="43A9225B" w14:textId="77777777">
        <w:trPr>
          <w:trHeight w:val="440"/>
        </w:trPr>
        <w:tc>
          <w:tcPr>
            <w:tcW w:w="1200" w:type="dxa"/>
            <w:shd w:val="clear" w:color="auto" w:fill="C4EFCE"/>
            <w:vAlign w:val="center"/>
            <w:hideMark/>
          </w:tcPr>
          <w:p w14:paraId="1060EBA6" w14:textId="77777777" w:rsidR="00E040FD" w:rsidRDefault="00740D64">
            <w:pPr>
              <w:pStyle w:val="P68B1DB1-Normal23"/>
              <w:spacing w:after="0"/>
              <w:jc w:val="center"/>
              <w:rPr>
                <w:rFonts w:eastAsia="Calibri" w:cs="Calibri"/>
                <w:noProof/>
              </w:rPr>
            </w:pPr>
            <w:r>
              <w:rPr>
                <w:noProof/>
              </w:rPr>
              <w:t>2.24</w:t>
            </w:r>
          </w:p>
        </w:tc>
        <w:tc>
          <w:tcPr>
            <w:tcW w:w="1760" w:type="dxa"/>
            <w:shd w:val="clear" w:color="auto" w:fill="C4EFCE"/>
            <w:vAlign w:val="center"/>
            <w:hideMark/>
          </w:tcPr>
          <w:p w14:paraId="713D07D5" w14:textId="77777777" w:rsidR="00E040FD" w:rsidRDefault="00740D64">
            <w:pPr>
              <w:pStyle w:val="P68B1DB1-Normal23"/>
              <w:spacing w:after="0"/>
              <w:jc w:val="center"/>
              <w:rPr>
                <w:rFonts w:eastAsia="Calibri" w:cs="Calibri"/>
                <w:noProof/>
              </w:rPr>
            </w:pPr>
            <w:r>
              <w:rPr>
                <w:noProof/>
              </w:rPr>
              <w:t>RE-C02-i05</w:t>
            </w:r>
          </w:p>
        </w:tc>
        <w:tc>
          <w:tcPr>
            <w:tcW w:w="1520" w:type="dxa"/>
            <w:shd w:val="clear" w:color="auto" w:fill="C4EFCE"/>
            <w:vAlign w:val="center"/>
            <w:hideMark/>
          </w:tcPr>
          <w:p w14:paraId="4D626FFD"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46F0F41" w14:textId="77777777" w:rsidR="00E040FD" w:rsidRDefault="00740D64">
            <w:pPr>
              <w:pStyle w:val="P68B1DB1-Normal23"/>
              <w:spacing w:after="0"/>
              <w:jc w:val="both"/>
              <w:rPr>
                <w:rFonts w:eastAsia="Calibri" w:cs="Calibri"/>
                <w:noProof/>
              </w:rPr>
            </w:pPr>
            <w:r>
              <w:rPr>
                <w:noProof/>
              </w:rPr>
              <w:t>Offentliga bostäder till överkomliga priser – Tilldelade bostäder (byggda med hög energieffektivitet eller som renoverats med förbättrad energiprestanda)</w:t>
            </w:r>
          </w:p>
        </w:tc>
      </w:tr>
      <w:tr w:rsidR="00E040FD" w14:paraId="6ACD318C" w14:textId="77777777">
        <w:trPr>
          <w:trHeight w:val="440"/>
        </w:trPr>
        <w:tc>
          <w:tcPr>
            <w:tcW w:w="1200" w:type="dxa"/>
            <w:shd w:val="clear" w:color="auto" w:fill="C4EFCE"/>
            <w:vAlign w:val="center"/>
            <w:hideMark/>
          </w:tcPr>
          <w:p w14:paraId="4A97CC8F" w14:textId="77777777" w:rsidR="00E040FD" w:rsidRDefault="00740D64">
            <w:pPr>
              <w:pStyle w:val="P68B1DB1-Normal23"/>
              <w:spacing w:after="0"/>
              <w:jc w:val="center"/>
              <w:rPr>
                <w:rFonts w:eastAsia="Calibri" w:cs="Calibri"/>
                <w:noProof/>
              </w:rPr>
            </w:pPr>
            <w:r>
              <w:rPr>
                <w:noProof/>
              </w:rPr>
              <w:t>2.28</w:t>
            </w:r>
          </w:p>
        </w:tc>
        <w:tc>
          <w:tcPr>
            <w:tcW w:w="1760" w:type="dxa"/>
            <w:shd w:val="clear" w:color="auto" w:fill="C4EFCE"/>
            <w:vAlign w:val="center"/>
            <w:hideMark/>
          </w:tcPr>
          <w:p w14:paraId="3C8F5913" w14:textId="77777777" w:rsidR="00E040FD" w:rsidRDefault="00740D64">
            <w:pPr>
              <w:pStyle w:val="P68B1DB1-Normal23"/>
              <w:spacing w:after="0"/>
              <w:jc w:val="center"/>
              <w:rPr>
                <w:rFonts w:eastAsia="Calibri" w:cs="Calibri"/>
                <w:noProof/>
              </w:rPr>
            </w:pPr>
            <w:r>
              <w:rPr>
                <w:noProof/>
              </w:rPr>
              <w:t>RE-C02-i06</w:t>
            </w:r>
          </w:p>
        </w:tc>
        <w:tc>
          <w:tcPr>
            <w:tcW w:w="1520" w:type="dxa"/>
            <w:shd w:val="clear" w:color="auto" w:fill="C4EFCE"/>
            <w:vAlign w:val="center"/>
            <w:hideMark/>
          </w:tcPr>
          <w:p w14:paraId="6259008C"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B76E21D" w14:textId="77777777" w:rsidR="00E040FD" w:rsidRDefault="00740D64">
            <w:pPr>
              <w:pStyle w:val="P68B1DB1-Normal23"/>
              <w:spacing w:after="0"/>
              <w:jc w:val="both"/>
              <w:rPr>
                <w:rFonts w:eastAsia="Calibri" w:cs="Calibri"/>
                <w:noProof/>
              </w:rPr>
            </w:pPr>
            <w:r>
              <w:rPr>
                <w:noProof/>
              </w:rPr>
              <w:t>Studenternas boende till rimliga kostnader</w:t>
            </w:r>
          </w:p>
        </w:tc>
      </w:tr>
      <w:tr w:rsidR="00E040FD" w14:paraId="0BC09961" w14:textId="77777777">
        <w:trPr>
          <w:trHeight w:val="440"/>
        </w:trPr>
        <w:tc>
          <w:tcPr>
            <w:tcW w:w="1200" w:type="dxa"/>
            <w:shd w:val="clear" w:color="auto" w:fill="C4EFCE"/>
            <w:vAlign w:val="center"/>
            <w:hideMark/>
          </w:tcPr>
          <w:p w14:paraId="5CF2BED8" w14:textId="77777777" w:rsidR="00E040FD" w:rsidRDefault="00740D64">
            <w:pPr>
              <w:pStyle w:val="P68B1DB1-Normal23"/>
              <w:spacing w:after="0"/>
              <w:jc w:val="center"/>
              <w:rPr>
                <w:rFonts w:eastAsia="Calibri" w:cs="Calibri"/>
                <w:noProof/>
              </w:rPr>
            </w:pPr>
            <w:r>
              <w:rPr>
                <w:noProof/>
              </w:rPr>
              <w:t>2.32</w:t>
            </w:r>
          </w:p>
        </w:tc>
        <w:tc>
          <w:tcPr>
            <w:tcW w:w="1760" w:type="dxa"/>
            <w:shd w:val="clear" w:color="auto" w:fill="C4EFCE"/>
            <w:vAlign w:val="center"/>
            <w:hideMark/>
          </w:tcPr>
          <w:p w14:paraId="67904F64" w14:textId="77777777" w:rsidR="00E040FD" w:rsidRDefault="00740D64">
            <w:pPr>
              <w:pStyle w:val="P68B1DB1-Normal23"/>
              <w:spacing w:after="0"/>
              <w:jc w:val="center"/>
              <w:rPr>
                <w:rFonts w:eastAsia="Calibri" w:cs="Calibri"/>
                <w:noProof/>
              </w:rPr>
            </w:pPr>
            <w:r>
              <w:rPr>
                <w:noProof/>
              </w:rPr>
              <w:t>RE-C02-i01</w:t>
            </w:r>
          </w:p>
        </w:tc>
        <w:tc>
          <w:tcPr>
            <w:tcW w:w="1520" w:type="dxa"/>
            <w:shd w:val="clear" w:color="auto" w:fill="C4EFCE"/>
            <w:vAlign w:val="center"/>
            <w:hideMark/>
          </w:tcPr>
          <w:p w14:paraId="264290E3"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2BD1AF8" w14:textId="77777777" w:rsidR="00E040FD" w:rsidRDefault="00740D64">
            <w:pPr>
              <w:pStyle w:val="P68B1DB1-Normal23"/>
              <w:spacing w:after="0"/>
              <w:jc w:val="both"/>
              <w:rPr>
                <w:rFonts w:eastAsia="Calibri" w:cs="Calibri"/>
                <w:noProof/>
              </w:rPr>
            </w:pPr>
            <w:r>
              <w:rPr>
                <w:noProof/>
              </w:rPr>
              <w:t>Stödprogram för tillgång till bostäder (lån) – köpta, byggda (hög energieffektivitet) eller renoverade (med förbättrad energiprestanda) bostäder som tillhandahålls hushållen</w:t>
            </w:r>
          </w:p>
        </w:tc>
      </w:tr>
      <w:tr w:rsidR="00E040FD" w14:paraId="0E1519F3" w14:textId="77777777">
        <w:trPr>
          <w:trHeight w:val="440"/>
        </w:trPr>
        <w:tc>
          <w:tcPr>
            <w:tcW w:w="1200" w:type="dxa"/>
            <w:shd w:val="clear" w:color="auto" w:fill="C4EFCE"/>
            <w:vAlign w:val="center"/>
            <w:hideMark/>
          </w:tcPr>
          <w:p w14:paraId="76C8C652" w14:textId="77777777" w:rsidR="00E040FD" w:rsidRDefault="00740D64">
            <w:pPr>
              <w:pStyle w:val="P68B1DB1-Normal23"/>
              <w:spacing w:after="0"/>
              <w:jc w:val="center"/>
              <w:rPr>
                <w:rFonts w:eastAsia="Calibri" w:cs="Calibri"/>
                <w:noProof/>
              </w:rPr>
            </w:pPr>
            <w:r>
              <w:rPr>
                <w:noProof/>
              </w:rPr>
              <w:t>6.29</w:t>
            </w:r>
          </w:p>
        </w:tc>
        <w:tc>
          <w:tcPr>
            <w:tcW w:w="1760" w:type="dxa"/>
            <w:shd w:val="clear" w:color="auto" w:fill="C4EFCE"/>
            <w:vAlign w:val="center"/>
            <w:hideMark/>
          </w:tcPr>
          <w:p w14:paraId="0F6D3ED0" w14:textId="77777777" w:rsidR="00E040FD" w:rsidRDefault="00740D64">
            <w:pPr>
              <w:pStyle w:val="P68B1DB1-Normal23"/>
              <w:spacing w:after="0"/>
              <w:jc w:val="center"/>
              <w:rPr>
                <w:rFonts w:eastAsia="Calibri" w:cs="Calibri"/>
                <w:noProof/>
              </w:rPr>
            </w:pPr>
            <w:r>
              <w:rPr>
                <w:noProof/>
              </w:rPr>
              <w:t>RE-C06-i09</w:t>
            </w:r>
          </w:p>
        </w:tc>
        <w:tc>
          <w:tcPr>
            <w:tcW w:w="1520" w:type="dxa"/>
            <w:shd w:val="clear" w:color="auto" w:fill="C4EFCE"/>
            <w:vAlign w:val="center"/>
            <w:hideMark/>
          </w:tcPr>
          <w:p w14:paraId="6D0F7153"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47B6D19" w14:textId="77777777" w:rsidR="00E040FD" w:rsidRDefault="00740D64">
            <w:pPr>
              <w:pStyle w:val="P68B1DB1-Normal23"/>
              <w:spacing w:after="0"/>
              <w:jc w:val="both"/>
              <w:rPr>
                <w:rFonts w:eastAsia="Calibri" w:cs="Calibri"/>
                <w:noProof/>
              </w:rPr>
            </w:pPr>
            <w:r>
              <w:rPr>
                <w:noProof/>
              </w:rPr>
              <w:t>Skolor som byggts eller renoverats</w:t>
            </w:r>
          </w:p>
        </w:tc>
      </w:tr>
      <w:tr w:rsidR="00E040FD" w14:paraId="5238DA6D" w14:textId="77777777">
        <w:trPr>
          <w:trHeight w:val="440"/>
        </w:trPr>
        <w:tc>
          <w:tcPr>
            <w:tcW w:w="1200" w:type="dxa"/>
            <w:shd w:val="clear" w:color="auto" w:fill="C4EFCE"/>
            <w:vAlign w:val="center"/>
            <w:hideMark/>
          </w:tcPr>
          <w:p w14:paraId="5A9125CA" w14:textId="77777777" w:rsidR="00E040FD" w:rsidRDefault="00740D64">
            <w:pPr>
              <w:pStyle w:val="P68B1DB1-Normal23"/>
              <w:spacing w:after="0"/>
              <w:jc w:val="center"/>
              <w:rPr>
                <w:rFonts w:eastAsia="Calibri" w:cs="Calibri"/>
                <w:noProof/>
              </w:rPr>
            </w:pPr>
            <w:r>
              <w:rPr>
                <w:noProof/>
              </w:rPr>
              <w:t>9.11</w:t>
            </w:r>
          </w:p>
        </w:tc>
        <w:tc>
          <w:tcPr>
            <w:tcW w:w="1760" w:type="dxa"/>
            <w:shd w:val="clear" w:color="auto" w:fill="C4EFCE"/>
            <w:vAlign w:val="center"/>
            <w:hideMark/>
          </w:tcPr>
          <w:p w14:paraId="0D639E29" w14:textId="77777777" w:rsidR="00E040FD" w:rsidRDefault="00740D64">
            <w:pPr>
              <w:pStyle w:val="P68B1DB1-Normal23"/>
              <w:spacing w:after="0"/>
              <w:jc w:val="center"/>
              <w:rPr>
                <w:rFonts w:eastAsia="Calibri" w:cs="Calibri"/>
                <w:noProof/>
              </w:rPr>
            </w:pPr>
            <w:r>
              <w:rPr>
                <w:noProof/>
              </w:rPr>
              <w:t>RE-C09-i02</w:t>
            </w:r>
          </w:p>
        </w:tc>
        <w:tc>
          <w:tcPr>
            <w:tcW w:w="1520" w:type="dxa"/>
            <w:shd w:val="clear" w:color="auto" w:fill="C4EFCE"/>
            <w:vAlign w:val="center"/>
            <w:hideMark/>
          </w:tcPr>
          <w:p w14:paraId="41B75453"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12ACE4B" w14:textId="77777777" w:rsidR="00E040FD" w:rsidRDefault="00740D64">
            <w:pPr>
              <w:pStyle w:val="P68B1DB1-Normal23"/>
              <w:spacing w:after="0"/>
              <w:jc w:val="both"/>
              <w:rPr>
                <w:rFonts w:eastAsia="Calibri" w:cs="Calibri"/>
                <w:noProof/>
              </w:rPr>
            </w:pPr>
            <w:r>
              <w:rPr>
                <w:noProof/>
              </w:rPr>
              <w:t>Idrifttagande av produktion och bevattning av dammen, vattenkraft och solenergi, med full respekt för de resultat och villkor som fastställs i miljökonsekvensbedömningen, och uppnåendet av god status för de berörda vattenförekomsterna.</w:t>
            </w:r>
          </w:p>
        </w:tc>
      </w:tr>
      <w:tr w:rsidR="00E040FD" w14:paraId="19AB668B" w14:textId="77777777">
        <w:trPr>
          <w:trHeight w:val="440"/>
        </w:trPr>
        <w:tc>
          <w:tcPr>
            <w:tcW w:w="1200" w:type="dxa"/>
            <w:shd w:val="clear" w:color="auto" w:fill="C4EFCE"/>
            <w:vAlign w:val="center"/>
            <w:hideMark/>
          </w:tcPr>
          <w:p w14:paraId="6A2076DD" w14:textId="77777777" w:rsidR="00E040FD" w:rsidRDefault="00740D64">
            <w:pPr>
              <w:pStyle w:val="P68B1DB1-Normal23"/>
              <w:spacing w:after="0"/>
              <w:jc w:val="center"/>
              <w:rPr>
                <w:rFonts w:eastAsia="Calibri" w:cs="Calibri"/>
                <w:noProof/>
              </w:rPr>
            </w:pPr>
            <w:r>
              <w:rPr>
                <w:noProof/>
              </w:rPr>
              <w:t>10.7</w:t>
            </w:r>
          </w:p>
        </w:tc>
        <w:tc>
          <w:tcPr>
            <w:tcW w:w="1760" w:type="dxa"/>
            <w:shd w:val="clear" w:color="auto" w:fill="C4EFCE"/>
            <w:vAlign w:val="center"/>
            <w:hideMark/>
          </w:tcPr>
          <w:p w14:paraId="7A7CF25E" w14:textId="77777777" w:rsidR="00E040FD" w:rsidRDefault="00740D64">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266B0A8B" w14:textId="77777777" w:rsidR="00E040FD" w:rsidRDefault="00740D6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3803CDA" w14:textId="77777777" w:rsidR="00E040FD" w:rsidRDefault="00740D64">
            <w:pPr>
              <w:pStyle w:val="P68B1DB1-Normal23"/>
              <w:spacing w:after="0"/>
              <w:jc w:val="both"/>
              <w:rPr>
                <w:rFonts w:eastAsia="Calibri" w:cs="Calibri"/>
                <w:noProof/>
              </w:rPr>
            </w:pPr>
            <w:r>
              <w:rPr>
                <w:noProof/>
              </w:rPr>
              <w:t>Mottagande och godkännande av den multifunktionella marina plattformen och operationscentrumet</w:t>
            </w:r>
          </w:p>
        </w:tc>
      </w:tr>
      <w:tr w:rsidR="00E040FD" w14:paraId="057D473A" w14:textId="77777777">
        <w:trPr>
          <w:trHeight w:val="440"/>
        </w:trPr>
        <w:tc>
          <w:tcPr>
            <w:tcW w:w="1200" w:type="dxa"/>
            <w:shd w:val="clear" w:color="auto" w:fill="C4EFCE"/>
            <w:vAlign w:val="center"/>
            <w:hideMark/>
          </w:tcPr>
          <w:p w14:paraId="5F8992F9" w14:textId="77777777" w:rsidR="00E040FD" w:rsidRDefault="00740D64">
            <w:pPr>
              <w:pStyle w:val="P68B1DB1-Normal23"/>
              <w:spacing w:after="0"/>
              <w:jc w:val="center"/>
              <w:rPr>
                <w:rFonts w:eastAsia="Calibri" w:cs="Calibri"/>
                <w:noProof/>
              </w:rPr>
            </w:pPr>
            <w:r>
              <w:rPr>
                <w:noProof/>
              </w:rPr>
              <w:t>10.18</w:t>
            </w:r>
          </w:p>
        </w:tc>
        <w:tc>
          <w:tcPr>
            <w:tcW w:w="1760" w:type="dxa"/>
            <w:shd w:val="clear" w:color="auto" w:fill="C4EFCE"/>
            <w:vAlign w:val="center"/>
            <w:hideMark/>
          </w:tcPr>
          <w:p w14:paraId="3BD8484D" w14:textId="77777777" w:rsidR="00E040FD" w:rsidRDefault="00740D64">
            <w:pPr>
              <w:pStyle w:val="P68B1DB1-Normal23"/>
              <w:spacing w:after="0"/>
              <w:jc w:val="center"/>
              <w:rPr>
                <w:rFonts w:eastAsia="Calibri" w:cs="Calibri"/>
                <w:noProof/>
              </w:rPr>
            </w:pPr>
            <w:r>
              <w:rPr>
                <w:noProof/>
              </w:rPr>
              <w:t>TC-10-i07</w:t>
            </w:r>
          </w:p>
        </w:tc>
        <w:tc>
          <w:tcPr>
            <w:tcW w:w="1520" w:type="dxa"/>
            <w:shd w:val="clear" w:color="auto" w:fill="C4EFCE"/>
            <w:vAlign w:val="center"/>
            <w:hideMark/>
          </w:tcPr>
          <w:p w14:paraId="735A96C0"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556295A" w14:textId="77777777" w:rsidR="00E040FD" w:rsidRDefault="00740D64">
            <w:pPr>
              <w:pStyle w:val="P68B1DB1-Normal23"/>
              <w:spacing w:after="0"/>
              <w:jc w:val="both"/>
              <w:rPr>
                <w:rFonts w:eastAsia="Calibri" w:cs="Calibri"/>
                <w:noProof/>
              </w:rPr>
            </w:pPr>
            <w:r>
              <w:rPr>
                <w:noProof/>
              </w:rPr>
              <w:t>Slutförande av insatser för energieffektivitet för fartyg</w:t>
            </w:r>
          </w:p>
        </w:tc>
      </w:tr>
      <w:tr w:rsidR="00E040FD" w14:paraId="4F144B9C" w14:textId="77777777">
        <w:trPr>
          <w:trHeight w:val="440"/>
        </w:trPr>
        <w:tc>
          <w:tcPr>
            <w:tcW w:w="1200" w:type="dxa"/>
            <w:shd w:val="clear" w:color="auto" w:fill="C4EFCE"/>
            <w:vAlign w:val="center"/>
            <w:hideMark/>
          </w:tcPr>
          <w:p w14:paraId="32223458" w14:textId="77777777" w:rsidR="00E040FD" w:rsidRDefault="00740D64">
            <w:pPr>
              <w:pStyle w:val="P68B1DB1-Normal23"/>
              <w:spacing w:after="0"/>
              <w:jc w:val="center"/>
              <w:rPr>
                <w:rFonts w:eastAsia="Calibri" w:cs="Calibri"/>
                <w:noProof/>
              </w:rPr>
            </w:pPr>
            <w:r>
              <w:rPr>
                <w:noProof/>
              </w:rPr>
              <w:t>15.9</w:t>
            </w:r>
          </w:p>
        </w:tc>
        <w:tc>
          <w:tcPr>
            <w:tcW w:w="1760" w:type="dxa"/>
            <w:shd w:val="clear" w:color="auto" w:fill="C4EFCE"/>
            <w:vAlign w:val="center"/>
            <w:hideMark/>
          </w:tcPr>
          <w:p w14:paraId="653ED741" w14:textId="77777777" w:rsidR="00E040FD" w:rsidRDefault="00740D64">
            <w:pPr>
              <w:pStyle w:val="P68B1DB1-Normal23"/>
              <w:spacing w:after="0"/>
              <w:jc w:val="center"/>
              <w:rPr>
                <w:rFonts w:eastAsia="Calibri" w:cs="Calibri"/>
                <w:noProof/>
              </w:rPr>
            </w:pPr>
            <w:r>
              <w:rPr>
                <w:noProof/>
              </w:rPr>
              <w:t>TC-C15-I03</w:t>
            </w:r>
          </w:p>
        </w:tc>
        <w:tc>
          <w:tcPr>
            <w:tcW w:w="1520" w:type="dxa"/>
            <w:shd w:val="clear" w:color="auto" w:fill="C4EFCE"/>
            <w:vAlign w:val="center"/>
            <w:hideMark/>
          </w:tcPr>
          <w:p w14:paraId="36D4B6CD" w14:textId="77777777" w:rsidR="00E040FD" w:rsidRDefault="00740D6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9759650" w14:textId="77777777" w:rsidR="00E040FD" w:rsidRDefault="00740D64">
            <w:pPr>
              <w:pStyle w:val="P68B1DB1-Normal23"/>
              <w:spacing w:after="0"/>
              <w:jc w:val="both"/>
              <w:rPr>
                <w:rFonts w:eastAsia="Calibri" w:cs="Calibri"/>
                <w:noProof/>
              </w:rPr>
            </w:pPr>
            <w:r>
              <w:rPr>
                <w:noProof/>
              </w:rPr>
              <w:t>Anläggning av en transitlinje för lätta tåg mellan Odivelas och Loures slutförd</w:t>
            </w:r>
          </w:p>
        </w:tc>
      </w:tr>
      <w:tr w:rsidR="00E040FD" w14:paraId="4C01CA89" w14:textId="77777777">
        <w:trPr>
          <w:trHeight w:val="440"/>
        </w:trPr>
        <w:tc>
          <w:tcPr>
            <w:tcW w:w="1200" w:type="dxa"/>
            <w:shd w:val="clear" w:color="auto" w:fill="C4EFCE"/>
            <w:vAlign w:val="center"/>
            <w:hideMark/>
          </w:tcPr>
          <w:p w14:paraId="58A583A0" w14:textId="77777777" w:rsidR="00E040FD" w:rsidRDefault="00740D6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0B776CD" w14:textId="77777777" w:rsidR="00E040FD" w:rsidRDefault="00740D6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795582F7" w14:textId="77777777" w:rsidR="00E040FD" w:rsidRDefault="00740D64">
            <w:pPr>
              <w:pStyle w:val="P68B1DB1-Normal24"/>
              <w:spacing w:after="0" w:line="240" w:lineRule="auto"/>
              <w:jc w:val="center"/>
              <w:rPr>
                <w:rFonts w:eastAsia="Times New Roman" w:cs="Calibri"/>
                <w:noProof/>
              </w:rPr>
            </w:pPr>
            <w:r>
              <w:rPr>
                <w:noProof/>
              </w:rPr>
              <w:t>Delbetalning, belopp</w:t>
            </w:r>
          </w:p>
        </w:tc>
        <w:tc>
          <w:tcPr>
            <w:tcW w:w="5060" w:type="dxa"/>
            <w:shd w:val="clear" w:color="auto" w:fill="C4EFCE"/>
            <w:vAlign w:val="center"/>
            <w:hideMark/>
          </w:tcPr>
          <w:p w14:paraId="608E3E88" w14:textId="42969D28" w:rsidR="00E040FD" w:rsidRDefault="00740D64">
            <w:pPr>
              <w:pStyle w:val="P68B1DB1-Normal25"/>
              <w:spacing w:after="0" w:line="240" w:lineRule="auto"/>
              <w:jc w:val="center"/>
              <w:rPr>
                <w:rFonts w:cs="Calibri"/>
                <w:noProof/>
              </w:rPr>
            </w:pPr>
            <w:r>
              <w:rPr>
                <w:noProof/>
              </w:rPr>
              <w:t xml:space="preserve"> 907 960 212 EUR </w:t>
            </w:r>
          </w:p>
        </w:tc>
      </w:tr>
    </w:tbl>
    <w:p w14:paraId="1317C313" w14:textId="77777777" w:rsidR="00E040FD" w:rsidRDefault="00E040FD">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p>
    <w:p w14:paraId="7BC3CF85" w14:textId="11A36794" w:rsidR="00E040FD" w:rsidRDefault="00740D64">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r>
        <w:rPr>
          <w:noProof/>
        </w:rPr>
        <w:br w:type="page"/>
      </w:r>
      <w:r>
        <w:rPr>
          <w:rFonts w:ascii="Times New Roman" w:hAnsi="Times New Roman"/>
          <w:b/>
          <w:smallCaps/>
          <w:noProof/>
          <w:sz w:val="24"/>
        </w:rPr>
        <w:t xml:space="preserve">AVSNITT 3: YTTERLIGARE ARRANGEMANG </w:t>
      </w:r>
    </w:p>
    <w:p w14:paraId="21FD14C8" w14:textId="77777777" w:rsidR="00E040FD" w:rsidRDefault="00740D64">
      <w:pPr>
        <w:pStyle w:val="P68B1DB1-Normal3"/>
        <w:keepNext/>
        <w:numPr>
          <w:ilvl w:val="1"/>
          <w:numId w:val="49"/>
        </w:numPr>
        <w:spacing w:before="40" w:after="0" w:line="259" w:lineRule="auto"/>
        <w:ind w:left="357" w:hanging="357"/>
        <w:jc w:val="both"/>
        <w:outlineLvl w:val="1"/>
        <w:rPr>
          <w:rFonts w:eastAsiaTheme="majorEastAsia" w:cs="Times New Roman"/>
          <w:noProof/>
        </w:rPr>
      </w:pPr>
      <w:r>
        <w:rPr>
          <w:noProof/>
        </w:rPr>
        <w:t>Arrangemang för övervakning och genomförande av återhämtnings- och resiliensplanen</w:t>
      </w:r>
    </w:p>
    <w:p w14:paraId="0513130D"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Övervakningen och genomförandet av Portugals återhämtnings- och resiliensplan ska ske i enlighet med följande arrangemang: </w:t>
      </w:r>
    </w:p>
    <w:p w14:paraId="47CE9DC2" w14:textId="3215C937" w:rsidR="00E040FD" w:rsidRDefault="00740D64">
      <w:pPr>
        <w:pStyle w:val="P68B1DB1-Normal4"/>
        <w:keepNext/>
        <w:spacing w:before="40" w:after="0" w:line="259" w:lineRule="auto"/>
        <w:jc w:val="both"/>
        <w:rPr>
          <w:rFonts w:eastAsiaTheme="minorEastAsia" w:cs="Times New Roman"/>
          <w:noProof/>
        </w:rPr>
      </w:pPr>
      <w:r>
        <w:rPr>
          <w:noProof/>
        </w:rPr>
        <w:t xml:space="preserve">Genom lagdekret nr 29-B/2021, ändrat genom lagdekret 61/2023 från juli 24, fastställs en styrningsmodell på fyra nivåer: </w:t>
      </w:r>
    </w:p>
    <w:p w14:paraId="5C86F29E" w14:textId="77777777" w:rsidR="00E040FD" w:rsidRDefault="00740D64">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En interministeriell kommission, med premiärministern som ordförande, med ansvar för strategisk och politisk samordning och övergripande politisk styrning. </w:t>
      </w:r>
    </w:p>
    <w:p w14:paraId="40167AC1" w14:textId="77777777" w:rsidR="00E040FD" w:rsidRDefault="00740D64">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En nationell övervakningskommitté, bestående av företrädare för olika sociala och ekonomiska partner och viktiga personer i det civila samhället och med en oberoende person som ordförande, för att övervaka genomförandet av planen för återhämtning och resiliens och dess resultat, främja dess korrekta spridning till medborgare, företag och andra organisationer, undersöka alla frågor som påverkar dess resultat och föreslå rekommendationer. </w:t>
      </w:r>
    </w:p>
    <w:p w14:paraId="39701269" w14:textId="78BB1033" w:rsidR="00E040FD" w:rsidRDefault="00740D64">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En administrativ </w:t>
      </w:r>
      <w:r>
        <w:rPr>
          <w:i/>
          <w:noProof/>
        </w:rPr>
        <w:t>struktur, Estrutura de missao Recuperar Portugal</w:t>
      </w:r>
      <w:r>
        <w:rPr>
          <w:noProof/>
        </w:rPr>
        <w:t xml:space="preserve"> (nedan kallad arbetsgruppen) inrättad genom ministerrådets resolution nr 46-B/2021, ansvarar för genomförandet av återhämtnings- och resiliensplanen, tillsammans med byrån för utveckling och sammanhållning (som övervakar användningen av mixen av EU-medel, kontrollerar risken för dubbelfinansiering och förenligheten med andra initiativ) och finansministeriet.</w:t>
      </w:r>
    </w:p>
    <w:p w14:paraId="1B7F06E3" w14:textId="77777777" w:rsidR="00E040FD" w:rsidRDefault="00740D64">
      <w:pPr>
        <w:pStyle w:val="P68B1DB1-Normal4"/>
        <w:keepNext/>
        <w:numPr>
          <w:ilvl w:val="0"/>
          <w:numId w:val="54"/>
        </w:numPr>
        <w:spacing w:before="40" w:after="160" w:line="259" w:lineRule="auto"/>
        <w:contextualSpacing/>
        <w:jc w:val="both"/>
        <w:rPr>
          <w:rFonts w:eastAsiaTheme="minorEastAsia" w:cs="Times New Roman"/>
          <w:noProof/>
        </w:rPr>
      </w:pPr>
      <w:r>
        <w:rPr>
          <w:noProof/>
        </w:rPr>
        <w:t>Revisions- och kontrollkommittén (CAC), som leds av finansinspektionen (IGF), ska ansvara för revisions- och kontrollverksamheten.</w:t>
      </w:r>
    </w:p>
    <w:p w14:paraId="7337E38A" w14:textId="77777777" w:rsidR="00E040FD" w:rsidRDefault="00740D64">
      <w:pPr>
        <w:pStyle w:val="P68B1DB1-Normal4"/>
        <w:keepNext/>
        <w:spacing w:before="40" w:after="0" w:line="259" w:lineRule="auto"/>
        <w:jc w:val="both"/>
        <w:rPr>
          <w:rFonts w:eastAsiaTheme="minorEastAsia" w:cs="Times New Roman"/>
          <w:noProof/>
        </w:rPr>
      </w:pPr>
      <w:r>
        <w:rPr>
          <w:noProof/>
        </w:rPr>
        <w:t xml:space="preserve">Portugal har inrättat de institutionella aktörer som ansvarar för genomförandet av de enskilda reformerna och investeringarna på komponentnivå. De ansvariga ministerier eller aktörer som deltar i genomförandet av varje reform och investering ska regelbundet samarbeta med arbetsgruppen, som ska vara den struktur som ansvarar för att samordna arbetet med planen för återhämtning och resiliens, underteckna avtal med direkta och mellanliggande stödmottagare, kontrollera att delmål och mål har uppnåtts och skicka betalningsansökningarna till Europeiska kommissionen. </w:t>
      </w:r>
    </w:p>
    <w:p w14:paraId="4221245C" w14:textId="77777777" w:rsidR="00E040FD" w:rsidRDefault="00E040FD">
      <w:pPr>
        <w:keepNext/>
        <w:spacing w:before="40" w:after="0" w:line="259" w:lineRule="auto"/>
        <w:jc w:val="both"/>
        <w:rPr>
          <w:rFonts w:ascii="Times New Roman" w:eastAsiaTheme="minorEastAsia" w:hAnsi="Times New Roman" w:cs="Times New Roman"/>
          <w:noProof/>
          <w:sz w:val="24"/>
        </w:rPr>
      </w:pPr>
    </w:p>
    <w:p w14:paraId="0C7CC7C0" w14:textId="77777777" w:rsidR="00E040FD" w:rsidRDefault="00740D64">
      <w:pPr>
        <w:pStyle w:val="P68B1DB1-Normal3"/>
        <w:keepNext/>
        <w:numPr>
          <w:ilvl w:val="1"/>
          <w:numId w:val="49"/>
        </w:numPr>
        <w:spacing w:before="40" w:after="0" w:line="259" w:lineRule="auto"/>
        <w:ind w:left="357" w:hanging="357"/>
        <w:jc w:val="both"/>
        <w:outlineLvl w:val="1"/>
        <w:rPr>
          <w:rFonts w:eastAsiaTheme="minorEastAsia" w:cs="Times New Roman"/>
          <w:noProof/>
        </w:rPr>
      </w:pPr>
      <w:r>
        <w:rPr>
          <w:noProof/>
        </w:rPr>
        <w:t>Arrangemangen för att ge kommissionen fullständig tillgång till underliggande uppgifter</w:t>
      </w:r>
    </w:p>
    <w:p w14:paraId="2A07BA90" w14:textId="77777777" w:rsidR="00E040FD" w:rsidRDefault="00E040FD">
      <w:pPr>
        <w:keepNext/>
        <w:spacing w:before="40" w:after="0" w:line="259" w:lineRule="auto"/>
        <w:ind w:left="357"/>
        <w:jc w:val="both"/>
        <w:outlineLvl w:val="1"/>
        <w:rPr>
          <w:rFonts w:ascii="Times New Roman" w:eastAsiaTheme="minorEastAsia" w:hAnsi="Times New Roman" w:cs="Times New Roman"/>
          <w:b/>
          <w:noProof/>
          <w:sz w:val="24"/>
          <w:u w:val="single"/>
        </w:rPr>
      </w:pPr>
    </w:p>
    <w:p w14:paraId="058CE76E" w14:textId="524D29FB" w:rsidR="00E040FD" w:rsidRDefault="00740D64">
      <w:pPr>
        <w:pStyle w:val="P68B1DB1-Normal4"/>
        <w:keepNext/>
        <w:numPr>
          <w:ilvl w:val="0"/>
          <w:numId w:val="69"/>
        </w:numPr>
        <w:spacing w:before="120" w:after="0" w:line="240" w:lineRule="auto"/>
        <w:ind w:left="714" w:hanging="357"/>
        <w:contextualSpacing/>
        <w:jc w:val="both"/>
        <w:rPr>
          <w:rFonts w:cs="Times New Roman"/>
          <w:noProof/>
        </w:rPr>
      </w:pPr>
      <w:r>
        <w:rPr>
          <w:noProof/>
        </w:rPr>
        <w:t>Arbetsgruppen ”Estrutura de missao Recuperar Portugal”, som är det centrala samordningsorganet för Portugals återhämtnings- och resiliensplan och dess genomförande, ansvarar tillsammans med utvecklings- och sammanhållningsbyrån och finansministeriet för den övergripande samordningen och övervakningen av planen. Den fungerar särskilt som ett samordningsorgan för att övervaka framstegen när det gäller delmål och mål, för övervakning och, i förekommande fall, genomförande av kontroll- och revisionsverksamhet samt för att tillhandahålla rapportering och begäran om utbetalningar. Den samordnar rapporteringen av delmål och mål, relevanta indikatorer, men även kvalitativ finansiell information och andra uppgifter, t.ex. om slutmottagare. Datainmatningen sker i ett centraliserat it-system.</w:t>
      </w:r>
    </w:p>
    <w:p w14:paraId="09971485" w14:textId="77777777" w:rsidR="00E040FD" w:rsidRDefault="00740D64">
      <w:pPr>
        <w:pStyle w:val="P68B1DB1-Normal4"/>
        <w:keepNext/>
        <w:numPr>
          <w:ilvl w:val="0"/>
          <w:numId w:val="69"/>
        </w:numPr>
        <w:spacing w:before="120" w:after="120" w:line="240" w:lineRule="auto"/>
        <w:contextualSpacing/>
        <w:jc w:val="both"/>
        <w:rPr>
          <w:rFonts w:eastAsiaTheme="minorEastAsia" w:cs="Times New Roman"/>
          <w:noProof/>
        </w:rPr>
      </w:pPr>
      <w:r>
        <w:rPr>
          <w:noProof/>
        </w:rPr>
        <w:t xml:space="preserve">I enlighet med artikel 24.2 i förordning (EU) 2021/241 ska Portugal, när de relevanta överenskomna delmålen och målen i avsnitt 2.1 i denna bilaga har uppnåtts, lämna in en vederbörligen motiverad ansökan till kommissionen om utbetalning av det ekonomiska bidraget och, i förekommande fall, av lånet. Portugal ska se till att kommissionen på begäran har fullständig tillgång till de underliggande relevanta uppgifter som ligger till grund för begäran om utbetalning, både för bedömningen av ansökan om utbetalning i enlighet med artikel 24.3 i förordning (EU) 2021/241 och för revisions- och kontrolländamål. </w:t>
      </w:r>
    </w:p>
    <w:p w14:paraId="03FAF694" w14:textId="77777777" w:rsidR="00E040FD" w:rsidRDefault="00E040FD">
      <w:pPr>
        <w:rPr>
          <w:noProof/>
        </w:rPr>
      </w:pPr>
    </w:p>
    <w:sectPr w:rsidR="00E040FD">
      <w:headerReference w:type="even" r:id="rId392"/>
      <w:headerReference w:type="default" r:id="rId393"/>
      <w:footerReference w:type="even" r:id="rId394"/>
      <w:footerReference w:type="default" r:id="rId395"/>
      <w:headerReference w:type="first" r:id="rId396"/>
      <w:footerReference w:type="first" r:id="rId39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444E1" w14:textId="77777777" w:rsidR="00E040FD" w:rsidRDefault="00740D64">
      <w:pPr>
        <w:spacing w:after="0" w:line="240" w:lineRule="auto"/>
      </w:pPr>
      <w:r>
        <w:separator/>
      </w:r>
    </w:p>
  </w:endnote>
  <w:endnote w:type="continuationSeparator" w:id="0">
    <w:p w14:paraId="301B6140" w14:textId="77777777" w:rsidR="00E040FD" w:rsidRDefault="00740D64">
      <w:pPr>
        <w:spacing w:after="0" w:line="240" w:lineRule="auto"/>
      </w:pPr>
      <w:r>
        <w:continuationSeparator/>
      </w:r>
    </w:p>
  </w:endnote>
  <w:endnote w:type="continuationNotice" w:id="1">
    <w:p w14:paraId="21D47D22" w14:textId="77777777" w:rsidR="00E040FD" w:rsidRDefault="00E04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panose1 w:val="02020609040205080304"/>
    <w:charset w:val="80"/>
    <w:family w:val="modern"/>
    <w:pitch w:val="fixed"/>
    <w:sig w:usb0="E00002FF" w:usb1="6AC7FDFB" w:usb2="08000012" w:usb3="00000000" w:csb0="0002009F" w:csb1="00000000"/>
  </w:font>
  <w:font w:name="Times New Roman félkövé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C721" w14:textId="77777777" w:rsidR="00FE5799" w:rsidRPr="00FE5799" w:rsidRDefault="00FE5799" w:rsidP="00FE579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E7EB" w14:textId="77777777" w:rsidR="00FD5608" w:rsidRDefault="00FD5608">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1D25" w14:textId="77777777" w:rsidR="00E040FD" w:rsidRDefault="00E040FD">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812415"/>
      <w:docPartObj>
        <w:docPartGallery w:val="Page Numbers (Bottom of Page)"/>
        <w:docPartUnique/>
      </w:docPartObj>
    </w:sdtPr>
    <w:sdtEndPr>
      <w:rPr>
        <w:noProof/>
      </w:rPr>
    </w:sdtEndPr>
    <w:sdtContent>
      <w:p w14:paraId="5C35590C" w14:textId="38FA2857"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3AB594E4" w14:textId="77777777" w:rsidR="00E040FD" w:rsidRDefault="00E040FD">
    <w:pPr>
      <w:pStyle w:val="FooterCouncil"/>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387E" w14:textId="77777777" w:rsidR="00E040FD" w:rsidRDefault="00E040FD">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33C40" w14:textId="77777777" w:rsidR="00E040FD" w:rsidRDefault="00E040FD">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05438"/>
      <w:docPartObj>
        <w:docPartGallery w:val="Page Numbers (Bottom of Page)"/>
        <w:docPartUnique/>
      </w:docPartObj>
    </w:sdtPr>
    <w:sdtEndPr>
      <w:rPr>
        <w:noProof/>
      </w:rPr>
    </w:sdtEndPr>
    <w:sdtContent>
      <w:p w14:paraId="6CE76736" w14:textId="62189A6B"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E47A84D" w14:textId="77777777" w:rsidR="00E040FD" w:rsidRDefault="00E040FD">
    <w:pPr>
      <w:pStyle w:val="FooterCouncil"/>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A711" w14:textId="77777777" w:rsidR="00E040FD" w:rsidRDefault="00E040FD">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7546" w14:textId="77777777" w:rsidR="00E040FD" w:rsidRDefault="00E040FD">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537083"/>
      <w:docPartObj>
        <w:docPartGallery w:val="Page Numbers (Bottom of Page)"/>
        <w:docPartUnique/>
      </w:docPartObj>
    </w:sdtPr>
    <w:sdtEndPr>
      <w:rPr>
        <w:noProof/>
      </w:rPr>
    </w:sdtEndPr>
    <w:sdtContent>
      <w:p w14:paraId="400B67AA" w14:textId="0E52DA81"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9B88E92" w14:textId="77777777" w:rsidR="00E040FD" w:rsidRDefault="00E040FD">
    <w:pPr>
      <w:pStyle w:val="FooterCouncil"/>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266A6" w14:textId="77777777" w:rsidR="00E040FD" w:rsidRDefault="00E040FD">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032C" w14:textId="77777777" w:rsidR="00E040FD" w:rsidRDefault="00E040F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382178"/>
      <w:docPartObj>
        <w:docPartGallery w:val="Page Numbers (Bottom of Page)"/>
        <w:docPartUnique/>
      </w:docPartObj>
    </w:sdtPr>
    <w:sdtEndPr>
      <w:rPr>
        <w:noProof/>
      </w:rPr>
    </w:sdtEndPr>
    <w:sdtContent>
      <w:p w14:paraId="3672A934" w14:textId="0AC7DA49" w:rsidR="00FD5608" w:rsidRDefault="00FD5608">
        <w:pPr>
          <w:pStyle w:val="Footer"/>
          <w:jc w:val="center"/>
        </w:pPr>
        <w:r>
          <w:fldChar w:fldCharType="begin"/>
        </w:r>
        <w:r>
          <w:instrText xml:space="preserve"> PAGE   \* MERGEFORMAT </w:instrText>
        </w:r>
        <w:r>
          <w:fldChar w:fldCharType="separate"/>
        </w:r>
        <w:r w:rsidR="00FE5799">
          <w:rPr>
            <w:noProof/>
          </w:rPr>
          <w:t>9</w:t>
        </w:r>
        <w:r>
          <w:fldChar w:fldCharType="end"/>
        </w:r>
      </w:p>
    </w:sdtContent>
  </w:sdt>
  <w:p w14:paraId="67D210FF" w14:textId="77777777" w:rsidR="00FD5608" w:rsidRDefault="00FD5608">
    <w:pPr>
      <w:pStyle w:val="Footer"/>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41652"/>
      <w:docPartObj>
        <w:docPartGallery w:val="Page Numbers (Bottom of Page)"/>
        <w:docPartUnique/>
      </w:docPartObj>
    </w:sdtPr>
    <w:sdtEndPr>
      <w:rPr>
        <w:noProof/>
      </w:rPr>
    </w:sdtEndPr>
    <w:sdtContent>
      <w:p w14:paraId="64BE41A1" w14:textId="4418F725"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CCA67FB" w14:textId="77777777" w:rsidR="00E040FD" w:rsidRDefault="00E040FD">
    <w:pPr>
      <w:pStyle w:val="FooterCouncil"/>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F1F5" w14:textId="77777777" w:rsidR="00E040FD" w:rsidRDefault="00E040FD">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C986" w14:textId="77777777" w:rsidR="00E040FD" w:rsidRDefault="00E040FD">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802795"/>
      <w:docPartObj>
        <w:docPartGallery w:val="Page Numbers (Bottom of Page)"/>
        <w:docPartUnique/>
      </w:docPartObj>
    </w:sdtPr>
    <w:sdtEndPr>
      <w:rPr>
        <w:noProof/>
      </w:rPr>
    </w:sdtEndPr>
    <w:sdtContent>
      <w:p w14:paraId="3F6CD9B0" w14:textId="2B432A40"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685FDF4B" w14:textId="77777777" w:rsidR="00E040FD" w:rsidRDefault="00E040FD">
    <w:pPr>
      <w:pStyle w:val="FooterCouncil"/>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3878" w14:textId="77777777" w:rsidR="00E040FD" w:rsidRDefault="00E040FD">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DCE7" w14:textId="77777777" w:rsidR="00E040FD" w:rsidRDefault="00E040FD">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881091"/>
      <w:docPartObj>
        <w:docPartGallery w:val="Page Numbers (Bottom of Page)"/>
        <w:docPartUnique/>
      </w:docPartObj>
    </w:sdtPr>
    <w:sdtEndPr>
      <w:rPr>
        <w:noProof/>
      </w:rPr>
    </w:sdtEndPr>
    <w:sdtContent>
      <w:p w14:paraId="75178E5C" w14:textId="7FB31806"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8422C38" w14:textId="77777777" w:rsidR="00E040FD" w:rsidRDefault="00E040FD">
    <w:pPr>
      <w:pStyle w:val="FooterCouncil"/>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5B6C7" w14:textId="77777777" w:rsidR="00E040FD" w:rsidRDefault="00E040FD">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ECB7" w14:textId="77777777" w:rsidR="00E040FD" w:rsidRDefault="00E040FD">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032258"/>
      <w:docPartObj>
        <w:docPartGallery w:val="Page Numbers (Bottom of Page)"/>
        <w:docPartUnique/>
      </w:docPartObj>
    </w:sdtPr>
    <w:sdtEndPr>
      <w:rPr>
        <w:noProof/>
      </w:rPr>
    </w:sdtEndPr>
    <w:sdtContent>
      <w:p w14:paraId="2727D672" w14:textId="46A37415"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1BA5E86" w14:textId="77777777" w:rsidR="00E040FD" w:rsidRDefault="00E040FD">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9E25" w14:textId="77777777" w:rsidR="00FD5608" w:rsidRDefault="00FD5608">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5423" w14:textId="77777777" w:rsidR="00E040FD" w:rsidRDefault="00E040FD">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2A79" w14:textId="77777777" w:rsidR="00E040FD" w:rsidRDefault="00E040FD">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292644"/>
      <w:docPartObj>
        <w:docPartGallery w:val="Page Numbers (Bottom of Page)"/>
        <w:docPartUnique/>
      </w:docPartObj>
    </w:sdtPr>
    <w:sdtEndPr>
      <w:rPr>
        <w:noProof/>
      </w:rPr>
    </w:sdtEndPr>
    <w:sdtContent>
      <w:p w14:paraId="1A732953" w14:textId="0EAA12DF"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F3FCFDE" w14:textId="77777777" w:rsidR="00E040FD" w:rsidRDefault="00E040FD">
    <w:pPr>
      <w:pStyle w:val="FooterCouncil"/>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FEE08" w14:textId="77777777" w:rsidR="00E040FD" w:rsidRDefault="00E040FD">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6D009" w14:textId="77777777" w:rsidR="00E040FD" w:rsidRDefault="00E040FD">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412636"/>
      <w:docPartObj>
        <w:docPartGallery w:val="Page Numbers (Bottom of Page)"/>
        <w:docPartUnique/>
      </w:docPartObj>
    </w:sdtPr>
    <w:sdtEndPr>
      <w:rPr>
        <w:noProof/>
      </w:rPr>
    </w:sdtEndPr>
    <w:sdtContent>
      <w:p w14:paraId="5F31BC2C" w14:textId="25CE31BF"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98CD17C" w14:textId="77777777" w:rsidR="00E040FD" w:rsidRDefault="00E040FD">
    <w:pPr>
      <w:pStyle w:val="FooterCouncil"/>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655" w14:textId="77777777" w:rsidR="00E040FD" w:rsidRDefault="00E040FD">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FCCA" w14:textId="77777777" w:rsidR="00E040FD" w:rsidRDefault="00E040FD">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565869"/>
      <w:docPartObj>
        <w:docPartGallery w:val="Page Numbers (Bottom of Page)"/>
        <w:docPartUnique/>
      </w:docPartObj>
    </w:sdtPr>
    <w:sdtEndPr>
      <w:rPr>
        <w:noProof/>
      </w:rPr>
    </w:sdtEndPr>
    <w:sdtContent>
      <w:p w14:paraId="2A025F3F" w14:textId="7ED8BDBE"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44331C35" w14:textId="77777777" w:rsidR="00E040FD" w:rsidRDefault="00E040FD">
    <w:pPr>
      <w:pStyle w:val="FooterCouncil"/>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8598" w14:textId="77777777" w:rsidR="00E040FD" w:rsidRDefault="00E040F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57A0" w14:textId="77777777" w:rsidR="00E040FD" w:rsidRDefault="00E040FD">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4A3A" w14:textId="77777777" w:rsidR="00E040FD" w:rsidRDefault="00E040FD">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366933"/>
      <w:docPartObj>
        <w:docPartGallery w:val="Page Numbers (Bottom of Page)"/>
        <w:docPartUnique/>
      </w:docPartObj>
    </w:sdtPr>
    <w:sdtEndPr>
      <w:rPr>
        <w:noProof/>
      </w:rPr>
    </w:sdtEndPr>
    <w:sdtContent>
      <w:p w14:paraId="6946F91E" w14:textId="65DB2926"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3317CAD5" w14:textId="77777777" w:rsidR="00E040FD" w:rsidRDefault="00E040FD">
    <w:pPr>
      <w:pStyle w:val="FooterCouncil"/>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9999" w14:textId="77777777" w:rsidR="00E040FD" w:rsidRDefault="00E040FD">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FC7C" w14:textId="77777777" w:rsidR="00E040FD" w:rsidRDefault="00E040FD">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54876"/>
      <w:docPartObj>
        <w:docPartGallery w:val="Page Numbers (Bottom of Page)"/>
        <w:docPartUnique/>
      </w:docPartObj>
    </w:sdtPr>
    <w:sdtEndPr>
      <w:rPr>
        <w:noProof/>
      </w:rPr>
    </w:sdtEndPr>
    <w:sdtContent>
      <w:p w14:paraId="5182A1D9" w14:textId="3F40DCD6"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79915F40" w14:textId="77777777" w:rsidR="00E040FD" w:rsidRDefault="00E040FD">
    <w:pPr>
      <w:pStyle w:val="FooterCouncil"/>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047F" w14:textId="77777777" w:rsidR="00E040FD" w:rsidRDefault="00E040FD">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A06D" w14:textId="77777777" w:rsidR="00E040FD" w:rsidRDefault="00E040FD">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989003"/>
      <w:docPartObj>
        <w:docPartGallery w:val="Page Numbers (Bottom of Page)"/>
        <w:docPartUnique/>
      </w:docPartObj>
    </w:sdtPr>
    <w:sdtEndPr>
      <w:rPr>
        <w:noProof/>
      </w:rPr>
    </w:sdtEndPr>
    <w:sdtContent>
      <w:p w14:paraId="70C4F1F4" w14:textId="71FC3837"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5A4C2D26" w14:textId="77777777" w:rsidR="00E040FD" w:rsidRDefault="00E040FD">
    <w:pPr>
      <w:pStyle w:val="FooterCouncil"/>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1873" w14:textId="77777777" w:rsidR="00E040FD" w:rsidRDefault="00E040FD">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903F" w14:textId="77777777" w:rsidR="00E040FD" w:rsidRDefault="00E040F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949075"/>
      <w:docPartObj>
        <w:docPartGallery w:val="Page Numbers (Bottom of Page)"/>
        <w:docPartUnique/>
      </w:docPartObj>
    </w:sdtPr>
    <w:sdtEndPr>
      <w:rPr>
        <w:noProof/>
      </w:rPr>
    </w:sdtEndPr>
    <w:sdtContent>
      <w:p w14:paraId="697ADC4C" w14:textId="78143D8C" w:rsidR="00E040FD" w:rsidRDefault="00740D64">
        <w:pPr>
          <w:pStyle w:val="Footer"/>
          <w:jc w:val="center"/>
        </w:pPr>
        <w:r>
          <w:fldChar w:fldCharType="begin"/>
        </w:r>
        <w:r>
          <w:instrText xml:space="preserve"> PAGE   \* MERGEFORMAT </w:instrText>
        </w:r>
        <w:r>
          <w:fldChar w:fldCharType="separate"/>
        </w:r>
        <w:r w:rsidR="00FE5799">
          <w:rPr>
            <w:noProof/>
          </w:rPr>
          <w:t>11</w:t>
        </w:r>
        <w:r>
          <w:fldChar w:fldCharType="end"/>
        </w:r>
      </w:p>
    </w:sdtContent>
  </w:sdt>
  <w:p w14:paraId="2F25493B" w14:textId="77777777" w:rsidR="00E040FD" w:rsidRDefault="00E040FD">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059084"/>
      <w:docPartObj>
        <w:docPartGallery w:val="Page Numbers (Bottom of Page)"/>
        <w:docPartUnique/>
      </w:docPartObj>
    </w:sdtPr>
    <w:sdtEndPr>
      <w:rPr>
        <w:noProof/>
      </w:rPr>
    </w:sdtEndPr>
    <w:sdtContent>
      <w:p w14:paraId="09FF84C0" w14:textId="371DBF66"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7689A89B" w14:textId="77777777" w:rsidR="00E040FD" w:rsidRDefault="00E040FD">
    <w:pPr>
      <w:pStyle w:val="FooterCouncil"/>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F905" w14:textId="77777777" w:rsidR="00E040FD" w:rsidRDefault="00E040FD">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6487" w14:textId="77777777" w:rsidR="00E040FD" w:rsidRDefault="00E040FD">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668119"/>
      <w:docPartObj>
        <w:docPartGallery w:val="Page Numbers (Bottom of Page)"/>
        <w:docPartUnique/>
      </w:docPartObj>
    </w:sdtPr>
    <w:sdtEndPr>
      <w:rPr>
        <w:noProof/>
      </w:rPr>
    </w:sdtEndPr>
    <w:sdtContent>
      <w:p w14:paraId="197EF205" w14:textId="4FAF66C8"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51BFF986" w14:textId="77777777" w:rsidR="00E040FD" w:rsidRDefault="00E040FD">
    <w:pPr>
      <w:pStyle w:val="FooterCouncil"/>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C769" w14:textId="77777777" w:rsidR="00E040FD" w:rsidRDefault="00E040FD">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304A" w14:textId="77777777" w:rsidR="00E040FD" w:rsidRDefault="00E040FD">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942259"/>
      <w:docPartObj>
        <w:docPartGallery w:val="Page Numbers (Bottom of Page)"/>
        <w:docPartUnique/>
      </w:docPartObj>
    </w:sdtPr>
    <w:sdtEndPr>
      <w:rPr>
        <w:noProof/>
      </w:rPr>
    </w:sdtEndPr>
    <w:sdtContent>
      <w:p w14:paraId="6B70ED90" w14:textId="4C8D18B1"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05AB191" w14:textId="77777777" w:rsidR="00E040FD" w:rsidRDefault="00E040FD">
    <w:pPr>
      <w:pStyle w:val="FooterCouncil"/>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79200" w14:textId="77777777" w:rsidR="00E040FD" w:rsidRDefault="00E040FD">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C958" w14:textId="77777777" w:rsidR="00E040FD" w:rsidRDefault="00E040FD">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77877"/>
      <w:docPartObj>
        <w:docPartGallery w:val="Page Numbers (Bottom of Page)"/>
        <w:docPartUnique/>
      </w:docPartObj>
    </w:sdtPr>
    <w:sdtEndPr>
      <w:rPr>
        <w:noProof/>
      </w:rPr>
    </w:sdtEndPr>
    <w:sdtContent>
      <w:p w14:paraId="3EFC1F34" w14:textId="60F5F0D7"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4170B67A" w14:textId="77777777" w:rsidR="00E040FD" w:rsidRDefault="00E040FD">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B398" w14:textId="77777777" w:rsidR="00E040FD" w:rsidRDefault="00E040FD">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82C2" w14:textId="77777777" w:rsidR="00E040FD" w:rsidRDefault="00E040FD">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BE4B" w14:textId="77777777" w:rsidR="00E040FD" w:rsidRDefault="00E040FD">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968927"/>
      <w:docPartObj>
        <w:docPartGallery w:val="Page Numbers (Bottom of Page)"/>
        <w:docPartUnique/>
      </w:docPartObj>
    </w:sdtPr>
    <w:sdtEndPr>
      <w:rPr>
        <w:noProof/>
      </w:rPr>
    </w:sdtEndPr>
    <w:sdtContent>
      <w:p w14:paraId="1B2ED277" w14:textId="35738820"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76B25FDC" w14:textId="77777777" w:rsidR="00E040FD" w:rsidRDefault="00E040FD">
    <w:pPr>
      <w:pStyle w:val="FooterCouncil"/>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7671" w14:textId="77777777" w:rsidR="00E040FD" w:rsidRDefault="00E040FD">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973B" w14:textId="77777777" w:rsidR="00E040FD" w:rsidRDefault="00E040FD">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835111"/>
      <w:docPartObj>
        <w:docPartGallery w:val="Page Numbers (Bottom of Page)"/>
        <w:docPartUnique/>
      </w:docPartObj>
    </w:sdtPr>
    <w:sdtEndPr>
      <w:rPr>
        <w:noProof/>
      </w:rPr>
    </w:sdtEndPr>
    <w:sdtContent>
      <w:p w14:paraId="4CF811EF" w14:textId="78EE14FB"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21E2B198" w14:textId="77777777" w:rsidR="00E040FD" w:rsidRDefault="00E040FD">
    <w:pPr>
      <w:pStyle w:val="FooterCouncil"/>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47961" w14:textId="77777777" w:rsidR="00E040FD" w:rsidRDefault="00E040FD">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7371" w14:textId="77777777" w:rsidR="00E040FD" w:rsidRDefault="00E040FD">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091529"/>
      <w:docPartObj>
        <w:docPartGallery w:val="Page Numbers (Bottom of Page)"/>
        <w:docPartUnique/>
      </w:docPartObj>
    </w:sdtPr>
    <w:sdtEndPr>
      <w:rPr>
        <w:noProof/>
      </w:rPr>
    </w:sdtEndPr>
    <w:sdtContent>
      <w:p w14:paraId="126DF290" w14:textId="395CA58A"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2D623DEB" w14:textId="77777777" w:rsidR="00E040FD" w:rsidRDefault="00E040FD">
    <w:pPr>
      <w:pStyle w:val="FooterCouncil"/>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51D7" w14:textId="77777777" w:rsidR="00E040FD" w:rsidRDefault="00E040F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0C83" w14:textId="77777777" w:rsidR="00E040FD" w:rsidRDefault="00E040FD">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9E64" w14:textId="77777777" w:rsidR="00E040FD" w:rsidRDefault="00E040FD">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550509"/>
      <w:docPartObj>
        <w:docPartGallery w:val="Page Numbers (Bottom of Page)"/>
        <w:docPartUnique/>
      </w:docPartObj>
    </w:sdtPr>
    <w:sdtEndPr>
      <w:rPr>
        <w:noProof/>
      </w:rPr>
    </w:sdtEndPr>
    <w:sdtContent>
      <w:p w14:paraId="398E9E99" w14:textId="20945DC3"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1EBDB67F" w14:textId="77777777" w:rsidR="00E040FD" w:rsidRDefault="00E040FD">
    <w:pPr>
      <w:pStyle w:val="FooterCouncil"/>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2AB5" w14:textId="77777777" w:rsidR="00E040FD" w:rsidRDefault="00E040FD">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9CDF8" w14:textId="77777777" w:rsidR="00E040FD" w:rsidRDefault="00E040FD">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71365"/>
      <w:docPartObj>
        <w:docPartGallery w:val="Page Numbers (Bottom of Page)"/>
        <w:docPartUnique/>
      </w:docPartObj>
    </w:sdtPr>
    <w:sdtEndPr>
      <w:rPr>
        <w:noProof/>
      </w:rPr>
    </w:sdtEndPr>
    <w:sdtContent>
      <w:p w14:paraId="62055C4B" w14:textId="19453D9B"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3DFBE96B" w14:textId="77777777" w:rsidR="00E040FD" w:rsidRDefault="00E040FD">
    <w:pPr>
      <w:pStyle w:val="FooterCouncil"/>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A32A" w14:textId="77777777" w:rsidR="00E040FD" w:rsidRDefault="00E040FD">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7CC1" w14:textId="77777777" w:rsidR="00E040FD" w:rsidRDefault="00E040FD">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6313"/>
      <w:docPartObj>
        <w:docPartGallery w:val="Page Numbers (Bottom of Page)"/>
        <w:docPartUnique/>
      </w:docPartObj>
    </w:sdtPr>
    <w:sdtEndPr>
      <w:rPr>
        <w:noProof/>
      </w:rPr>
    </w:sdtEndPr>
    <w:sdtContent>
      <w:p w14:paraId="4B6FA002" w14:textId="6A34B5C3"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6B1E739A" w14:textId="77777777" w:rsidR="00E040FD" w:rsidRDefault="00E040FD">
    <w:pPr>
      <w:pStyle w:val="FooterCouncil"/>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DC62" w14:textId="77777777" w:rsidR="00E040FD" w:rsidRDefault="00E040FD">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71EE" w14:textId="77777777" w:rsidR="00E040FD" w:rsidRDefault="00E040F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44112"/>
      <w:docPartObj>
        <w:docPartGallery w:val="Page Numbers (Bottom of Page)"/>
        <w:docPartUnique/>
      </w:docPartObj>
    </w:sdtPr>
    <w:sdtEndPr>
      <w:rPr>
        <w:noProof/>
      </w:rPr>
    </w:sdtEndPr>
    <w:sdtContent>
      <w:p w14:paraId="12CB0D27" w14:textId="5D9043D3"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B5F64D9" w14:textId="77777777" w:rsidR="00E040FD" w:rsidRDefault="00E040FD">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06568"/>
      <w:docPartObj>
        <w:docPartGallery w:val="Page Numbers (Bottom of Page)"/>
        <w:docPartUnique/>
      </w:docPartObj>
    </w:sdtPr>
    <w:sdtEndPr>
      <w:rPr>
        <w:noProof/>
      </w:rPr>
    </w:sdtEndPr>
    <w:sdtContent>
      <w:p w14:paraId="28D3693D" w14:textId="75FD25FC"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12266354" w14:textId="77777777" w:rsidR="00E040FD" w:rsidRDefault="00E040FD">
    <w:pPr>
      <w:pStyle w:val="FooterCouncil"/>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6BB2" w14:textId="77777777" w:rsidR="00E040FD" w:rsidRDefault="00E040FD">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FECF" w14:textId="77777777" w:rsidR="00E040FD" w:rsidRDefault="00E040FD">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0002"/>
      <w:docPartObj>
        <w:docPartGallery w:val="Page Numbers (Bottom of Page)"/>
        <w:docPartUnique/>
      </w:docPartObj>
    </w:sdtPr>
    <w:sdtEndPr>
      <w:rPr>
        <w:noProof/>
      </w:rPr>
    </w:sdtEndPr>
    <w:sdtContent>
      <w:p w14:paraId="53C379DD" w14:textId="6EC11630"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435C4841" w14:textId="77777777" w:rsidR="00E040FD" w:rsidRDefault="00E040FD">
    <w:pPr>
      <w:pStyle w:val="FooterCouncil"/>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D8EB" w14:textId="77777777" w:rsidR="00E040FD" w:rsidRDefault="00E040FD">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0043" w14:textId="77777777" w:rsidR="00E040FD" w:rsidRDefault="00E040FD">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754586"/>
      <w:docPartObj>
        <w:docPartGallery w:val="Page Numbers (Bottom of Page)"/>
        <w:docPartUnique/>
      </w:docPartObj>
    </w:sdtPr>
    <w:sdtEndPr>
      <w:rPr>
        <w:noProof/>
      </w:rPr>
    </w:sdtEndPr>
    <w:sdtContent>
      <w:p w14:paraId="7AEAA58B" w14:textId="18D29009"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74B82BCE" w14:textId="77777777" w:rsidR="00E040FD" w:rsidRDefault="00E040FD">
    <w:pPr>
      <w:pStyle w:val="FooterCouncil"/>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499E" w14:textId="77777777" w:rsidR="00E040FD" w:rsidRDefault="00E040FD">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D40B" w14:textId="77777777" w:rsidR="00E040FD" w:rsidRDefault="00E040FD">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24723"/>
      <w:docPartObj>
        <w:docPartGallery w:val="Page Numbers (Bottom of Page)"/>
        <w:docPartUnique/>
      </w:docPartObj>
    </w:sdtPr>
    <w:sdtEndPr>
      <w:rPr>
        <w:noProof/>
      </w:rPr>
    </w:sdtEndPr>
    <w:sdtContent>
      <w:p w14:paraId="01B45A81" w14:textId="7B94C4ED"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6DD189E6" w14:textId="77777777" w:rsidR="00E040FD" w:rsidRDefault="00E040FD">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6430" w14:textId="77777777" w:rsidR="00E040FD" w:rsidRDefault="00E040FD">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373D8" w14:textId="77777777" w:rsidR="00E040FD" w:rsidRDefault="00E040FD">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68AC" w14:textId="77777777" w:rsidR="00E040FD" w:rsidRDefault="00E040FD">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508648"/>
      <w:docPartObj>
        <w:docPartGallery w:val="Page Numbers (Bottom of Page)"/>
        <w:docPartUnique/>
      </w:docPartObj>
    </w:sdtPr>
    <w:sdtEndPr>
      <w:rPr>
        <w:noProof/>
      </w:rPr>
    </w:sdtEndPr>
    <w:sdtContent>
      <w:p w14:paraId="13ED70D2" w14:textId="57D86C32"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32C7D1A9" w14:textId="77777777" w:rsidR="00E040FD" w:rsidRDefault="00E040FD">
    <w:pPr>
      <w:pStyle w:val="FooterCouncil"/>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3600" w14:textId="77777777" w:rsidR="00E040FD" w:rsidRDefault="00E040FD">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8FED2" w14:textId="77777777" w:rsidR="00E040FD" w:rsidRDefault="00E040FD">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587532"/>
      <w:docPartObj>
        <w:docPartGallery w:val="Page Numbers (Bottom of Page)"/>
        <w:docPartUnique/>
      </w:docPartObj>
    </w:sdtPr>
    <w:sdtEndPr>
      <w:rPr>
        <w:noProof/>
      </w:rPr>
    </w:sdtEndPr>
    <w:sdtContent>
      <w:p w14:paraId="53677020" w14:textId="1DCBDA7B"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A3B62C6" w14:textId="77777777" w:rsidR="00E040FD" w:rsidRDefault="00E040FD">
    <w:pPr>
      <w:pStyle w:val="FooterCouncil"/>
    </w:pPr>
  </w:p>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8487" w14:textId="77777777" w:rsidR="00E040FD" w:rsidRDefault="00E040FD">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5AF4" w14:textId="77777777" w:rsidR="00E040FD" w:rsidRDefault="00E040FD">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395917"/>
      <w:docPartObj>
        <w:docPartGallery w:val="Page Numbers (Bottom of Page)"/>
        <w:docPartUnique/>
      </w:docPartObj>
    </w:sdtPr>
    <w:sdtEndPr>
      <w:rPr>
        <w:noProof/>
      </w:rPr>
    </w:sdtEndPr>
    <w:sdtContent>
      <w:p w14:paraId="508043F1" w14:textId="6ABC6F45"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2BD69011" w14:textId="77777777" w:rsidR="00E040FD" w:rsidRDefault="00E040FD">
    <w:pPr>
      <w:pStyle w:val="FooterCouncil"/>
    </w:pPr>
  </w:p>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8B47" w14:textId="77777777" w:rsidR="00E040FD" w:rsidRDefault="00E040F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EDDB" w14:textId="77777777" w:rsidR="00FD5608" w:rsidRDefault="00FD5608">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BBC0" w14:textId="77777777" w:rsidR="00E040FD" w:rsidRDefault="00E040FD">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824516"/>
      <w:docPartObj>
        <w:docPartGallery w:val="Page Numbers (Bottom of Page)"/>
        <w:docPartUnique/>
      </w:docPartObj>
    </w:sdtPr>
    <w:sdtEndPr>
      <w:rPr>
        <w:noProof/>
      </w:rPr>
    </w:sdtEndPr>
    <w:sdtContent>
      <w:p w14:paraId="4A7028B2" w14:textId="2C22FBB5"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33B5F61B" w14:textId="77777777" w:rsidR="00E040FD" w:rsidRDefault="00E040FD">
    <w:pPr>
      <w:pStyle w:val="FooterCouncil"/>
    </w:pPr>
  </w:p>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2DA6B" w14:textId="77777777" w:rsidR="00E040FD" w:rsidRDefault="00E04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813F8" w14:textId="1B9FE1F0" w:rsidR="00FD5608" w:rsidRPr="00FE5799" w:rsidRDefault="00FE5799" w:rsidP="00FE5799">
    <w:pPr>
      <w:pStyle w:val="FooterCoverPage"/>
      <w:rPr>
        <w:rFonts w:ascii="Arial" w:hAnsi="Arial" w:cs="Arial"/>
        <w:b/>
        <w:sz w:val="48"/>
      </w:rPr>
    </w:pPr>
    <w:r w:rsidRPr="00FE5799">
      <w:rPr>
        <w:rFonts w:ascii="Arial" w:hAnsi="Arial" w:cs="Arial"/>
        <w:b/>
        <w:sz w:val="48"/>
      </w:rPr>
      <w:t>SV</w:t>
    </w:r>
    <w:r w:rsidRPr="00FE5799">
      <w:rPr>
        <w:rFonts w:ascii="Arial" w:hAnsi="Arial" w:cs="Arial"/>
        <w:b/>
        <w:sz w:val="48"/>
      </w:rPr>
      <w:tab/>
    </w:r>
    <w:r w:rsidRPr="00FE5799">
      <w:rPr>
        <w:rFonts w:ascii="Arial" w:hAnsi="Arial" w:cs="Arial"/>
        <w:b/>
        <w:sz w:val="48"/>
      </w:rPr>
      <w:tab/>
    </w:r>
    <w:r w:rsidRPr="00FE5799">
      <w:tab/>
    </w:r>
    <w:r w:rsidRPr="00FE5799">
      <w:rPr>
        <w:rFonts w:ascii="Arial" w:hAnsi="Arial" w:cs="Arial"/>
        <w:b/>
        <w:sz w:val="48"/>
      </w:rPr>
      <w:t>SV</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287702"/>
      <w:docPartObj>
        <w:docPartGallery w:val="Page Numbers (Bottom of Page)"/>
        <w:docPartUnique/>
      </w:docPartObj>
    </w:sdtPr>
    <w:sdtEndPr>
      <w:rPr>
        <w:noProof/>
      </w:rPr>
    </w:sdtEndPr>
    <w:sdtContent>
      <w:p w14:paraId="61A62D81" w14:textId="77777777" w:rsidR="00FD5608" w:rsidRDefault="00FD5608">
        <w:pPr>
          <w:pStyle w:val="Footer"/>
          <w:jc w:val="center"/>
        </w:pPr>
        <w:r>
          <w:fldChar w:fldCharType="begin"/>
        </w:r>
        <w:r>
          <w:instrText xml:space="preserve"> PAGE   \* MERGEFORMAT </w:instrText>
        </w:r>
        <w:r>
          <w:fldChar w:fldCharType="separate"/>
        </w:r>
        <w:r>
          <w:t>2</w:t>
        </w:r>
        <w:r>
          <w:fldChar w:fldCharType="end"/>
        </w:r>
      </w:p>
    </w:sdtContent>
  </w:sdt>
  <w:p w14:paraId="3F2C8621" w14:textId="77777777" w:rsidR="00FD5608" w:rsidRDefault="00FD5608">
    <w:pPr>
      <w:pStyle w:val="FooterCouncil"/>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E142" w14:textId="77777777" w:rsidR="00FD5608" w:rsidRDefault="00FD560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01BA" w14:textId="77777777" w:rsidR="00E040FD" w:rsidRDefault="00E040F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830203"/>
      <w:docPartObj>
        <w:docPartGallery w:val="Page Numbers (Bottom of Page)"/>
        <w:docPartUnique/>
      </w:docPartObj>
    </w:sdtPr>
    <w:sdtEndPr>
      <w:rPr>
        <w:noProof/>
      </w:rPr>
    </w:sdtEndPr>
    <w:sdtContent>
      <w:p w14:paraId="2CED8AC6" w14:textId="20A90797"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75C9F863" w14:textId="77777777" w:rsidR="00E040FD" w:rsidRDefault="00E040FD">
    <w:pPr>
      <w:pStyle w:val="FooterCouncil"/>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2863" w14:textId="77777777" w:rsidR="00E040FD" w:rsidRDefault="00E040F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0E3D" w14:textId="77777777" w:rsidR="00E040FD" w:rsidRDefault="00E040F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98613"/>
      <w:docPartObj>
        <w:docPartGallery w:val="Page Numbers (Bottom of Page)"/>
        <w:docPartUnique/>
      </w:docPartObj>
    </w:sdtPr>
    <w:sdtEndPr>
      <w:rPr>
        <w:noProof/>
      </w:rPr>
    </w:sdtEndPr>
    <w:sdtContent>
      <w:p w14:paraId="05F0F492" w14:textId="1FFE498F"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741FD69" w14:textId="77777777" w:rsidR="00E040FD" w:rsidRDefault="00E040FD">
    <w:pPr>
      <w:pStyle w:val="FooterCouncil"/>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0E57" w14:textId="77777777" w:rsidR="00E040FD" w:rsidRDefault="00E040F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600E" w14:textId="77777777" w:rsidR="00E040FD" w:rsidRDefault="00E040F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87096"/>
      <w:docPartObj>
        <w:docPartGallery w:val="Page Numbers (Bottom of Page)"/>
        <w:docPartUnique/>
      </w:docPartObj>
    </w:sdtPr>
    <w:sdtEndPr>
      <w:rPr>
        <w:noProof/>
      </w:rPr>
    </w:sdtEndPr>
    <w:sdtContent>
      <w:p w14:paraId="2DEBA96A" w14:textId="4C15FA84"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7EB36D5D" w14:textId="77777777" w:rsidR="00E040FD" w:rsidRDefault="00E040FD">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1205" w14:textId="77777777" w:rsidR="00FE5799" w:rsidRPr="00FE5799" w:rsidRDefault="00FE5799" w:rsidP="00FE5799">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295D" w14:textId="77777777" w:rsidR="00E040FD" w:rsidRDefault="00E040F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C1FE" w14:textId="77777777" w:rsidR="00E040FD" w:rsidRDefault="00E040F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698929"/>
      <w:docPartObj>
        <w:docPartGallery w:val="Page Numbers (Bottom of Page)"/>
        <w:docPartUnique/>
      </w:docPartObj>
    </w:sdtPr>
    <w:sdtEndPr>
      <w:rPr>
        <w:noProof/>
      </w:rPr>
    </w:sdtEndPr>
    <w:sdtContent>
      <w:p w14:paraId="714D1441" w14:textId="7E54DB4C"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719E7858" w14:textId="77777777" w:rsidR="00E040FD" w:rsidRDefault="00E040FD">
    <w:pPr>
      <w:pStyle w:val="FooterCouncil"/>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0A4F3" w14:textId="77777777" w:rsidR="00E040FD" w:rsidRDefault="00E040FD">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9EF6" w14:textId="77777777" w:rsidR="00E040FD" w:rsidRDefault="00E040FD">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099938"/>
      <w:docPartObj>
        <w:docPartGallery w:val="Page Numbers (Bottom of Page)"/>
        <w:docPartUnique/>
      </w:docPartObj>
    </w:sdtPr>
    <w:sdtEndPr>
      <w:rPr>
        <w:noProof/>
      </w:rPr>
    </w:sdtEndPr>
    <w:sdtContent>
      <w:p w14:paraId="345873AE" w14:textId="1218090F"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2986C6F5" w14:textId="77777777" w:rsidR="00E040FD" w:rsidRDefault="00E040FD">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3DE8" w14:textId="77777777" w:rsidR="00E040FD" w:rsidRDefault="00E040F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5039" w14:textId="77777777" w:rsidR="00E040FD" w:rsidRDefault="00E040FD">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77009"/>
      <w:docPartObj>
        <w:docPartGallery w:val="Page Numbers (Bottom of Page)"/>
        <w:docPartUnique/>
      </w:docPartObj>
    </w:sdtPr>
    <w:sdtEndPr>
      <w:rPr>
        <w:noProof/>
      </w:rPr>
    </w:sdtEndPr>
    <w:sdtContent>
      <w:p w14:paraId="65098364" w14:textId="728670F7"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4643FB93" w14:textId="77777777" w:rsidR="00E040FD" w:rsidRDefault="00E040FD">
    <w:pPr>
      <w:pStyle w:val="FooterCouncil"/>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6AF8" w14:textId="77777777" w:rsidR="00E040FD" w:rsidRDefault="00E040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0DE0" w14:textId="77777777" w:rsidR="00E040FD" w:rsidRDefault="00E040FD">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2116" w14:textId="77777777" w:rsidR="00E040FD" w:rsidRDefault="00E040FD">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741893"/>
      <w:docPartObj>
        <w:docPartGallery w:val="Page Numbers (Bottom of Page)"/>
        <w:docPartUnique/>
      </w:docPartObj>
    </w:sdtPr>
    <w:sdtEndPr>
      <w:rPr>
        <w:noProof/>
      </w:rPr>
    </w:sdtEndPr>
    <w:sdtContent>
      <w:p w14:paraId="00966A19" w14:textId="69B60B7F"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3F45C853" w14:textId="77777777" w:rsidR="00E040FD" w:rsidRDefault="00E040FD">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0EAA" w14:textId="77777777" w:rsidR="00E040FD" w:rsidRDefault="00E040FD">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00FE" w14:textId="77777777" w:rsidR="00E040FD" w:rsidRDefault="00E040FD">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36114"/>
      <w:docPartObj>
        <w:docPartGallery w:val="Page Numbers (Bottom of Page)"/>
        <w:docPartUnique/>
      </w:docPartObj>
    </w:sdtPr>
    <w:sdtEndPr>
      <w:rPr>
        <w:noProof/>
      </w:rPr>
    </w:sdtEndPr>
    <w:sdtContent>
      <w:p w14:paraId="25167880" w14:textId="0D504E9E"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4B6037DF" w14:textId="77777777" w:rsidR="00E040FD" w:rsidRDefault="00E040FD">
    <w:pPr>
      <w:pStyle w:val="FooterCouncil"/>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1D7A" w14:textId="77777777" w:rsidR="00E040FD" w:rsidRDefault="00E040FD">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43A7" w14:textId="77777777" w:rsidR="00E040FD" w:rsidRDefault="00E040FD">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507974"/>
      <w:docPartObj>
        <w:docPartGallery w:val="Page Numbers (Bottom of Page)"/>
        <w:docPartUnique/>
      </w:docPartObj>
    </w:sdtPr>
    <w:sdtEndPr>
      <w:rPr>
        <w:noProof/>
      </w:rPr>
    </w:sdtEndPr>
    <w:sdtContent>
      <w:p w14:paraId="1811EA1C" w14:textId="44C20AC1"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1988643" w14:textId="77777777" w:rsidR="00E040FD" w:rsidRDefault="00E040FD">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4B48" w14:textId="77777777" w:rsidR="00E040FD" w:rsidRDefault="00E040FD">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3585" w14:textId="77777777" w:rsidR="00E040FD" w:rsidRDefault="00E040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346073"/>
      <w:docPartObj>
        <w:docPartGallery w:val="Page Numbers (Bottom of Page)"/>
        <w:docPartUnique/>
      </w:docPartObj>
    </w:sdtPr>
    <w:sdtEndPr>
      <w:rPr>
        <w:noProof/>
      </w:rPr>
    </w:sdtEndPr>
    <w:sdtContent>
      <w:p w14:paraId="2AA68066" w14:textId="40EB5D87" w:rsidR="00E040FD" w:rsidRDefault="00740D64">
        <w:pPr>
          <w:pStyle w:val="Footer"/>
          <w:jc w:val="center"/>
        </w:pPr>
        <w:r>
          <w:fldChar w:fldCharType="begin"/>
        </w:r>
        <w:r>
          <w:instrText xml:space="preserve"> PAGE   \* MERGEFORMAT </w:instrText>
        </w:r>
        <w:r>
          <w:fldChar w:fldCharType="separate"/>
        </w:r>
        <w:r w:rsidR="00FE5799">
          <w:rPr>
            <w:noProof/>
          </w:rPr>
          <w:t>1</w:t>
        </w:r>
        <w:r>
          <w:fldChar w:fldCharType="end"/>
        </w:r>
      </w:p>
    </w:sdtContent>
  </w:sdt>
  <w:p w14:paraId="0DEA6884" w14:textId="77777777" w:rsidR="00E040FD" w:rsidRDefault="00E040FD">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801915"/>
      <w:docPartObj>
        <w:docPartGallery w:val="Page Numbers (Bottom of Page)"/>
        <w:docPartUnique/>
      </w:docPartObj>
    </w:sdtPr>
    <w:sdtEndPr>
      <w:rPr>
        <w:noProof/>
      </w:rPr>
    </w:sdtEndPr>
    <w:sdtContent>
      <w:p w14:paraId="7D3A79CE" w14:textId="724C2B6F"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68DB9891" w14:textId="77777777" w:rsidR="00E040FD" w:rsidRDefault="00E040FD">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6A8D" w14:textId="77777777" w:rsidR="00E040FD" w:rsidRDefault="00E040FD">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2201" w14:textId="77777777" w:rsidR="00E040FD" w:rsidRDefault="00E040FD">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15558"/>
      <w:docPartObj>
        <w:docPartGallery w:val="Page Numbers (Bottom of Page)"/>
        <w:docPartUnique/>
      </w:docPartObj>
    </w:sdtPr>
    <w:sdtEndPr>
      <w:rPr>
        <w:noProof/>
      </w:rPr>
    </w:sdtEndPr>
    <w:sdtContent>
      <w:p w14:paraId="3C55196F" w14:textId="3F12762B"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08F913B" w14:textId="77777777" w:rsidR="00E040FD" w:rsidRDefault="00E040FD">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2109" w14:textId="77777777" w:rsidR="00E040FD" w:rsidRDefault="00E040FD">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1565" w14:textId="77777777" w:rsidR="00E040FD" w:rsidRDefault="00E040FD">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578241"/>
      <w:docPartObj>
        <w:docPartGallery w:val="Page Numbers (Bottom of Page)"/>
        <w:docPartUnique/>
      </w:docPartObj>
    </w:sdtPr>
    <w:sdtEndPr>
      <w:rPr>
        <w:noProof/>
      </w:rPr>
    </w:sdtEndPr>
    <w:sdtContent>
      <w:p w14:paraId="491E5022" w14:textId="0DA370AA"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11540942" w14:textId="77777777" w:rsidR="00E040FD" w:rsidRDefault="00E040FD">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02774" w14:textId="77777777" w:rsidR="00E040FD" w:rsidRDefault="00E040FD">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13ED" w14:textId="77777777" w:rsidR="00E040FD" w:rsidRDefault="00E040FD">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12463"/>
      <w:docPartObj>
        <w:docPartGallery w:val="Page Numbers (Bottom of Page)"/>
        <w:docPartUnique/>
      </w:docPartObj>
    </w:sdtPr>
    <w:sdtEndPr>
      <w:rPr>
        <w:noProof/>
      </w:rPr>
    </w:sdtEndPr>
    <w:sdtContent>
      <w:p w14:paraId="553A0A03" w14:textId="771841E8"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423CC830" w14:textId="77777777" w:rsidR="00E040FD" w:rsidRDefault="00E040FD">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863A" w14:textId="77777777" w:rsidR="00E040FD" w:rsidRDefault="00E040FD">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83F60" w14:textId="77777777" w:rsidR="00E040FD" w:rsidRDefault="00E040FD">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2836" w14:textId="77777777" w:rsidR="00E040FD" w:rsidRDefault="00E040FD">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733270"/>
      <w:docPartObj>
        <w:docPartGallery w:val="Page Numbers (Bottom of Page)"/>
        <w:docPartUnique/>
      </w:docPartObj>
    </w:sdtPr>
    <w:sdtEndPr>
      <w:rPr>
        <w:noProof/>
      </w:rPr>
    </w:sdtEndPr>
    <w:sdtContent>
      <w:p w14:paraId="0F5CF51F" w14:textId="58203338"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4135D1FF" w14:textId="77777777" w:rsidR="00E040FD" w:rsidRDefault="00E040FD">
    <w:pPr>
      <w:pStyle w:val="FooterCouncil"/>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5A9E" w14:textId="77777777" w:rsidR="00E040FD" w:rsidRDefault="00E040FD">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CD2B" w14:textId="77777777" w:rsidR="00E040FD" w:rsidRDefault="00E040FD">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883907"/>
      <w:docPartObj>
        <w:docPartGallery w:val="Page Numbers (Bottom of Page)"/>
        <w:docPartUnique/>
      </w:docPartObj>
    </w:sdtPr>
    <w:sdtEndPr>
      <w:rPr>
        <w:noProof/>
      </w:rPr>
    </w:sdtEndPr>
    <w:sdtContent>
      <w:p w14:paraId="1E7DE44E" w14:textId="71994768"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368A7015" w14:textId="77777777" w:rsidR="00E040FD" w:rsidRDefault="00E040FD">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2D1F" w14:textId="77777777" w:rsidR="00E040FD" w:rsidRDefault="00E040FD">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DB6A" w14:textId="77777777" w:rsidR="00E040FD" w:rsidRDefault="00E040FD">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24488"/>
      <w:docPartObj>
        <w:docPartGallery w:val="Page Numbers (Bottom of Page)"/>
        <w:docPartUnique/>
      </w:docPartObj>
    </w:sdtPr>
    <w:sdtEndPr>
      <w:rPr>
        <w:noProof/>
      </w:rPr>
    </w:sdtEndPr>
    <w:sdtContent>
      <w:p w14:paraId="26B90A8C" w14:textId="16A8AB06"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22113364" w14:textId="77777777" w:rsidR="00E040FD" w:rsidRDefault="00E040FD">
    <w:pPr>
      <w:pStyle w:val="FooterCouncil"/>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D2FD" w14:textId="77777777" w:rsidR="00E040FD" w:rsidRDefault="00E040F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A725" w14:textId="77777777" w:rsidR="00FD5608" w:rsidRDefault="00FD5608">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96EC" w14:textId="77777777" w:rsidR="00E040FD" w:rsidRDefault="00E040FD">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375543"/>
      <w:docPartObj>
        <w:docPartGallery w:val="Page Numbers (Bottom of Page)"/>
        <w:docPartUnique/>
      </w:docPartObj>
    </w:sdtPr>
    <w:sdtEndPr>
      <w:rPr>
        <w:noProof/>
      </w:rPr>
    </w:sdtEndPr>
    <w:sdtContent>
      <w:p w14:paraId="20D54BE6" w14:textId="27EB8F5F"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20347BDD" w14:textId="77777777" w:rsidR="00E040FD" w:rsidRDefault="00E040FD">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22CD" w14:textId="77777777" w:rsidR="00E040FD" w:rsidRDefault="00E040FD">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697E" w14:textId="77777777" w:rsidR="00E040FD" w:rsidRDefault="00E040FD">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692075"/>
      <w:docPartObj>
        <w:docPartGallery w:val="Page Numbers (Bottom of Page)"/>
        <w:docPartUnique/>
      </w:docPartObj>
    </w:sdtPr>
    <w:sdtEndPr>
      <w:rPr>
        <w:noProof/>
      </w:rPr>
    </w:sdtEndPr>
    <w:sdtContent>
      <w:p w14:paraId="27D12E9D" w14:textId="1F2E7166"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6CA32D1F" w14:textId="77777777" w:rsidR="00E040FD" w:rsidRDefault="00E040FD">
    <w:pPr>
      <w:pStyle w:val="FooterCouncil"/>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6821" w14:textId="77777777" w:rsidR="00E040FD" w:rsidRDefault="00E040FD">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7E8F" w14:textId="77777777" w:rsidR="00E040FD" w:rsidRDefault="00E040FD">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046173"/>
      <w:docPartObj>
        <w:docPartGallery w:val="Page Numbers (Bottom of Page)"/>
        <w:docPartUnique/>
      </w:docPartObj>
    </w:sdtPr>
    <w:sdtEndPr>
      <w:rPr>
        <w:noProof/>
      </w:rPr>
    </w:sdtEndPr>
    <w:sdtContent>
      <w:p w14:paraId="7812839D" w14:textId="7C40077D"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00134FDC" w14:textId="77777777" w:rsidR="00E040FD" w:rsidRDefault="00E040FD">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D1FF" w14:textId="77777777" w:rsidR="00E040FD" w:rsidRDefault="00E040FD">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67FC" w14:textId="77777777" w:rsidR="00E040FD" w:rsidRDefault="00E040F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220122"/>
      <w:docPartObj>
        <w:docPartGallery w:val="Page Numbers (Bottom of Page)"/>
        <w:docPartUnique/>
      </w:docPartObj>
    </w:sdtPr>
    <w:sdtEndPr>
      <w:rPr>
        <w:noProof/>
      </w:rPr>
    </w:sdtEndPr>
    <w:sdtContent>
      <w:p w14:paraId="05BA94CE" w14:textId="28C884D5" w:rsidR="00FD5608" w:rsidRDefault="00FD5608">
        <w:pPr>
          <w:pStyle w:val="Footer"/>
          <w:jc w:val="center"/>
        </w:pPr>
        <w:r>
          <w:fldChar w:fldCharType="begin"/>
        </w:r>
        <w:r>
          <w:instrText xml:space="preserve"> PAGE   \* MERGEFORMAT </w:instrText>
        </w:r>
        <w:r>
          <w:fldChar w:fldCharType="separate"/>
        </w:r>
        <w:r w:rsidR="00FE5799">
          <w:rPr>
            <w:noProof/>
          </w:rPr>
          <w:t>7</w:t>
        </w:r>
        <w:r>
          <w:fldChar w:fldCharType="end"/>
        </w:r>
      </w:p>
    </w:sdtContent>
  </w:sdt>
  <w:p w14:paraId="61EB60A6" w14:textId="77777777" w:rsidR="00FD5608" w:rsidRDefault="00FD5608">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950081"/>
      <w:docPartObj>
        <w:docPartGallery w:val="Page Numbers (Bottom of Page)"/>
        <w:docPartUnique/>
      </w:docPartObj>
    </w:sdtPr>
    <w:sdtEndPr>
      <w:rPr>
        <w:noProof/>
      </w:rPr>
    </w:sdtEndPr>
    <w:sdtContent>
      <w:p w14:paraId="171ABC93" w14:textId="08F260A5"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75AA0CD7" w14:textId="77777777" w:rsidR="00E040FD" w:rsidRDefault="00E040FD">
    <w:pPr>
      <w:pStyle w:val="FooterCouncil"/>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2D4F" w14:textId="77777777" w:rsidR="00E040FD" w:rsidRDefault="00E040FD">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F74F" w14:textId="77777777" w:rsidR="00E040FD" w:rsidRDefault="00E040FD">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17768"/>
      <w:docPartObj>
        <w:docPartGallery w:val="Page Numbers (Bottom of Page)"/>
        <w:docPartUnique/>
      </w:docPartObj>
    </w:sdtPr>
    <w:sdtEndPr>
      <w:rPr>
        <w:noProof/>
      </w:rPr>
    </w:sdtEndPr>
    <w:sdtContent>
      <w:p w14:paraId="5DEDEBC3" w14:textId="2065B74D"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657ED285" w14:textId="77777777" w:rsidR="00E040FD" w:rsidRDefault="00E040FD">
    <w:pPr>
      <w:pStyle w:val="FooterCouncil"/>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A91C" w14:textId="77777777" w:rsidR="00E040FD" w:rsidRDefault="00E040FD">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FFA4" w14:textId="77777777" w:rsidR="00E040FD" w:rsidRDefault="00E040FD">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580077"/>
      <w:docPartObj>
        <w:docPartGallery w:val="Page Numbers (Bottom of Page)"/>
        <w:docPartUnique/>
      </w:docPartObj>
    </w:sdtPr>
    <w:sdtEndPr>
      <w:rPr>
        <w:noProof/>
      </w:rPr>
    </w:sdtEndPr>
    <w:sdtContent>
      <w:p w14:paraId="38B617B1" w14:textId="29E47AAE"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40204AFC" w14:textId="77777777" w:rsidR="00E040FD" w:rsidRDefault="00E040FD">
    <w:pPr>
      <w:pStyle w:val="FooterCouncil"/>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680E" w14:textId="77777777" w:rsidR="00E040FD" w:rsidRDefault="00E040FD">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ED65" w14:textId="77777777" w:rsidR="00E040FD" w:rsidRDefault="00E040FD">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825800"/>
      <w:docPartObj>
        <w:docPartGallery w:val="Page Numbers (Bottom of Page)"/>
        <w:docPartUnique/>
      </w:docPartObj>
    </w:sdtPr>
    <w:sdtEndPr>
      <w:rPr>
        <w:noProof/>
      </w:rPr>
    </w:sdtEndPr>
    <w:sdtContent>
      <w:p w14:paraId="16F8FF98" w14:textId="3E257F15" w:rsidR="00E040FD" w:rsidRDefault="00740D64">
        <w:pPr>
          <w:pStyle w:val="Footer"/>
          <w:jc w:val="center"/>
        </w:pPr>
        <w:r>
          <w:fldChar w:fldCharType="begin"/>
        </w:r>
        <w:r>
          <w:instrText xml:space="preserve"> PAGE   \* MERGEFORMAT </w:instrText>
        </w:r>
        <w:r>
          <w:fldChar w:fldCharType="separate"/>
        </w:r>
        <w:r>
          <w:t>2</w:t>
        </w:r>
        <w:r>
          <w:fldChar w:fldCharType="end"/>
        </w:r>
      </w:p>
    </w:sdtContent>
  </w:sdt>
  <w:p w14:paraId="612C7217" w14:textId="77777777" w:rsidR="00E040FD" w:rsidRDefault="00E040FD">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43C2" w14:textId="77777777" w:rsidR="00FD5608" w:rsidRDefault="00FD5608">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ABC1" w14:textId="77777777" w:rsidR="00E040FD" w:rsidRDefault="00E040FD">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8B3D" w14:textId="77777777" w:rsidR="00FD5608" w:rsidRDefault="00FD5608">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684364"/>
      <w:docPartObj>
        <w:docPartGallery w:val="Page Numbers (Bottom of Page)"/>
        <w:docPartUnique/>
      </w:docPartObj>
    </w:sdtPr>
    <w:sdtEndPr>
      <w:rPr>
        <w:noProof/>
      </w:rPr>
    </w:sdtEndPr>
    <w:sdtContent>
      <w:p w14:paraId="2E4A9055" w14:textId="77777777" w:rsidR="00FD5608" w:rsidRDefault="00FD5608">
        <w:pPr>
          <w:pStyle w:val="Footer"/>
          <w:jc w:val="center"/>
        </w:pPr>
        <w:r>
          <w:fldChar w:fldCharType="begin"/>
        </w:r>
        <w:r>
          <w:instrText xml:space="preserve"> PAGE   \* MERGEFORMAT </w:instrText>
        </w:r>
        <w:r>
          <w:fldChar w:fldCharType="separate"/>
        </w:r>
        <w:r>
          <w:t>2</w:t>
        </w:r>
        <w:r>
          <w:fldChar w:fldCharType="end"/>
        </w:r>
      </w:p>
    </w:sdtContent>
  </w:sdt>
  <w:p w14:paraId="7D8FE60A" w14:textId="77777777" w:rsidR="00FD5608" w:rsidRDefault="00FD5608">
    <w:pPr>
      <w:pStyle w:val="FooterCouncil"/>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5226" w14:textId="77777777" w:rsidR="00FD5608" w:rsidRDefault="00FD5608">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43E52" w14:textId="77777777" w:rsidR="00FD5608" w:rsidRDefault="00FD5608">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342474"/>
      <w:docPartObj>
        <w:docPartGallery w:val="Page Numbers (Bottom of Page)"/>
        <w:docPartUnique/>
      </w:docPartObj>
    </w:sdtPr>
    <w:sdtEndPr>
      <w:rPr>
        <w:noProof/>
      </w:rPr>
    </w:sdtEndPr>
    <w:sdtContent>
      <w:p w14:paraId="684A39F4" w14:textId="77777777" w:rsidR="00FD5608" w:rsidRDefault="00FD5608">
        <w:pPr>
          <w:pStyle w:val="Footer"/>
          <w:jc w:val="center"/>
        </w:pPr>
        <w:r>
          <w:fldChar w:fldCharType="begin"/>
        </w:r>
        <w:r>
          <w:instrText xml:space="preserve"> PAGE   \* MERGEFORMAT </w:instrText>
        </w:r>
        <w:r>
          <w:fldChar w:fldCharType="separate"/>
        </w:r>
        <w:r>
          <w:t>2</w:t>
        </w:r>
        <w:r>
          <w:fldChar w:fldCharType="end"/>
        </w:r>
      </w:p>
    </w:sdtContent>
  </w:sdt>
  <w:p w14:paraId="029E2DA5" w14:textId="77777777" w:rsidR="00FD5608" w:rsidRDefault="00FD5608">
    <w:pPr>
      <w:pStyle w:val="FooterCouncil"/>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012A" w14:textId="77777777" w:rsidR="00FD5608" w:rsidRDefault="00FD5608">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2451" w14:textId="77777777" w:rsidR="00FD5608" w:rsidRDefault="00FD5608">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09139"/>
      <w:docPartObj>
        <w:docPartGallery w:val="Page Numbers (Bottom of Page)"/>
        <w:docPartUnique/>
      </w:docPartObj>
    </w:sdtPr>
    <w:sdtEndPr>
      <w:rPr>
        <w:noProof/>
      </w:rPr>
    </w:sdtEndPr>
    <w:sdtContent>
      <w:p w14:paraId="34109FF6" w14:textId="77777777" w:rsidR="00FD5608" w:rsidRDefault="00FD5608">
        <w:pPr>
          <w:pStyle w:val="Footer"/>
          <w:jc w:val="center"/>
        </w:pPr>
        <w:r>
          <w:fldChar w:fldCharType="begin"/>
        </w:r>
        <w:r>
          <w:instrText xml:space="preserve"> PAGE   \* MERGEFORMAT </w:instrText>
        </w:r>
        <w:r>
          <w:fldChar w:fldCharType="separate"/>
        </w:r>
        <w:r>
          <w:t>2</w:t>
        </w:r>
        <w:r>
          <w:fldChar w:fldCharType="end"/>
        </w:r>
      </w:p>
    </w:sdtContent>
  </w:sdt>
  <w:p w14:paraId="7CD56D9D" w14:textId="77777777" w:rsidR="00FD5608" w:rsidRDefault="00FD5608">
    <w:pPr>
      <w:pStyle w:val="FooterCouncil"/>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D3C1" w14:textId="77777777" w:rsidR="00FD5608" w:rsidRDefault="00FD5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916DA" w14:textId="77777777" w:rsidR="00E040FD" w:rsidRDefault="00740D64">
      <w:pPr>
        <w:spacing w:after="0" w:line="240" w:lineRule="auto"/>
      </w:pPr>
      <w:r>
        <w:separator/>
      </w:r>
    </w:p>
  </w:footnote>
  <w:footnote w:type="continuationSeparator" w:id="0">
    <w:p w14:paraId="731B09A1" w14:textId="77777777" w:rsidR="00E040FD" w:rsidRDefault="00740D64">
      <w:pPr>
        <w:spacing w:after="0" w:line="240" w:lineRule="auto"/>
      </w:pPr>
      <w:r>
        <w:continuationSeparator/>
      </w:r>
    </w:p>
  </w:footnote>
  <w:footnote w:type="continuationNotice" w:id="1">
    <w:p w14:paraId="0371B506" w14:textId="77777777" w:rsidR="00E040FD" w:rsidRDefault="00E040FD">
      <w:pPr>
        <w:spacing w:after="0" w:line="240" w:lineRule="auto"/>
      </w:pPr>
    </w:p>
  </w:footnote>
  <w:footnote w:id="2">
    <w:p w14:paraId="4F724CD0" w14:textId="77777777" w:rsidR="00E040FD" w:rsidRDefault="00740D64">
      <w:pPr>
        <w:pStyle w:val="FootnoteText"/>
        <w:ind w:left="709" w:hanging="709"/>
      </w:pPr>
      <w:r>
        <w:rPr>
          <w:rStyle w:val="FootnoteReference"/>
        </w:rPr>
        <w:footnoteRef/>
      </w:r>
      <w:r>
        <w:t xml:space="preserve"> </w:t>
      </w:r>
      <w:hyperlink r:id="rId1" w:history="1">
        <w:r>
          <w:rPr>
            <w:rStyle w:val="Hyperlink"/>
          </w:rPr>
          <w:t>https://www.un.org/development/desa/disabilities/convention-on-the-rights-of-persons-with-disabilities.html</w:t>
        </w:r>
      </w:hyperlink>
      <w:r>
        <w:t xml:space="preserve">.    </w:t>
      </w:r>
    </w:p>
  </w:footnote>
  <w:footnote w:id="3">
    <w:p w14:paraId="6EF9B016" w14:textId="77777777" w:rsidR="00E040FD" w:rsidRDefault="00740D64">
      <w:pPr>
        <w:pStyle w:val="FootnoteText"/>
        <w:ind w:left="709" w:hanging="709"/>
      </w:pPr>
      <w:r>
        <w:rPr>
          <w:rStyle w:val="FootnoteReference"/>
        </w:rPr>
        <w:footnoteRef/>
      </w:r>
      <w:r>
        <w:t xml:space="preserve"> </w:t>
      </w:r>
      <w:hyperlink r:id="rId2" w:history="1">
        <w:r>
          <w:rPr>
            <w:rStyle w:val="Hyperlink"/>
          </w:rPr>
          <w:t>https://ec.europa.eu/social/main.jsp?catId=738&amp;langId=en&amp;pubId=8376&amp;furtherPubs=yes</w:t>
        </w:r>
      </w:hyperlink>
      <w:r>
        <w:t xml:space="preserve"> </w:t>
      </w:r>
    </w:p>
  </w:footnote>
  <w:footnote w:id="4">
    <w:p w14:paraId="7BE524BD" w14:textId="77777777" w:rsidR="00E040FD" w:rsidRDefault="00740D64">
      <w:pPr>
        <w:pStyle w:val="FootnoteText"/>
        <w:ind w:left="709" w:hanging="709"/>
      </w:pPr>
      <w:r>
        <w:rPr>
          <w:rStyle w:val="FootnoteReference"/>
        </w:rPr>
        <w:footnoteRef/>
      </w:r>
      <w:r>
        <w:t xml:space="preserve"> </w:t>
      </w:r>
      <w:hyperlink r:id="rId3" w:history="1">
        <w:r>
          <w:rPr>
            <w:rStyle w:val="Hyperlink"/>
          </w:rPr>
          <w:t>https://ec.europa.eu/info/sites/default/files/1_en_act_part1_v8_0.pdf</w:t>
        </w:r>
      </w:hyperlink>
      <w:r>
        <w:t xml:space="preserve"> </w:t>
      </w:r>
    </w:p>
  </w:footnote>
  <w:footnote w:id="5">
    <w:p w14:paraId="20BF6478" w14:textId="77777777" w:rsidR="00E040FD" w:rsidRDefault="00740D64">
      <w:pPr>
        <w:pStyle w:val="FootnoteText"/>
        <w:ind w:left="709" w:hanging="709"/>
      </w:pPr>
      <w:r>
        <w:rPr>
          <w:rStyle w:val="FootnoteReference"/>
        </w:rPr>
        <w:footnoteRef/>
      </w:r>
      <w:r>
        <w:t xml:space="preserve"> </w:t>
      </w:r>
      <w:hyperlink r:id="rId4" w:history="1">
        <w:r>
          <w:rPr>
            <w:rStyle w:val="Hyperlink"/>
          </w:rPr>
          <w:t>https://www.un.org/development/desa/disabilities/convention-on-the-rights-of-persons-with-disabilities.html</w:t>
        </w:r>
      </w:hyperlink>
      <w:r>
        <w:t xml:space="preserve">.    </w:t>
      </w:r>
    </w:p>
  </w:footnote>
  <w:footnote w:id="6">
    <w:p w14:paraId="697E022B" w14:textId="77777777" w:rsidR="00E040FD" w:rsidRDefault="00740D64">
      <w:pPr>
        <w:pStyle w:val="FootnoteText"/>
        <w:ind w:left="709" w:hanging="709"/>
      </w:pPr>
      <w:r>
        <w:rPr>
          <w:rStyle w:val="FootnoteReference"/>
        </w:rPr>
        <w:footnoteRef/>
      </w:r>
      <w:r>
        <w:t xml:space="preserve"> </w:t>
      </w:r>
      <w:hyperlink r:id="rId5" w:history="1">
        <w:r>
          <w:rPr>
            <w:rStyle w:val="Hyperlink"/>
          </w:rPr>
          <w:t>https://ec.europa.eu/social/main.jsp?catId=738&amp;langId=en&amp;pubId=8376&amp;furtherPubs=yes</w:t>
        </w:r>
      </w:hyperlink>
      <w:r>
        <w:t xml:space="preserve"> </w:t>
      </w:r>
    </w:p>
  </w:footnote>
  <w:footnote w:id="7">
    <w:p w14:paraId="22261CC4" w14:textId="77777777" w:rsidR="00E040FD" w:rsidRDefault="00740D64">
      <w:pPr>
        <w:pStyle w:val="FootnoteText"/>
        <w:ind w:left="709" w:hanging="709"/>
      </w:pPr>
      <w: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8">
    <w:p w14:paraId="2B2A4952" w14:textId="77777777" w:rsidR="00E040FD" w:rsidRDefault="00740D64">
      <w:pPr>
        <w:pStyle w:val="FootnoteText"/>
        <w:ind w:left="709" w:hanging="709"/>
      </w:pPr>
      <w: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9">
    <w:p w14:paraId="104B9886" w14:textId="77777777" w:rsidR="00E040FD" w:rsidRDefault="00740D64">
      <w:pPr>
        <w:pStyle w:val="FootnoteText"/>
        <w:ind w:left="709" w:hanging="709"/>
      </w:pPr>
      <w:r>
        <w:footnoteRef/>
      </w:r>
      <w:r>
        <w:t xml:space="preserve"> </w:t>
      </w:r>
      <w: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10">
    <w:p w14:paraId="3F26F5F7" w14:textId="77777777" w:rsidR="00E040FD" w:rsidRDefault="00740D64">
      <w:pPr>
        <w:pStyle w:val="FootnoteText"/>
        <w:ind w:left="709" w:hanging="709"/>
      </w:pPr>
      <w: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11">
    <w:p w14:paraId="54B6E1CA" w14:textId="77777777" w:rsidR="00E040FD" w:rsidRDefault="00740D64">
      <w:pPr>
        <w:pStyle w:val="FootnoteText"/>
        <w:ind w:left="709" w:hanging="709"/>
      </w:pPr>
      <w: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12">
    <w:p w14:paraId="0700F327" w14:textId="77777777" w:rsidR="00E040FD" w:rsidRDefault="00740D64">
      <w:pPr>
        <w:pStyle w:val="FootnoteText"/>
        <w:ind w:left="709" w:hanging="709"/>
      </w:pPr>
      <w: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13">
    <w:p w14:paraId="4A7CE0CE" w14:textId="77777777" w:rsidR="00E040FD" w:rsidRDefault="00740D64">
      <w:pPr>
        <w:pStyle w:val="FootnoteText"/>
        <w:ind w:left="709" w:hanging="709"/>
      </w:pPr>
      <w:r>
        <w:rPr>
          <w:rStyle w:val="FootnoteReference"/>
        </w:rPr>
        <w:footnoteRef/>
      </w:r>
      <w:r>
        <w:t xml:space="preserve"> </w:t>
      </w:r>
      <w: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14">
    <w:p w14:paraId="33C91D2C" w14:textId="77777777" w:rsidR="00E040FD" w:rsidRDefault="00740D64">
      <w:pPr>
        <w:pStyle w:val="FootnoteText"/>
        <w:ind w:left="709" w:hanging="709"/>
      </w:pPr>
      <w: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15">
    <w:p w14:paraId="4570EEC3" w14:textId="77777777" w:rsidR="00E040FD" w:rsidRDefault="00740D64">
      <w:pPr>
        <w:pStyle w:val="FootnoteText"/>
        <w:ind w:left="709" w:hanging="709"/>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16">
    <w:p w14:paraId="18847726" w14:textId="77777777" w:rsidR="00E040FD" w:rsidRDefault="00740D64">
      <w:pPr>
        <w:pStyle w:val="FootnoteText"/>
        <w:ind w:left="709" w:hanging="709"/>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17">
    <w:p w14:paraId="2CDBAB26" w14:textId="77777777" w:rsidR="00E040FD" w:rsidRDefault="00740D64">
      <w:pPr>
        <w:spacing w:after="0" w:line="240" w:lineRule="auto"/>
        <w:ind w:left="709" w:hanging="709"/>
        <w:jc w:val="both"/>
        <w:rPr>
          <w:rFonts w:ascii="Times New Roman" w:eastAsiaTheme="minorEastAsia"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18">
    <w:p w14:paraId="02418914" w14:textId="77777777" w:rsidR="00E040FD" w:rsidRDefault="00740D64">
      <w:pPr>
        <w:pStyle w:val="FootnoteText"/>
        <w:ind w:left="709" w:hanging="709"/>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19">
    <w:p w14:paraId="2734878E" w14:textId="77777777" w:rsidR="00E040FD" w:rsidRDefault="00740D64">
      <w:pPr>
        <w:pStyle w:val="FootnoteText"/>
        <w:ind w:left="709" w:hanging="709"/>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20">
    <w:p w14:paraId="25410A69" w14:textId="77777777" w:rsidR="00E040FD" w:rsidRDefault="00740D64">
      <w:pPr>
        <w:pStyle w:val="FootnoteText"/>
        <w:ind w:left="709" w:hanging="709"/>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21">
    <w:p w14:paraId="4B3934FC" w14:textId="77777777" w:rsidR="00E040FD" w:rsidRDefault="00740D6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22">
    <w:p w14:paraId="6CB29564" w14:textId="77777777" w:rsidR="00E040FD" w:rsidRDefault="00740D64">
      <w:pPr>
        <w:pStyle w:val="FootnoteText"/>
        <w:ind w:left="709" w:hanging="709"/>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23">
    <w:p w14:paraId="1A1A021C" w14:textId="77777777" w:rsidR="00E040FD" w:rsidRDefault="00740D64">
      <w:pPr>
        <w:pStyle w:val="FootnoteText"/>
        <w:ind w:left="709" w:hanging="709"/>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24">
    <w:p w14:paraId="72CFAB7C" w14:textId="77777777" w:rsidR="00E040FD" w:rsidRDefault="00740D64">
      <w:pPr>
        <w:pStyle w:val="FootnoteText"/>
        <w:ind w:left="709" w:hanging="709"/>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25">
    <w:p w14:paraId="23F2A08C" w14:textId="77777777" w:rsidR="00E040FD" w:rsidRDefault="00740D6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26">
    <w:p w14:paraId="2E05CEF0" w14:textId="77777777" w:rsidR="00E040FD" w:rsidRDefault="00740D64">
      <w:pPr>
        <w:pStyle w:val="FootnoteText"/>
        <w:ind w:left="709" w:hanging="709"/>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27">
    <w:p w14:paraId="2FE089E1" w14:textId="77777777" w:rsidR="00E040FD" w:rsidRDefault="00740D64">
      <w:pPr>
        <w:pStyle w:val="FootnoteText"/>
        <w:ind w:left="709" w:hanging="709"/>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28">
    <w:p w14:paraId="54165B86" w14:textId="77777777" w:rsidR="00E040FD" w:rsidRDefault="00740D64">
      <w:pPr>
        <w:pStyle w:val="FootnoteText"/>
        <w:ind w:left="709" w:hanging="709"/>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29">
    <w:p w14:paraId="78C1F4E6" w14:textId="77777777" w:rsidR="00E040FD" w:rsidRDefault="00740D6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30">
    <w:p w14:paraId="43DD17DC" w14:textId="77777777" w:rsidR="00E040FD" w:rsidRDefault="00740D64">
      <w:pPr>
        <w:pStyle w:val="FootnoteText"/>
        <w:ind w:left="709" w:hanging="709"/>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31">
    <w:p w14:paraId="27354B64" w14:textId="77777777" w:rsidR="00E040FD" w:rsidRDefault="00740D64">
      <w:pPr>
        <w:pStyle w:val="FootnoteText"/>
      </w:pPr>
      <w:r>
        <w:rPr>
          <w:rStyle w:val="FootnoteReference"/>
        </w:rPr>
        <w:footnoteRef/>
      </w:r>
      <w:r>
        <w:t xml:space="preserve"> 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 </w:t>
      </w:r>
    </w:p>
  </w:footnote>
  <w:footnote w:id="32">
    <w:p w14:paraId="4299F52C" w14:textId="77777777" w:rsidR="00E040FD" w:rsidRDefault="00740D64">
      <w:pPr>
        <w:pStyle w:val="FootnoteText"/>
      </w:pPr>
      <w:r>
        <w:rPr>
          <w:rStyle w:val="FootnoteReference"/>
        </w:rPr>
        <w:footnoteRef/>
      </w:r>
      <w:r>
        <w:t xml:space="preserve"> Om de beräknade växthusgasutsläppen från den verksamhet som får stöd inte är betydligt lägre än de relevanta riktmärkena, bör en förklaring ges till varför detta är fallet. Riktmärken som fastställts för gratis tilldelning för verksamhet som omfattas av systemet för handel med utsläppsrätter, i enlighet med kommissionens genomförandeförordning (EU) 2021/447. </w:t>
      </w:r>
    </w:p>
  </w:footnote>
  <w:footnote w:id="33">
    <w:p w14:paraId="275F7B84" w14:textId="77777777" w:rsidR="00E040FD" w:rsidRDefault="00740D64">
      <w:pPr>
        <w:pStyle w:val="FootnoteText"/>
      </w:pPr>
      <w:r>
        <w:rPr>
          <w:rStyle w:val="FootnoteReference"/>
        </w:rPr>
        <w:footnoteRef/>
      </w:r>
      <w:r>
        <w:t xml:space="preserve"> 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 </w:t>
      </w:r>
    </w:p>
  </w:footnote>
  <w:footnote w:id="34">
    <w:p w14:paraId="15124B53" w14:textId="77777777" w:rsidR="00E040FD" w:rsidRDefault="00740D64">
      <w:pPr>
        <w:pStyle w:val="FootnoteText"/>
      </w:pPr>
      <w:r>
        <w:rPr>
          <w:rStyle w:val="FootnoteReference"/>
        </w:rPr>
        <w:footnoteRef/>
      </w:r>
      <w:r>
        <w:t xml:space="preserve">  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 </w:t>
      </w:r>
    </w:p>
  </w:footnote>
  <w:footnote w:id="35">
    <w:p w14:paraId="13E939F4" w14:textId="77777777" w:rsidR="00E040FD" w:rsidRDefault="00740D64">
      <w:pPr>
        <w:pStyle w:val="FootnoteText"/>
        <w:spacing w:line="240" w:lineRule="auto"/>
        <w:ind w:left="709" w:hanging="709"/>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36">
    <w:p w14:paraId="7560EFBF" w14:textId="77777777" w:rsidR="00E040FD" w:rsidRDefault="00740D64">
      <w:pPr>
        <w:pStyle w:val="FootnoteText"/>
        <w:spacing w:line="240" w:lineRule="auto"/>
        <w:ind w:left="709" w:hanging="709"/>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37">
    <w:p w14:paraId="22DA75BD" w14:textId="77777777" w:rsidR="00E040FD" w:rsidRDefault="00740D6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38">
    <w:p w14:paraId="31E3972C" w14:textId="77777777" w:rsidR="00E040FD" w:rsidRDefault="00740D64">
      <w:pPr>
        <w:pStyle w:val="FootnoteText"/>
        <w:spacing w:line="240" w:lineRule="auto"/>
        <w:ind w:left="709" w:hanging="709"/>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39">
    <w:p w14:paraId="032B3FB7" w14:textId="017008BD" w:rsidR="00E040FD" w:rsidRDefault="00740D64">
      <w:pPr>
        <w:pStyle w:val="FootnoteText"/>
        <w:ind w:left="709" w:hanging="709"/>
      </w:pPr>
      <w:r>
        <w:rPr>
          <w:rStyle w:val="FootnoteReference"/>
        </w:rPr>
        <w:footnoteRef/>
      </w:r>
      <w:r>
        <w:t xml:space="preserve"> </w:t>
      </w:r>
      <w:r>
        <w:tab/>
        <w:t xml:space="preserve">Decreto Regulamentar nr 9-A/2017: </w:t>
      </w:r>
      <w:hyperlink r:id="rId6" w:history="1">
        <w:r>
          <w:rPr>
            <w:rStyle w:val="Hyperlink"/>
          </w:rPr>
          <w:t>https://dre.pt/application/conteudo/114152782</w:t>
        </w:r>
      </w:hyperlink>
      <w:r>
        <w:t xml:space="preserve">  </w:t>
      </w:r>
    </w:p>
  </w:footnote>
  <w:footnote w:id="40">
    <w:p w14:paraId="0D885102" w14:textId="77777777" w:rsidR="00E040FD" w:rsidRDefault="00740D64">
      <w:pPr>
        <w:pStyle w:val="FootnoteText"/>
        <w:spacing w:line="240" w:lineRule="auto"/>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41">
    <w:p w14:paraId="41986EED" w14:textId="77777777" w:rsidR="00E040FD" w:rsidRDefault="00740D64">
      <w:pPr>
        <w:pStyle w:val="FootnoteText"/>
        <w:spacing w:line="240" w:lineRule="auto"/>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42">
    <w:p w14:paraId="0FE45297" w14:textId="77777777" w:rsidR="00E040FD" w:rsidRDefault="00740D64">
      <w:pPr>
        <w:pStyle w:val="FootnoteText"/>
        <w:spacing w:line="240" w:lineRule="auto"/>
      </w:pPr>
      <w:r>
        <w:rPr>
          <w:rStyle w:val="FootnoteReference"/>
        </w:rPr>
        <w:footnoteRef/>
      </w:r>
      <w:r>
        <w:t xml:space="preserve"> </w:t>
      </w:r>
      <w: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43">
    <w:p w14:paraId="45413230" w14:textId="77777777" w:rsidR="00E040FD" w:rsidRDefault="00740D64">
      <w:pPr>
        <w:pStyle w:val="FootnoteText"/>
        <w:spacing w:line="240" w:lineRule="auto"/>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44">
    <w:p w14:paraId="2D3802F5" w14:textId="77777777" w:rsidR="00E040FD" w:rsidRDefault="00740D64">
      <w:pPr>
        <w:pStyle w:val="FootnoteText"/>
        <w:spacing w:line="240" w:lineRule="auto"/>
        <w:ind w:left="709" w:hanging="709"/>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45">
    <w:p w14:paraId="58D642AD" w14:textId="77777777" w:rsidR="00E040FD" w:rsidRDefault="00740D64">
      <w:pPr>
        <w:pStyle w:val="FootnoteText"/>
        <w:spacing w:line="240" w:lineRule="auto"/>
        <w:ind w:left="709" w:hanging="709"/>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46">
    <w:p w14:paraId="2EC8D73E" w14:textId="77777777" w:rsidR="00E040FD" w:rsidRDefault="00740D6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47">
    <w:p w14:paraId="69F62AAE" w14:textId="77777777" w:rsidR="00E040FD" w:rsidRDefault="00740D64">
      <w:pPr>
        <w:pStyle w:val="FootnoteText"/>
        <w:spacing w:line="240" w:lineRule="auto"/>
        <w:ind w:left="709" w:hanging="709"/>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48">
    <w:p w14:paraId="23D04827" w14:textId="77777777" w:rsidR="00E040FD" w:rsidRDefault="00740D64">
      <w:pPr>
        <w:pStyle w:val="FootnoteText"/>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49">
    <w:p w14:paraId="086CCC13" w14:textId="77777777" w:rsidR="00E040FD" w:rsidRDefault="00740D64">
      <w:pPr>
        <w:pStyle w:val="FootnoteText"/>
        <w:spacing w:line="240" w:lineRule="auto"/>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50">
    <w:p w14:paraId="50DDA874" w14:textId="77777777" w:rsidR="00E040FD" w:rsidRDefault="00740D64">
      <w:pPr>
        <w:spacing w:after="0" w:line="240" w:lineRule="auto"/>
        <w:ind w:left="709" w:hanging="709"/>
        <w:jc w:val="both"/>
        <w:rPr>
          <w:rFonts w:ascii="Times New Roman" w:hAnsi="Times New Roman" w:cs="Times New Roman"/>
        </w:rPr>
      </w:pPr>
      <w:r>
        <w:rPr>
          <w:rStyle w:val="FootnoteReference"/>
          <w:sz w:val="20"/>
        </w:rPr>
        <w:footnoteRef/>
      </w:r>
      <w:r>
        <w:rPr>
          <w:rFonts w:ascii="Times New Roman" w:hAnsi="Times New Roman"/>
          <w:sz w:val="20"/>
        </w:rPr>
        <w:t xml:space="preserve"> </w:t>
      </w:r>
      <w:r>
        <w:rPr>
          <w:rFonts w:ascii="Times New Roman" w:hAnsi="Times New Roman"/>
          <w:sz w:val="20"/>
        </w:rP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51">
    <w:p w14:paraId="629442C7" w14:textId="77777777" w:rsidR="00E040FD" w:rsidRDefault="00740D64">
      <w:pPr>
        <w:pStyle w:val="FootnoteText"/>
        <w:spacing w:line="240" w:lineRule="auto"/>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52">
    <w:p w14:paraId="6CD2C7EC" w14:textId="77777777" w:rsidR="00E040FD" w:rsidRDefault="00740D64">
      <w:pPr>
        <w:pStyle w:val="FootnoteText"/>
        <w:ind w:left="709" w:hanging="709"/>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53">
    <w:p w14:paraId="6D4C9DB2" w14:textId="77777777" w:rsidR="00E040FD" w:rsidRDefault="00740D64">
      <w:pPr>
        <w:pStyle w:val="FootnoteText"/>
        <w:ind w:left="709" w:hanging="709"/>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54">
    <w:p w14:paraId="2F4AA456" w14:textId="77777777" w:rsidR="00E040FD" w:rsidRDefault="00740D64">
      <w:pPr>
        <w:pStyle w:val="FootnoteText"/>
        <w:ind w:left="709" w:hanging="709"/>
      </w:pPr>
      <w:r>
        <w:rPr>
          <w:rStyle w:val="FootnoteReference"/>
        </w:rPr>
        <w:footnoteRef/>
      </w:r>
      <w:r>
        <w:t xml:space="preserve"> </w:t>
      </w:r>
      <w: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55">
    <w:p w14:paraId="5D8F35A8" w14:textId="77777777" w:rsidR="00E040FD" w:rsidRDefault="00740D64">
      <w:pPr>
        <w:pStyle w:val="FootnoteText"/>
        <w:ind w:left="709" w:hanging="709"/>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56">
    <w:p w14:paraId="5A0A53A2" w14:textId="77777777" w:rsidR="00E040FD" w:rsidRDefault="00740D64">
      <w:pPr>
        <w:pStyle w:val="FootnoteText"/>
        <w:ind w:left="709" w:hanging="709"/>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57">
    <w:p w14:paraId="59375361" w14:textId="77777777" w:rsidR="00E040FD" w:rsidRDefault="00740D64">
      <w:pPr>
        <w:pStyle w:val="FootnoteText"/>
        <w:ind w:left="709" w:hanging="709"/>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58">
    <w:p w14:paraId="3A868ECC" w14:textId="77777777" w:rsidR="00E040FD" w:rsidRDefault="00740D64">
      <w:pPr>
        <w:pStyle w:val="FootnoteText"/>
        <w:ind w:left="709" w:hanging="709"/>
      </w:pPr>
      <w:r>
        <w:rPr>
          <w:rStyle w:val="FootnoteReference"/>
        </w:rPr>
        <w:footnoteRef/>
      </w:r>
      <w:r>
        <w:t xml:space="preserve"> </w:t>
      </w:r>
      <w: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59">
    <w:p w14:paraId="57210ACA" w14:textId="77777777" w:rsidR="00E040FD" w:rsidRDefault="00740D64">
      <w:pPr>
        <w:pStyle w:val="FootnoteText"/>
        <w:ind w:left="709" w:hanging="709"/>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60">
    <w:p w14:paraId="29A7C9B1" w14:textId="77777777" w:rsidR="00E040FD" w:rsidRDefault="00740D64">
      <w:pPr>
        <w:pStyle w:val="FootnoteText"/>
        <w:ind w:left="709" w:hanging="709"/>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61">
    <w:p w14:paraId="24F14AC4" w14:textId="77777777" w:rsidR="00E040FD" w:rsidRDefault="00740D64">
      <w:pPr>
        <w:pStyle w:val="FootnoteText"/>
        <w:ind w:left="709" w:hanging="709"/>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62">
    <w:p w14:paraId="57CE1546" w14:textId="77777777" w:rsidR="00E040FD" w:rsidRDefault="00740D64">
      <w:pPr>
        <w:pStyle w:val="FootnoteText"/>
        <w:ind w:left="709" w:hanging="709"/>
      </w:pPr>
      <w:r>
        <w:rPr>
          <w:rStyle w:val="FootnoteReference"/>
        </w:rPr>
        <w:footnoteRef/>
      </w:r>
      <w:r>
        <w:t xml:space="preserve"> </w:t>
      </w:r>
      <w: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63">
    <w:p w14:paraId="1812F0A1" w14:textId="77777777" w:rsidR="00E040FD" w:rsidRDefault="00740D64">
      <w:pPr>
        <w:pStyle w:val="FootnoteText"/>
        <w:ind w:left="709" w:hanging="709"/>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64">
    <w:p w14:paraId="3705F09F" w14:textId="77777777" w:rsidR="00E040FD" w:rsidRDefault="00740D64">
      <w:pPr>
        <w:pStyle w:val="FootnoteText"/>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65">
    <w:p w14:paraId="79ECCF36" w14:textId="77777777" w:rsidR="00E040FD" w:rsidRDefault="00740D64">
      <w:pPr>
        <w:pStyle w:val="FootnoteText"/>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66">
    <w:p w14:paraId="0CD64774" w14:textId="77777777" w:rsidR="00E040FD" w:rsidRDefault="00740D64">
      <w:pPr>
        <w:pStyle w:val="FootnoteText"/>
      </w:pPr>
      <w:r>
        <w:rPr>
          <w:rStyle w:val="FootnoteReference"/>
        </w:rPr>
        <w:footnoteRef/>
      </w:r>
      <w:r>
        <w:t xml:space="preserve"> </w:t>
      </w:r>
      <w: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67">
    <w:p w14:paraId="137FD1EF" w14:textId="77777777" w:rsidR="00E040FD" w:rsidRDefault="00740D64">
      <w:pPr>
        <w:pStyle w:val="FootnoteText"/>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68">
    <w:p w14:paraId="405D3F43" w14:textId="77777777" w:rsidR="00E040FD" w:rsidRDefault="00740D64">
      <w:pPr>
        <w:pStyle w:val="FootnoteText"/>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69">
    <w:p w14:paraId="5450CE25" w14:textId="77777777" w:rsidR="00E040FD" w:rsidRDefault="00740D64">
      <w:pPr>
        <w:pStyle w:val="FootnoteText"/>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70">
    <w:p w14:paraId="3B01555B" w14:textId="77777777" w:rsidR="00E040FD" w:rsidRDefault="00740D64">
      <w:pPr>
        <w:pStyle w:val="FootnoteText"/>
      </w:pPr>
      <w:r>
        <w:rPr>
          <w:rStyle w:val="FootnoteReference"/>
        </w:rPr>
        <w:footnoteRef/>
      </w:r>
      <w:r>
        <w:t xml:space="preserve"> </w:t>
      </w:r>
      <w: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71">
    <w:p w14:paraId="3D345DD3" w14:textId="77777777" w:rsidR="00E040FD" w:rsidRDefault="00740D64">
      <w:pPr>
        <w:pStyle w:val="FootnoteText"/>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72">
    <w:p w14:paraId="1D00325C" w14:textId="77777777" w:rsidR="00E040FD" w:rsidRDefault="00740D64">
      <w:pPr>
        <w:pStyle w:val="FootnoteText"/>
      </w:pPr>
      <w:r>
        <w:rPr>
          <w:rStyle w:val="FootnoteReference"/>
        </w:rPr>
        <w:footnoteRef/>
      </w:r>
      <w:r>
        <w:t xml:space="preserve"> </w:t>
      </w:r>
      <w:r>
        <w:tab/>
        <w:t>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w:t>
      </w:r>
    </w:p>
  </w:footnote>
  <w:footnote w:id="73">
    <w:p w14:paraId="2B98AA92" w14:textId="77777777" w:rsidR="00E040FD" w:rsidRDefault="00740D64">
      <w:pPr>
        <w:pStyle w:val="FootnoteText"/>
      </w:pPr>
      <w:r>
        <w:rPr>
          <w:rStyle w:val="FootnoteReference"/>
        </w:rPr>
        <w:footnoteRef/>
      </w:r>
      <w:r>
        <w:t xml:space="preserve"> </w:t>
      </w:r>
      <w:r>
        <w:tab/>
        <w:t>Om den verksamhet som får stöd uppnår beräknade växthusgasutsläpp som inte är betydligt lägre än de relevanta riktmärkena bör en förklaring ges till varför detta inte är möjligt. Riktmärken som fastställts för gratis tilldelning för verksamhet som omfattas av systemet för handel med utsläppsrätter, i enlighet med kommissionens genomförandeförordning (EU) 2021/447.</w:t>
      </w:r>
    </w:p>
  </w:footnote>
  <w:footnote w:id="74">
    <w:p w14:paraId="1AD470E4" w14:textId="77777777" w:rsidR="00E040FD" w:rsidRDefault="00740D64">
      <w:pPr>
        <w:pStyle w:val="FootnoteText"/>
      </w:pPr>
      <w:r>
        <w:rPr>
          <w:rStyle w:val="FootnoteReference"/>
        </w:rPr>
        <w:footnoteRef/>
      </w:r>
      <w:r>
        <w:t xml:space="preserve"> </w:t>
      </w:r>
      <w:r>
        <w:tab/>
        <w:t>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w:t>
      </w:r>
    </w:p>
  </w:footnote>
  <w:footnote w:id="75">
    <w:p w14:paraId="62FBAA1A" w14:textId="77777777" w:rsidR="00E040FD" w:rsidRDefault="00740D64">
      <w:pPr>
        <w:pStyle w:val="FootnoteText"/>
      </w:pPr>
      <w:r>
        <w:rPr>
          <w:rStyle w:val="FootnoteReference"/>
        </w:rPr>
        <w:footnoteRef/>
      </w:r>
      <w:r>
        <w:t xml:space="preserve"> </w:t>
      </w:r>
      <w:r>
        <w:tab/>
        <w:t>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w:t>
      </w:r>
    </w:p>
  </w:footnote>
  <w:footnote w:id="76">
    <w:p w14:paraId="7ECA6AE2" w14:textId="77777777" w:rsidR="00E040FD" w:rsidRDefault="00740D64">
      <w:pPr>
        <w:pStyle w:val="FootnoteText"/>
      </w:pPr>
      <w:r>
        <w:rPr>
          <w:rStyle w:val="FootnoteReference"/>
        </w:rPr>
        <w:footnoteRef/>
      </w:r>
      <w:r>
        <w:t xml:space="preserve"> Begreppet skatteförmån definieras i artikel 2 </w:t>
      </w:r>
      <w:r>
        <w:rPr>
          <w:i/>
        </w:rPr>
        <w:t xml:space="preserve">i Estatuto dos Benefícios </w:t>
      </w:r>
      <w:r>
        <w:t>Fiscais (bilaga till lagdekret nr 215/1989 av den 1 juli). Skatteutgifter definieras som budgetkonsekvenserna av skatteförmåner.</w:t>
      </w:r>
    </w:p>
  </w:footnote>
  <w:footnote w:id="77">
    <w:p w14:paraId="29A60DEE" w14:textId="77777777" w:rsidR="00E040FD" w:rsidRDefault="00740D64">
      <w:pPr>
        <w:pStyle w:val="FootnoteText"/>
        <w:ind w:left="709" w:hanging="709"/>
      </w:pPr>
      <w:r>
        <w:rPr>
          <w:rStyle w:val="FootnoteReference"/>
        </w:rPr>
        <w:footnoteRef/>
      </w:r>
      <w:r>
        <w:t xml:space="preserve"> </w:t>
      </w:r>
      <w:r>
        <w:tab/>
        <w:t>Rum som inrättats för att påverka det sensoriska systemet antingen för att varna eller lugna.</w:t>
      </w:r>
    </w:p>
  </w:footnote>
  <w:footnote w:id="78">
    <w:p w14:paraId="4E79D273" w14:textId="77777777" w:rsidR="00E040FD" w:rsidRDefault="00740D64">
      <w:pPr>
        <w:pStyle w:val="FootnoteText"/>
      </w:pPr>
      <w:r>
        <w:rPr>
          <w:rStyle w:val="FootnoteReference"/>
        </w:rPr>
        <w:footnoteRef/>
      </w:r>
      <w:r>
        <w:t xml:space="preserve"> Utom projekt inom ramen för denna åtgärd inom kraft- och/eller värmeproduktion samt tillhörande överförings- och distributionsinfrastruktur som använder naturgas och som uppfyller villkoren i bilaga III till den tekniska vägledningen om principen om att inte orsaka betydande skada (2021/C58/01). </w:t>
      </w:r>
    </w:p>
  </w:footnote>
  <w:footnote w:id="79">
    <w:p w14:paraId="328B7220" w14:textId="77777777" w:rsidR="00E040FD" w:rsidRDefault="00740D64">
      <w:pPr>
        <w:pStyle w:val="FootnoteText"/>
      </w:pPr>
      <w:r>
        <w:rPr>
          <w:rStyle w:val="FootnoteReference"/>
        </w:rPr>
        <w:footnoteRef/>
      </w:r>
      <w:r>
        <w:t xml:space="preserve"> 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 </w:t>
      </w:r>
    </w:p>
  </w:footnote>
  <w:footnote w:id="80">
    <w:p w14:paraId="2AA60221" w14:textId="0051F9E1" w:rsidR="00E040FD" w:rsidRDefault="00740D64">
      <w:pPr>
        <w:pStyle w:val="FootnoteText"/>
      </w:pPr>
      <w:r>
        <w:rPr>
          <w:rStyle w:val="FootnoteReference"/>
        </w:rPr>
        <w:footnoteRef/>
      </w:r>
      <w:r>
        <w:t xml:space="preserve"> 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 </w:t>
      </w:r>
    </w:p>
  </w:footnote>
  <w:footnote w:id="81">
    <w:p w14:paraId="4213660C" w14:textId="77777777" w:rsidR="00E040FD" w:rsidRDefault="00740D64">
      <w:pPr>
        <w:pStyle w:val="FootnoteText"/>
      </w:pPr>
      <w:r>
        <w:rPr>
          <w:rStyle w:val="FootnoteReference"/>
        </w:rPr>
        <w:footnoteRef/>
      </w:r>
      <w:r>
        <w:t xml:space="preserve"> Detta undantag gäller inte åtgärder inom ramen för denna åtgärd i anläggningar som uteslutande är avsedda för behandling av farligt avfall som inte kan återvinnas, eller befintliga anläggningar, om åtgärderna inom ramen för denna åtgärd syftar till att öka energieffektiviteten, samla in avgaser för lagring, användning eller återvinning av material från förbränningsaska, förutsatt att sådana åtgärder inom ramen för denna åtgärd inte leder till en ökning av anläggningarnas kapacitet för avfallshantering eller en förlängning av anläggningarnas livstid, för vilka bevis lämnas på anläggningsnivå. </w:t>
      </w:r>
    </w:p>
  </w:footnote>
  <w:footnote w:id="82">
    <w:p w14:paraId="7D3EBBC3" w14:textId="63EBD02D" w:rsidR="00E040FD" w:rsidRDefault="00740D64">
      <w:pPr>
        <w:pStyle w:val="FootnoteText"/>
      </w:pPr>
      <w:r>
        <w:rPr>
          <w:rStyle w:val="FootnoteReference"/>
        </w:rPr>
        <w:footnoteRef/>
      </w:r>
      <w:r>
        <w:t xml:space="preserve"> Detta undantag gäller inte åtgärder inom ramen för denna åtgärd i befintliga anläggningar för mekanisk biologisk behandling, där åtgärderna inom ramen för denna åtgärd syftar till att öka energieffektiviteten eller eftermodifiera källsorterat avfall för kompost och anaerob nedbrytning av biologiskt avfall, förutsatt att sådana åtgärder inom ramen för denna åtgärd inte leder till en ökning av anläggningarnas kapacitet för avfallshantering eller en förlängning av anläggningarnas livstid. för vilka bevis lämnas på anläggningsnivå.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D321" w14:textId="77777777" w:rsidR="00FE5799" w:rsidRPr="00FE5799" w:rsidRDefault="00FE5799" w:rsidP="00FE57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1E99E" w14:textId="77777777" w:rsidR="00FD5608" w:rsidRDefault="00FD5608">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6A1E" w14:textId="77777777" w:rsidR="00E040FD" w:rsidRDefault="00E040FD">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F3E1" w14:textId="77777777" w:rsidR="00E040FD" w:rsidRDefault="00E040FD">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4980" w14:textId="77777777" w:rsidR="00E040FD" w:rsidRDefault="00E040FD">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770D" w14:textId="77777777" w:rsidR="00E040FD" w:rsidRDefault="00E040FD">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5FE9" w14:textId="77777777" w:rsidR="00E040FD" w:rsidRDefault="00E040FD">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24B8" w14:textId="77777777" w:rsidR="00E040FD" w:rsidRDefault="00E040FD">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13E6" w14:textId="77777777" w:rsidR="00E040FD" w:rsidRDefault="00E040FD">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A8AC" w14:textId="77777777" w:rsidR="00E040FD" w:rsidRDefault="00E040FD">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232E" w14:textId="77777777" w:rsidR="00E040FD" w:rsidRDefault="00E040FD">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F5A" w14:textId="77777777" w:rsidR="00E040FD" w:rsidRDefault="00E040F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336B" w14:textId="77777777" w:rsidR="00FD5608" w:rsidRDefault="00FD5608">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8A13" w14:textId="77777777" w:rsidR="00E040FD" w:rsidRDefault="00E040FD">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C2F1" w14:textId="77777777" w:rsidR="00E040FD" w:rsidRDefault="00E040FD">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DF1B" w14:textId="77777777" w:rsidR="00E040FD" w:rsidRDefault="00E040FD">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82C45" w14:textId="77777777" w:rsidR="00E040FD" w:rsidRDefault="00E040FD">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2C8D" w14:textId="77777777" w:rsidR="00E040FD" w:rsidRDefault="00E040FD">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B982" w14:textId="77777777" w:rsidR="00E040FD" w:rsidRDefault="00E040FD">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E9295" w14:textId="77777777" w:rsidR="00E040FD" w:rsidRDefault="00E040FD">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0039" w14:textId="77777777" w:rsidR="00E040FD" w:rsidRDefault="00E040FD">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ED21" w14:textId="77777777" w:rsidR="00E040FD" w:rsidRDefault="00E040FD">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7854" w14:textId="77777777" w:rsidR="00E040FD" w:rsidRDefault="00E040F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0B5F" w14:textId="77777777" w:rsidR="00FD5608" w:rsidRDefault="00FD5608">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08FE" w14:textId="77777777" w:rsidR="00E040FD" w:rsidRDefault="00E040FD">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F815" w14:textId="77777777" w:rsidR="00E040FD" w:rsidRDefault="00E040FD">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4230" w14:textId="77777777" w:rsidR="00E040FD" w:rsidRDefault="00E040FD">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2D6CB" w14:textId="77777777" w:rsidR="00E040FD" w:rsidRDefault="00E040FD">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A4D6A" w14:textId="77777777" w:rsidR="00E040FD" w:rsidRDefault="00E040FD">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3F1B" w14:textId="77777777" w:rsidR="00E040FD" w:rsidRDefault="00E040FD">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9215" w14:textId="77777777" w:rsidR="00E040FD" w:rsidRDefault="00E040FD">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C4D0" w14:textId="77777777" w:rsidR="00E040FD" w:rsidRDefault="00E040FD">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DB31" w14:textId="77777777" w:rsidR="00E040FD" w:rsidRDefault="00E040FD">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D58F" w14:textId="77777777" w:rsidR="00E040FD" w:rsidRDefault="00E040F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8DEE" w14:textId="77777777" w:rsidR="00E040FD" w:rsidRDefault="00E040FD">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862C" w14:textId="77777777" w:rsidR="00E040FD" w:rsidRDefault="00E040FD">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0E8A" w14:textId="77777777" w:rsidR="00E040FD" w:rsidRDefault="00E040FD">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0F1E" w14:textId="77777777" w:rsidR="00E040FD" w:rsidRDefault="00E040FD">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36E8" w14:textId="77777777" w:rsidR="00E040FD" w:rsidRDefault="00E040FD">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D6FE" w14:textId="77777777" w:rsidR="00E040FD" w:rsidRDefault="00E040FD">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F8BF" w14:textId="77777777" w:rsidR="00E040FD" w:rsidRDefault="00E040FD">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5682" w14:textId="77777777" w:rsidR="00E040FD" w:rsidRDefault="00E040FD">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EF45" w14:textId="77777777" w:rsidR="00E040FD" w:rsidRDefault="00E040FD">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2283" w14:textId="77777777" w:rsidR="00E040FD" w:rsidRDefault="00E040FD">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AFD4" w14:textId="77777777" w:rsidR="00E040FD" w:rsidRDefault="00E040F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F86B" w14:textId="77777777" w:rsidR="00E040FD" w:rsidRDefault="00E040FD">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8B30" w14:textId="77777777" w:rsidR="00E040FD" w:rsidRDefault="00E040FD">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F833" w14:textId="77777777" w:rsidR="00E040FD" w:rsidRDefault="00E040FD">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421B" w14:textId="77777777" w:rsidR="00E040FD" w:rsidRDefault="00E040FD">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132F" w14:textId="77777777" w:rsidR="00E040FD" w:rsidRDefault="00E040FD">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3FC9" w14:textId="77777777" w:rsidR="00E040FD" w:rsidRDefault="00E040FD">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0AC6D" w14:textId="77777777" w:rsidR="00E040FD" w:rsidRDefault="00E040FD">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58A8" w14:textId="77777777" w:rsidR="00E040FD" w:rsidRDefault="00E040FD">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450E" w14:textId="77777777" w:rsidR="00E040FD" w:rsidRDefault="00E040FD">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DBE5" w14:textId="77777777" w:rsidR="00E040FD" w:rsidRDefault="00E040FD">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A42D" w14:textId="77777777" w:rsidR="00E040FD" w:rsidRDefault="00E040F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1AA0" w14:textId="77777777" w:rsidR="00E040FD" w:rsidRDefault="00E040FD">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B720" w14:textId="77777777" w:rsidR="00E040FD" w:rsidRDefault="00E040FD">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A31D" w14:textId="77777777" w:rsidR="00E040FD" w:rsidRDefault="00E040FD">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CB87" w14:textId="77777777" w:rsidR="00E040FD" w:rsidRDefault="00E040FD">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866D" w14:textId="77777777" w:rsidR="00E040FD" w:rsidRDefault="00E040FD">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770DF" w14:textId="77777777" w:rsidR="00E040FD" w:rsidRDefault="00E040FD">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EB748" w14:textId="77777777" w:rsidR="00E040FD" w:rsidRDefault="00E040FD">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44AE" w14:textId="77777777" w:rsidR="00E040FD" w:rsidRDefault="00E040FD">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5A93" w14:textId="77777777" w:rsidR="00E040FD" w:rsidRDefault="00E040FD">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6726" w14:textId="77777777" w:rsidR="00E040FD" w:rsidRDefault="00E040FD">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0B7DF" w14:textId="77777777" w:rsidR="00E040FD" w:rsidRDefault="00E040F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CA62" w14:textId="77777777" w:rsidR="00E040FD" w:rsidRDefault="00E040FD">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D57C" w14:textId="77777777" w:rsidR="00E040FD" w:rsidRDefault="00E040FD">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2D3D" w14:textId="77777777" w:rsidR="00E040FD" w:rsidRDefault="00E040FD">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A90E" w14:textId="77777777" w:rsidR="00E040FD" w:rsidRDefault="00E040FD">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D0B8" w14:textId="77777777" w:rsidR="00E040FD" w:rsidRDefault="00E040FD">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D044" w14:textId="77777777" w:rsidR="00E040FD" w:rsidRDefault="00E040FD">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8225" w14:textId="77777777" w:rsidR="00E040FD" w:rsidRDefault="00E040FD">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A6BA" w14:textId="77777777" w:rsidR="00E040FD" w:rsidRDefault="00E040FD">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E298E" w14:textId="77777777" w:rsidR="00E040FD" w:rsidRDefault="00E040FD">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6781" w14:textId="77777777" w:rsidR="00E040FD" w:rsidRDefault="00E040FD">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5563" w14:textId="77777777" w:rsidR="00E040FD" w:rsidRDefault="00E040F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D2EF" w14:textId="77777777" w:rsidR="00E040FD" w:rsidRDefault="00E040FD">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F637" w14:textId="77777777" w:rsidR="00E040FD" w:rsidRDefault="00E040FD">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250D" w14:textId="77777777" w:rsidR="00E040FD" w:rsidRDefault="00E040FD">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7438" w14:textId="77777777" w:rsidR="00E040FD" w:rsidRDefault="00E040FD">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B3CA" w14:textId="77777777" w:rsidR="00E040FD" w:rsidRDefault="00E040FD">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D82A" w14:textId="77777777" w:rsidR="00E040FD" w:rsidRDefault="00E040FD">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B922" w14:textId="77777777" w:rsidR="00E040FD" w:rsidRDefault="00E040FD">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81FE" w14:textId="77777777" w:rsidR="00E040FD" w:rsidRDefault="00E040FD">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2D1C" w14:textId="77777777" w:rsidR="00E040FD" w:rsidRDefault="00E040FD">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39A6" w14:textId="77777777" w:rsidR="00E040FD" w:rsidRDefault="00E040FD">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FEBF" w14:textId="77777777" w:rsidR="00E040FD" w:rsidRDefault="00E040F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A26F" w14:textId="77777777" w:rsidR="00E040FD" w:rsidRDefault="00E040FD">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7B59" w14:textId="77777777" w:rsidR="00E040FD" w:rsidRDefault="00E040FD">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728E" w14:textId="77777777" w:rsidR="00E040FD" w:rsidRDefault="00E040FD">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0B2F" w14:textId="77777777" w:rsidR="00E040FD" w:rsidRDefault="00E040FD">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09A8" w14:textId="77777777" w:rsidR="00E040FD" w:rsidRDefault="00E040FD">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07A1" w14:textId="77777777" w:rsidR="00E040FD" w:rsidRDefault="00E040FD">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ECA3" w14:textId="77777777" w:rsidR="00E040FD" w:rsidRDefault="00E040FD">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DB52" w14:textId="77777777" w:rsidR="00E040FD" w:rsidRDefault="00E040FD">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05A9" w14:textId="77777777" w:rsidR="00E040FD" w:rsidRDefault="00E040FD">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F2904" w14:textId="77777777" w:rsidR="00E040FD" w:rsidRDefault="00E040FD">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033E" w14:textId="77777777" w:rsidR="00E040FD" w:rsidRDefault="00E040F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AF2A" w14:textId="77777777" w:rsidR="00FD5608" w:rsidRDefault="00FD5608">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54BC" w14:textId="77777777" w:rsidR="00E040FD" w:rsidRDefault="00E040FD">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19F9" w14:textId="77777777" w:rsidR="00E040FD" w:rsidRDefault="00E040FD">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43F7" w14:textId="77777777" w:rsidR="00E040FD" w:rsidRDefault="00E04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B828" w14:textId="77777777" w:rsidR="00FE5799" w:rsidRPr="00FE5799" w:rsidRDefault="00FE5799" w:rsidP="00FE5799">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20EB" w14:textId="77777777" w:rsidR="00FD5608" w:rsidRDefault="00FD560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A8A4" w14:textId="77777777" w:rsidR="00FD5608" w:rsidRDefault="00FD560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DDDB" w14:textId="77777777" w:rsidR="00E040FD" w:rsidRDefault="00E040F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4777" w14:textId="77777777" w:rsidR="00E040FD" w:rsidRDefault="00E040F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36C8" w14:textId="77777777" w:rsidR="00E040FD" w:rsidRDefault="00E040F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7C6F" w14:textId="77777777" w:rsidR="00E040FD" w:rsidRDefault="00E040F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73D9F" w14:textId="77777777" w:rsidR="00E040FD" w:rsidRDefault="00E040F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0942" w14:textId="77777777" w:rsidR="00E040FD" w:rsidRDefault="00E040F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F32A" w14:textId="77777777" w:rsidR="00E040FD" w:rsidRDefault="00E040F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A12F" w14:textId="77777777" w:rsidR="00E040FD" w:rsidRDefault="00E04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53318" w14:textId="77777777" w:rsidR="00FE5799" w:rsidRPr="00FE5799" w:rsidRDefault="00FE5799" w:rsidP="00FE5799">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82F4" w14:textId="77777777" w:rsidR="00E040FD" w:rsidRDefault="00E040F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224F" w14:textId="77777777" w:rsidR="00E040FD" w:rsidRDefault="00E040F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77E7" w14:textId="77777777" w:rsidR="00E040FD" w:rsidRDefault="00E040F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9350" w14:textId="77777777" w:rsidR="00E040FD" w:rsidRDefault="00E040F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D4E8" w14:textId="77777777" w:rsidR="00E040FD" w:rsidRDefault="00E040F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8F10" w14:textId="77777777" w:rsidR="00E040FD" w:rsidRDefault="00E040F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DB30" w14:textId="77777777" w:rsidR="00E040FD" w:rsidRDefault="00E040F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93A6" w14:textId="77777777" w:rsidR="00E040FD" w:rsidRDefault="00E040F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CF74" w14:textId="77777777" w:rsidR="00E040FD" w:rsidRDefault="00E040F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F793" w14:textId="77777777" w:rsidR="00E040FD" w:rsidRDefault="00E040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4584" w14:textId="77777777" w:rsidR="00E040FD" w:rsidRDefault="00E040F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3B4EF" w14:textId="77777777" w:rsidR="00E040FD" w:rsidRDefault="00E040F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D9AC" w14:textId="77777777" w:rsidR="00E040FD" w:rsidRDefault="00E040F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D491" w14:textId="77777777" w:rsidR="00E040FD" w:rsidRDefault="00E040F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7821" w14:textId="77777777" w:rsidR="00E040FD" w:rsidRDefault="00E040FD">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EAE9" w14:textId="77777777" w:rsidR="00E040FD" w:rsidRDefault="00E040F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A868" w14:textId="77777777" w:rsidR="00E040FD" w:rsidRDefault="00E040F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D584" w14:textId="77777777" w:rsidR="00E040FD" w:rsidRDefault="00E040FD">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F77A" w14:textId="77777777" w:rsidR="00E040FD" w:rsidRDefault="00E040F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AC8F" w14:textId="77777777" w:rsidR="00E040FD" w:rsidRDefault="00E040FD">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29F0" w14:textId="77777777" w:rsidR="00E040FD" w:rsidRDefault="00E040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A92B" w14:textId="77777777" w:rsidR="00E040FD" w:rsidRDefault="00E040F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42A0" w14:textId="77777777" w:rsidR="00E040FD" w:rsidRDefault="00E040F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0269" w14:textId="77777777" w:rsidR="00E040FD" w:rsidRDefault="00E040FD">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71B2" w14:textId="77777777" w:rsidR="00E040FD" w:rsidRDefault="00E040FD">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79D1" w14:textId="77777777" w:rsidR="00E040FD" w:rsidRDefault="00E040F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858B" w14:textId="77777777" w:rsidR="00E040FD" w:rsidRDefault="00E040FD">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A12D" w14:textId="77777777" w:rsidR="00E040FD" w:rsidRDefault="00E040FD">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0596" w14:textId="77777777" w:rsidR="00E040FD" w:rsidRDefault="00E040FD">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B726" w14:textId="77777777" w:rsidR="00E040FD" w:rsidRDefault="00E040FD">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507AE" w14:textId="77777777" w:rsidR="00E040FD" w:rsidRDefault="00E040FD">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4CE1" w14:textId="77777777" w:rsidR="00E040FD" w:rsidRDefault="00E040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6762D" w14:textId="77777777" w:rsidR="00E040FD" w:rsidRDefault="00E040FD">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A0CB" w14:textId="77777777" w:rsidR="00E040FD" w:rsidRDefault="00E040FD">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F58FF" w14:textId="77777777" w:rsidR="00E040FD" w:rsidRDefault="00E040FD">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A092" w14:textId="77777777" w:rsidR="00E040FD" w:rsidRDefault="00E040FD">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847C" w14:textId="77777777" w:rsidR="00E040FD" w:rsidRDefault="00E040FD">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D52B" w14:textId="77777777" w:rsidR="00E040FD" w:rsidRDefault="00E040FD">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05E5" w14:textId="77777777" w:rsidR="00E040FD" w:rsidRDefault="00E040FD">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E32A9" w14:textId="77777777" w:rsidR="00E040FD" w:rsidRDefault="00E040FD">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465A" w14:textId="77777777" w:rsidR="00E040FD" w:rsidRDefault="00E040FD">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4D111" w14:textId="77777777" w:rsidR="00E040FD" w:rsidRDefault="00E040FD">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D576" w14:textId="77777777" w:rsidR="00E040FD" w:rsidRDefault="00E040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C0CB" w14:textId="77777777" w:rsidR="00FD5608" w:rsidRDefault="00FD5608">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C6C1" w14:textId="77777777" w:rsidR="00E040FD" w:rsidRDefault="00E040FD">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175B" w14:textId="77777777" w:rsidR="00E040FD" w:rsidRDefault="00E040FD">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AED7" w14:textId="77777777" w:rsidR="00E040FD" w:rsidRDefault="00E040FD">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63C7" w14:textId="77777777" w:rsidR="00E040FD" w:rsidRDefault="00E040FD">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D838B" w14:textId="77777777" w:rsidR="00E040FD" w:rsidRDefault="00E040FD">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3AB4" w14:textId="77777777" w:rsidR="00E040FD" w:rsidRDefault="00E040FD">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C8A8" w14:textId="77777777" w:rsidR="00E040FD" w:rsidRDefault="00E040FD">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F6C0" w14:textId="77777777" w:rsidR="00E040FD" w:rsidRDefault="00E040FD">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2196" w14:textId="77777777" w:rsidR="00E040FD" w:rsidRDefault="00E040FD">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6D0D7" w14:textId="77777777" w:rsidR="00E040FD" w:rsidRDefault="00E040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A319D" w14:textId="77777777" w:rsidR="00FD5608" w:rsidRDefault="00FD5608">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ED4CB" w14:textId="77777777" w:rsidR="00E040FD" w:rsidRDefault="00E040FD">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DDB9" w14:textId="77777777" w:rsidR="00E040FD" w:rsidRDefault="00E040FD">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1991" w14:textId="77777777" w:rsidR="00E040FD" w:rsidRDefault="00E040FD">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C4B4D" w14:textId="77777777" w:rsidR="00E040FD" w:rsidRDefault="00E040FD">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2570" w14:textId="77777777" w:rsidR="00E040FD" w:rsidRDefault="00E040FD">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3226" w14:textId="77777777" w:rsidR="00E040FD" w:rsidRDefault="00E040FD">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3C44" w14:textId="77777777" w:rsidR="00E040FD" w:rsidRDefault="00E040FD">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3BA2" w14:textId="77777777" w:rsidR="00E040FD" w:rsidRDefault="00E040FD">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9537" w14:textId="77777777" w:rsidR="00E040FD" w:rsidRDefault="00E040FD">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3420" w14:textId="77777777" w:rsidR="00E040FD" w:rsidRDefault="00E040F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BCB3" w14:textId="77777777" w:rsidR="00FD5608" w:rsidRDefault="00FD5608">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EA38" w14:textId="77777777" w:rsidR="00E040FD" w:rsidRDefault="00E040FD">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F88D" w14:textId="77777777" w:rsidR="00FD5608" w:rsidRDefault="00FD5608">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B195" w14:textId="77777777" w:rsidR="00FD5608" w:rsidRDefault="00FD5608">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EC594" w14:textId="77777777" w:rsidR="00FD5608" w:rsidRDefault="00FD5608">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C8D1" w14:textId="77777777" w:rsidR="00FD5608" w:rsidRDefault="00FD5608">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B92A" w14:textId="77777777" w:rsidR="00FD5608" w:rsidRDefault="00FD5608">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2632" w14:textId="77777777" w:rsidR="00FD5608" w:rsidRDefault="00FD5608">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F3166" w14:textId="77777777" w:rsidR="00FD5608" w:rsidRDefault="00FD5608">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F7574" w14:textId="77777777" w:rsidR="00FD5608" w:rsidRDefault="00FD5608">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DF8BE" w14:textId="77777777" w:rsidR="00FD5608" w:rsidRDefault="00FD5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2091B"/>
    <w:multiLevelType w:val="hybridMultilevel"/>
    <w:tmpl w:val="0BDC60C2"/>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9868A0"/>
    <w:multiLevelType w:val="hybridMultilevel"/>
    <w:tmpl w:val="32C2A908"/>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EC3743"/>
    <w:multiLevelType w:val="hybridMultilevel"/>
    <w:tmpl w:val="1E7E21BE"/>
    <w:lvl w:ilvl="0" w:tplc="F9B098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BD3768"/>
    <w:multiLevelType w:val="hybridMultilevel"/>
    <w:tmpl w:val="FFFFFFFF"/>
    <w:lvl w:ilvl="0" w:tplc="DDF0C67C">
      <w:start w:val="8"/>
      <w:numFmt w:val="decimal"/>
      <w:lvlText w:val="%1."/>
      <w:lvlJc w:val="left"/>
      <w:pPr>
        <w:ind w:left="720" w:hanging="360"/>
      </w:pPr>
      <w:rPr>
        <w:rFonts w:ascii="Calibri" w:hAnsi="Calibri" w:hint="default"/>
      </w:rPr>
    </w:lvl>
    <w:lvl w:ilvl="1" w:tplc="38E8673E">
      <w:start w:val="1"/>
      <w:numFmt w:val="lowerLetter"/>
      <w:lvlText w:val="%2."/>
      <w:lvlJc w:val="left"/>
      <w:pPr>
        <w:ind w:left="1440" w:hanging="360"/>
      </w:pPr>
    </w:lvl>
    <w:lvl w:ilvl="2" w:tplc="33E8910E">
      <w:start w:val="1"/>
      <w:numFmt w:val="lowerRoman"/>
      <w:lvlText w:val="%3."/>
      <w:lvlJc w:val="right"/>
      <w:pPr>
        <w:ind w:left="2160" w:hanging="180"/>
      </w:pPr>
    </w:lvl>
    <w:lvl w:ilvl="3" w:tplc="50B22B8C">
      <w:start w:val="1"/>
      <w:numFmt w:val="decimal"/>
      <w:lvlText w:val="%4."/>
      <w:lvlJc w:val="left"/>
      <w:pPr>
        <w:ind w:left="2880" w:hanging="360"/>
      </w:pPr>
    </w:lvl>
    <w:lvl w:ilvl="4" w:tplc="090C8E02">
      <w:start w:val="1"/>
      <w:numFmt w:val="lowerLetter"/>
      <w:lvlText w:val="%5."/>
      <w:lvlJc w:val="left"/>
      <w:pPr>
        <w:ind w:left="3600" w:hanging="360"/>
      </w:pPr>
    </w:lvl>
    <w:lvl w:ilvl="5" w:tplc="8660A99C">
      <w:start w:val="1"/>
      <w:numFmt w:val="lowerRoman"/>
      <w:lvlText w:val="%6."/>
      <w:lvlJc w:val="right"/>
      <w:pPr>
        <w:ind w:left="4320" w:hanging="180"/>
      </w:pPr>
    </w:lvl>
    <w:lvl w:ilvl="6" w:tplc="6DE691CE">
      <w:start w:val="1"/>
      <w:numFmt w:val="decimal"/>
      <w:lvlText w:val="%7."/>
      <w:lvlJc w:val="left"/>
      <w:pPr>
        <w:ind w:left="5040" w:hanging="360"/>
      </w:pPr>
    </w:lvl>
    <w:lvl w:ilvl="7" w:tplc="282EBCCE">
      <w:start w:val="1"/>
      <w:numFmt w:val="lowerLetter"/>
      <w:lvlText w:val="%8."/>
      <w:lvlJc w:val="left"/>
      <w:pPr>
        <w:ind w:left="5760" w:hanging="360"/>
      </w:pPr>
    </w:lvl>
    <w:lvl w:ilvl="8" w:tplc="CE7018EC">
      <w:start w:val="1"/>
      <w:numFmt w:val="lowerRoman"/>
      <w:lvlText w:val="%9."/>
      <w:lvlJc w:val="right"/>
      <w:pPr>
        <w:ind w:left="6480" w:hanging="180"/>
      </w:pPr>
    </w:lvl>
  </w:abstractNum>
  <w:abstractNum w:abstractNumId="8" w15:restartNumberingAfterBreak="0">
    <w:nsid w:val="0507090B"/>
    <w:multiLevelType w:val="hybridMultilevel"/>
    <w:tmpl w:val="22E61F54"/>
    <w:lvl w:ilvl="0" w:tplc="FFFFFFFF">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Yu Mincho Light" w:hAnsi="Yu Mincho Light" w:cs="Yu Mincho Light" w:hint="default"/>
      </w:rPr>
    </w:lvl>
    <w:lvl w:ilvl="2" w:tplc="18090005" w:tentative="1">
      <w:start w:val="1"/>
      <w:numFmt w:val="bullet"/>
      <w:lvlText w:val=""/>
      <w:lvlJc w:val="left"/>
      <w:pPr>
        <w:ind w:left="2220" w:hanging="360"/>
      </w:pPr>
      <w:rPr>
        <w:rFonts w:ascii="MS Mincho" w:hAnsi="MS Mincho" w:hint="default"/>
      </w:rPr>
    </w:lvl>
    <w:lvl w:ilvl="3" w:tplc="18090001" w:tentative="1">
      <w:start w:val="1"/>
      <w:numFmt w:val="bullet"/>
      <w:lvlText w:val=""/>
      <w:lvlJc w:val="left"/>
      <w:pPr>
        <w:ind w:left="2940" w:hanging="360"/>
      </w:pPr>
      <w:rPr>
        <w:rFonts w:ascii="MS Mincho" w:hAnsi="MS Mincho" w:hint="default"/>
      </w:rPr>
    </w:lvl>
    <w:lvl w:ilvl="4" w:tplc="18090003" w:tentative="1">
      <w:start w:val="1"/>
      <w:numFmt w:val="bullet"/>
      <w:lvlText w:val="o"/>
      <w:lvlJc w:val="left"/>
      <w:pPr>
        <w:ind w:left="3660" w:hanging="360"/>
      </w:pPr>
      <w:rPr>
        <w:rFonts w:ascii="Yu Mincho Light" w:hAnsi="Yu Mincho Light" w:cs="Yu Mincho Light" w:hint="default"/>
      </w:rPr>
    </w:lvl>
    <w:lvl w:ilvl="5" w:tplc="18090005" w:tentative="1">
      <w:start w:val="1"/>
      <w:numFmt w:val="bullet"/>
      <w:lvlText w:val=""/>
      <w:lvlJc w:val="left"/>
      <w:pPr>
        <w:ind w:left="4380" w:hanging="360"/>
      </w:pPr>
      <w:rPr>
        <w:rFonts w:ascii="MS Mincho" w:hAnsi="MS Mincho" w:hint="default"/>
      </w:rPr>
    </w:lvl>
    <w:lvl w:ilvl="6" w:tplc="18090001" w:tentative="1">
      <w:start w:val="1"/>
      <w:numFmt w:val="bullet"/>
      <w:lvlText w:val=""/>
      <w:lvlJc w:val="left"/>
      <w:pPr>
        <w:ind w:left="5100" w:hanging="360"/>
      </w:pPr>
      <w:rPr>
        <w:rFonts w:ascii="MS Mincho" w:hAnsi="MS Mincho" w:hint="default"/>
      </w:rPr>
    </w:lvl>
    <w:lvl w:ilvl="7" w:tplc="18090003" w:tentative="1">
      <w:start w:val="1"/>
      <w:numFmt w:val="bullet"/>
      <w:lvlText w:val="o"/>
      <w:lvlJc w:val="left"/>
      <w:pPr>
        <w:ind w:left="5820" w:hanging="360"/>
      </w:pPr>
      <w:rPr>
        <w:rFonts w:ascii="Yu Mincho Light" w:hAnsi="Yu Mincho Light" w:cs="Yu Mincho Light" w:hint="default"/>
      </w:rPr>
    </w:lvl>
    <w:lvl w:ilvl="8" w:tplc="18090005" w:tentative="1">
      <w:start w:val="1"/>
      <w:numFmt w:val="bullet"/>
      <w:lvlText w:val=""/>
      <w:lvlJc w:val="left"/>
      <w:pPr>
        <w:ind w:left="6540" w:hanging="360"/>
      </w:pPr>
      <w:rPr>
        <w:rFonts w:ascii="MS Mincho" w:hAnsi="MS Mincho" w:hint="default"/>
      </w:rPr>
    </w:lvl>
  </w:abstractNum>
  <w:abstractNum w:abstractNumId="9" w15:restartNumberingAfterBreak="0">
    <w:nsid w:val="0853DD90"/>
    <w:multiLevelType w:val="hybridMultilevel"/>
    <w:tmpl w:val="FFFFFFFF"/>
    <w:lvl w:ilvl="0" w:tplc="9B86F24C">
      <w:start w:val="1"/>
      <w:numFmt w:val="bullet"/>
      <w:lvlText w:val="-"/>
      <w:lvlJc w:val="left"/>
      <w:pPr>
        <w:ind w:left="720" w:hanging="360"/>
      </w:pPr>
      <w:rPr>
        <w:rFonts w:ascii="Arial" w:hAnsi="Arial" w:hint="default"/>
      </w:rPr>
    </w:lvl>
    <w:lvl w:ilvl="1" w:tplc="0C4E7CFA">
      <w:start w:val="1"/>
      <w:numFmt w:val="bullet"/>
      <w:lvlText w:val="o"/>
      <w:lvlJc w:val="left"/>
      <w:pPr>
        <w:ind w:left="1440" w:hanging="360"/>
      </w:pPr>
      <w:rPr>
        <w:rFonts w:ascii="Segoe UI Emoji" w:hAnsi="Segoe UI Emoji" w:hint="default"/>
      </w:rPr>
    </w:lvl>
    <w:lvl w:ilvl="2" w:tplc="21EE2022">
      <w:start w:val="1"/>
      <w:numFmt w:val="bullet"/>
      <w:lvlText w:val=""/>
      <w:lvlJc w:val="left"/>
      <w:pPr>
        <w:ind w:left="2160" w:hanging="360"/>
      </w:pPr>
      <w:rPr>
        <w:rFonts w:ascii="@MS Mincho" w:hAnsi="@MS Mincho" w:hint="default"/>
      </w:rPr>
    </w:lvl>
    <w:lvl w:ilvl="3" w:tplc="F8FA31DA">
      <w:start w:val="1"/>
      <w:numFmt w:val="bullet"/>
      <w:lvlText w:val=""/>
      <w:lvlJc w:val="left"/>
      <w:pPr>
        <w:ind w:left="2880" w:hanging="360"/>
      </w:pPr>
      <w:rPr>
        <w:rFonts w:ascii="Times New Roman félkövér" w:hAnsi="Times New Roman félkövér" w:hint="default"/>
      </w:rPr>
    </w:lvl>
    <w:lvl w:ilvl="4" w:tplc="045A305A">
      <w:start w:val="1"/>
      <w:numFmt w:val="bullet"/>
      <w:lvlText w:val="o"/>
      <w:lvlJc w:val="left"/>
      <w:pPr>
        <w:ind w:left="3600" w:hanging="360"/>
      </w:pPr>
      <w:rPr>
        <w:rFonts w:ascii="Segoe UI Emoji" w:hAnsi="Segoe UI Emoji" w:hint="default"/>
      </w:rPr>
    </w:lvl>
    <w:lvl w:ilvl="5" w:tplc="74125AAE">
      <w:start w:val="1"/>
      <w:numFmt w:val="bullet"/>
      <w:lvlText w:val=""/>
      <w:lvlJc w:val="left"/>
      <w:pPr>
        <w:ind w:left="4320" w:hanging="360"/>
      </w:pPr>
      <w:rPr>
        <w:rFonts w:ascii="@MS Mincho" w:hAnsi="@MS Mincho" w:hint="default"/>
      </w:rPr>
    </w:lvl>
    <w:lvl w:ilvl="6" w:tplc="2E8C3324">
      <w:start w:val="1"/>
      <w:numFmt w:val="bullet"/>
      <w:lvlText w:val=""/>
      <w:lvlJc w:val="left"/>
      <w:pPr>
        <w:ind w:left="5040" w:hanging="360"/>
      </w:pPr>
      <w:rPr>
        <w:rFonts w:ascii="Times New Roman félkövér" w:hAnsi="Times New Roman félkövér" w:hint="default"/>
      </w:rPr>
    </w:lvl>
    <w:lvl w:ilvl="7" w:tplc="6AD0341A">
      <w:start w:val="1"/>
      <w:numFmt w:val="bullet"/>
      <w:lvlText w:val="o"/>
      <w:lvlJc w:val="left"/>
      <w:pPr>
        <w:ind w:left="5760" w:hanging="360"/>
      </w:pPr>
      <w:rPr>
        <w:rFonts w:ascii="Segoe UI Emoji" w:hAnsi="Segoe UI Emoji" w:hint="default"/>
      </w:rPr>
    </w:lvl>
    <w:lvl w:ilvl="8" w:tplc="53ECFD58">
      <w:start w:val="1"/>
      <w:numFmt w:val="bullet"/>
      <w:lvlText w:val=""/>
      <w:lvlJc w:val="left"/>
      <w:pPr>
        <w:ind w:left="6480" w:hanging="360"/>
      </w:pPr>
      <w:rPr>
        <w:rFonts w:ascii="@MS Mincho" w:hAnsi="@MS Mincho" w:hint="default"/>
      </w:rPr>
    </w:lvl>
  </w:abstractNum>
  <w:abstractNum w:abstractNumId="10" w15:restartNumberingAfterBreak="0">
    <w:nsid w:val="0B7071AF"/>
    <w:multiLevelType w:val="hybridMultilevel"/>
    <w:tmpl w:val="338CE26C"/>
    <w:lvl w:ilvl="0" w:tplc="991C3E1E">
      <w:start w:val="1"/>
      <w:numFmt w:val="bullet"/>
      <w:lvlText w:val="-"/>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0B9A3F81"/>
    <w:multiLevelType w:val="hybridMultilevel"/>
    <w:tmpl w:val="E17CE6DE"/>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C583D17"/>
    <w:multiLevelType w:val="hybridMultilevel"/>
    <w:tmpl w:val="B372B45A"/>
    <w:lvl w:ilvl="0" w:tplc="5EC66656">
      <w:start w:val="1"/>
      <w:numFmt w:val="bullet"/>
      <w:lvlText w:val=""/>
      <w:lvlJc w:val="left"/>
      <w:pPr>
        <w:ind w:left="720" w:hanging="360"/>
      </w:pPr>
      <w:rPr>
        <w:rFonts w:ascii="Symbol" w:hAnsi="Symbol"/>
      </w:rPr>
    </w:lvl>
    <w:lvl w:ilvl="1" w:tplc="6C1E4D28">
      <w:start w:val="1"/>
      <w:numFmt w:val="bullet"/>
      <w:lvlText w:val=""/>
      <w:lvlJc w:val="left"/>
      <w:pPr>
        <w:ind w:left="720" w:hanging="360"/>
      </w:pPr>
      <w:rPr>
        <w:rFonts w:ascii="Symbol" w:hAnsi="Symbol"/>
      </w:rPr>
    </w:lvl>
    <w:lvl w:ilvl="2" w:tplc="48B6CD7C">
      <w:start w:val="1"/>
      <w:numFmt w:val="bullet"/>
      <w:lvlText w:val=""/>
      <w:lvlJc w:val="left"/>
      <w:pPr>
        <w:ind w:left="720" w:hanging="360"/>
      </w:pPr>
      <w:rPr>
        <w:rFonts w:ascii="Symbol" w:hAnsi="Symbol"/>
      </w:rPr>
    </w:lvl>
    <w:lvl w:ilvl="3" w:tplc="8804AAEA">
      <w:start w:val="1"/>
      <w:numFmt w:val="bullet"/>
      <w:lvlText w:val=""/>
      <w:lvlJc w:val="left"/>
      <w:pPr>
        <w:ind w:left="720" w:hanging="360"/>
      </w:pPr>
      <w:rPr>
        <w:rFonts w:ascii="Symbol" w:hAnsi="Symbol"/>
      </w:rPr>
    </w:lvl>
    <w:lvl w:ilvl="4" w:tplc="7FBE0D5E">
      <w:start w:val="1"/>
      <w:numFmt w:val="bullet"/>
      <w:lvlText w:val=""/>
      <w:lvlJc w:val="left"/>
      <w:pPr>
        <w:ind w:left="720" w:hanging="360"/>
      </w:pPr>
      <w:rPr>
        <w:rFonts w:ascii="Symbol" w:hAnsi="Symbol"/>
      </w:rPr>
    </w:lvl>
    <w:lvl w:ilvl="5" w:tplc="55204034">
      <w:start w:val="1"/>
      <w:numFmt w:val="bullet"/>
      <w:lvlText w:val=""/>
      <w:lvlJc w:val="left"/>
      <w:pPr>
        <w:ind w:left="720" w:hanging="360"/>
      </w:pPr>
      <w:rPr>
        <w:rFonts w:ascii="Symbol" w:hAnsi="Symbol"/>
      </w:rPr>
    </w:lvl>
    <w:lvl w:ilvl="6" w:tplc="75747AF4">
      <w:start w:val="1"/>
      <w:numFmt w:val="bullet"/>
      <w:lvlText w:val=""/>
      <w:lvlJc w:val="left"/>
      <w:pPr>
        <w:ind w:left="720" w:hanging="360"/>
      </w:pPr>
      <w:rPr>
        <w:rFonts w:ascii="Symbol" w:hAnsi="Symbol"/>
      </w:rPr>
    </w:lvl>
    <w:lvl w:ilvl="7" w:tplc="5A6C7638">
      <w:start w:val="1"/>
      <w:numFmt w:val="bullet"/>
      <w:lvlText w:val=""/>
      <w:lvlJc w:val="left"/>
      <w:pPr>
        <w:ind w:left="720" w:hanging="360"/>
      </w:pPr>
      <w:rPr>
        <w:rFonts w:ascii="Symbol" w:hAnsi="Symbol"/>
      </w:rPr>
    </w:lvl>
    <w:lvl w:ilvl="8" w:tplc="DB141560">
      <w:start w:val="1"/>
      <w:numFmt w:val="bullet"/>
      <w:lvlText w:val=""/>
      <w:lvlJc w:val="left"/>
      <w:pPr>
        <w:ind w:left="720" w:hanging="360"/>
      </w:pPr>
      <w:rPr>
        <w:rFonts w:ascii="Symbol" w:hAnsi="Symbol"/>
      </w:rPr>
    </w:lvl>
  </w:abstractNum>
  <w:abstractNum w:abstractNumId="13" w15:restartNumberingAfterBreak="0">
    <w:nsid w:val="0C681D4E"/>
    <w:multiLevelType w:val="hybridMultilevel"/>
    <w:tmpl w:val="4E964226"/>
    <w:lvl w:ilvl="0" w:tplc="1430B2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90CBC6"/>
    <w:multiLevelType w:val="hybridMultilevel"/>
    <w:tmpl w:val="FFFFFFFF"/>
    <w:lvl w:ilvl="0" w:tplc="5762C3A6">
      <w:start w:val="1"/>
      <w:numFmt w:val="bullet"/>
      <w:lvlText w:val=""/>
      <w:lvlJc w:val="left"/>
      <w:pPr>
        <w:ind w:left="720" w:hanging="360"/>
      </w:pPr>
      <w:rPr>
        <w:rFonts w:ascii="Symbol" w:hAnsi="Symbol" w:hint="default"/>
      </w:rPr>
    </w:lvl>
    <w:lvl w:ilvl="1" w:tplc="523C60EA">
      <w:start w:val="1"/>
      <w:numFmt w:val="bullet"/>
      <w:lvlText w:val="o"/>
      <w:lvlJc w:val="left"/>
      <w:pPr>
        <w:ind w:left="1440" w:hanging="360"/>
      </w:pPr>
      <w:rPr>
        <w:rFonts w:ascii="Courier New" w:hAnsi="Courier New" w:hint="default"/>
      </w:rPr>
    </w:lvl>
    <w:lvl w:ilvl="2" w:tplc="8BFA6B86">
      <w:start w:val="1"/>
      <w:numFmt w:val="bullet"/>
      <w:lvlText w:val=""/>
      <w:lvlJc w:val="left"/>
      <w:pPr>
        <w:ind w:left="2160" w:hanging="360"/>
      </w:pPr>
      <w:rPr>
        <w:rFonts w:ascii="Wingdings" w:hAnsi="Wingdings" w:hint="default"/>
      </w:rPr>
    </w:lvl>
    <w:lvl w:ilvl="3" w:tplc="8842B4AE">
      <w:start w:val="1"/>
      <w:numFmt w:val="bullet"/>
      <w:lvlText w:val=""/>
      <w:lvlJc w:val="left"/>
      <w:pPr>
        <w:ind w:left="2880" w:hanging="360"/>
      </w:pPr>
      <w:rPr>
        <w:rFonts w:ascii="Symbol" w:hAnsi="Symbol" w:hint="default"/>
      </w:rPr>
    </w:lvl>
    <w:lvl w:ilvl="4" w:tplc="04A0D452">
      <w:start w:val="1"/>
      <w:numFmt w:val="bullet"/>
      <w:lvlText w:val="o"/>
      <w:lvlJc w:val="left"/>
      <w:pPr>
        <w:ind w:left="3600" w:hanging="360"/>
      </w:pPr>
      <w:rPr>
        <w:rFonts w:ascii="Courier New" w:hAnsi="Courier New" w:hint="default"/>
      </w:rPr>
    </w:lvl>
    <w:lvl w:ilvl="5" w:tplc="04F21308">
      <w:start w:val="1"/>
      <w:numFmt w:val="bullet"/>
      <w:lvlText w:val=""/>
      <w:lvlJc w:val="left"/>
      <w:pPr>
        <w:ind w:left="4320" w:hanging="360"/>
      </w:pPr>
      <w:rPr>
        <w:rFonts w:ascii="Wingdings" w:hAnsi="Wingdings" w:hint="default"/>
      </w:rPr>
    </w:lvl>
    <w:lvl w:ilvl="6" w:tplc="8BB88B5C">
      <w:start w:val="1"/>
      <w:numFmt w:val="bullet"/>
      <w:lvlText w:val=""/>
      <w:lvlJc w:val="left"/>
      <w:pPr>
        <w:ind w:left="5040" w:hanging="360"/>
      </w:pPr>
      <w:rPr>
        <w:rFonts w:ascii="Symbol" w:hAnsi="Symbol" w:hint="default"/>
      </w:rPr>
    </w:lvl>
    <w:lvl w:ilvl="7" w:tplc="C3DE9168">
      <w:start w:val="1"/>
      <w:numFmt w:val="bullet"/>
      <w:lvlText w:val="o"/>
      <w:lvlJc w:val="left"/>
      <w:pPr>
        <w:ind w:left="5760" w:hanging="360"/>
      </w:pPr>
      <w:rPr>
        <w:rFonts w:ascii="Courier New" w:hAnsi="Courier New" w:hint="default"/>
      </w:rPr>
    </w:lvl>
    <w:lvl w:ilvl="8" w:tplc="CEE831A4">
      <w:start w:val="1"/>
      <w:numFmt w:val="bullet"/>
      <w:lvlText w:val=""/>
      <w:lvlJc w:val="left"/>
      <w:pPr>
        <w:ind w:left="6480" w:hanging="360"/>
      </w:pPr>
      <w:rPr>
        <w:rFonts w:ascii="Wingdings" w:hAnsi="Wingdings" w:hint="default"/>
      </w:rPr>
    </w:lvl>
  </w:abstractNum>
  <w:abstractNum w:abstractNumId="15" w15:restartNumberingAfterBreak="0">
    <w:nsid w:val="0C990D6D"/>
    <w:multiLevelType w:val="hybridMultilevel"/>
    <w:tmpl w:val="9AE27DC0"/>
    <w:lvl w:ilvl="0" w:tplc="18090001">
      <w:start w:val="1"/>
      <w:numFmt w:val="bullet"/>
      <w:lvlText w:val=""/>
      <w:lvlJc w:val="left"/>
      <w:pPr>
        <w:ind w:left="720" w:hanging="360"/>
      </w:pPr>
      <w:rPr>
        <w:rFonts w:ascii="Times New Roman félkövér" w:hAnsi="Times New Roman félkövér" w:hint="default"/>
      </w:rPr>
    </w:lvl>
    <w:lvl w:ilvl="1" w:tplc="18090003" w:tentative="1">
      <w:start w:val="1"/>
      <w:numFmt w:val="bullet"/>
      <w:lvlText w:val="o"/>
      <w:lvlJc w:val="left"/>
      <w:pPr>
        <w:ind w:left="1440" w:hanging="360"/>
      </w:pPr>
      <w:rPr>
        <w:rFonts w:ascii="@MS Mincho" w:hAnsi="@MS Mincho" w:cs="@MS Mincho" w:hint="default"/>
      </w:rPr>
    </w:lvl>
    <w:lvl w:ilvl="2" w:tplc="18090005" w:tentative="1">
      <w:start w:val="1"/>
      <w:numFmt w:val="bullet"/>
      <w:lvlText w:val=""/>
      <w:lvlJc w:val="left"/>
      <w:pPr>
        <w:ind w:left="2160" w:hanging="360"/>
      </w:pPr>
      <w:rPr>
        <w:rFonts w:ascii="MS Mincho" w:hAnsi="MS Mincho" w:hint="default"/>
      </w:rPr>
    </w:lvl>
    <w:lvl w:ilvl="3" w:tplc="18090001" w:tentative="1">
      <w:start w:val="1"/>
      <w:numFmt w:val="bullet"/>
      <w:lvlText w:val=""/>
      <w:lvlJc w:val="left"/>
      <w:pPr>
        <w:ind w:left="2880" w:hanging="360"/>
      </w:pPr>
      <w:rPr>
        <w:rFonts w:ascii="Times New Roman félkövér" w:hAnsi="Times New Roman félkövér" w:hint="default"/>
      </w:rPr>
    </w:lvl>
    <w:lvl w:ilvl="4" w:tplc="18090003" w:tentative="1">
      <w:start w:val="1"/>
      <w:numFmt w:val="bullet"/>
      <w:lvlText w:val="o"/>
      <w:lvlJc w:val="left"/>
      <w:pPr>
        <w:ind w:left="3600" w:hanging="360"/>
      </w:pPr>
      <w:rPr>
        <w:rFonts w:ascii="@MS Mincho" w:hAnsi="@MS Mincho" w:cs="@MS Mincho" w:hint="default"/>
      </w:rPr>
    </w:lvl>
    <w:lvl w:ilvl="5" w:tplc="18090005" w:tentative="1">
      <w:start w:val="1"/>
      <w:numFmt w:val="bullet"/>
      <w:lvlText w:val=""/>
      <w:lvlJc w:val="left"/>
      <w:pPr>
        <w:ind w:left="4320" w:hanging="360"/>
      </w:pPr>
      <w:rPr>
        <w:rFonts w:ascii="MS Mincho" w:hAnsi="MS Mincho" w:hint="default"/>
      </w:rPr>
    </w:lvl>
    <w:lvl w:ilvl="6" w:tplc="18090001" w:tentative="1">
      <w:start w:val="1"/>
      <w:numFmt w:val="bullet"/>
      <w:lvlText w:val=""/>
      <w:lvlJc w:val="left"/>
      <w:pPr>
        <w:ind w:left="5040" w:hanging="360"/>
      </w:pPr>
      <w:rPr>
        <w:rFonts w:ascii="Times New Roman félkövér" w:hAnsi="Times New Roman félkövér" w:hint="default"/>
      </w:rPr>
    </w:lvl>
    <w:lvl w:ilvl="7" w:tplc="18090003" w:tentative="1">
      <w:start w:val="1"/>
      <w:numFmt w:val="bullet"/>
      <w:lvlText w:val="o"/>
      <w:lvlJc w:val="left"/>
      <w:pPr>
        <w:ind w:left="5760" w:hanging="360"/>
      </w:pPr>
      <w:rPr>
        <w:rFonts w:ascii="@MS Mincho" w:hAnsi="@MS Mincho" w:cs="@MS Mincho" w:hint="default"/>
      </w:rPr>
    </w:lvl>
    <w:lvl w:ilvl="8" w:tplc="18090005" w:tentative="1">
      <w:start w:val="1"/>
      <w:numFmt w:val="bullet"/>
      <w:lvlText w:val=""/>
      <w:lvlJc w:val="left"/>
      <w:pPr>
        <w:ind w:left="6480" w:hanging="360"/>
      </w:pPr>
      <w:rPr>
        <w:rFonts w:ascii="MS Mincho" w:hAnsi="MS Mincho" w:hint="default"/>
      </w:rPr>
    </w:lvl>
  </w:abstractNum>
  <w:abstractNum w:abstractNumId="16" w15:restartNumberingAfterBreak="0">
    <w:nsid w:val="0DFD6381"/>
    <w:multiLevelType w:val="hybridMultilevel"/>
    <w:tmpl w:val="5FA6E936"/>
    <w:lvl w:ilvl="0" w:tplc="B2AC25C2">
      <w:numFmt w:val="bullet"/>
      <w:lvlText w:val=""/>
      <w:lvlJc w:val="left"/>
      <w:pPr>
        <w:ind w:left="1080" w:hanging="360"/>
      </w:pPr>
      <w:rPr>
        <w:rFonts w:ascii="Symbol" w:eastAsiaTheme="minorEastAsia" w:hAnsi="Symbol" w:cs="Times New Roman" w:hint="default"/>
      </w:rPr>
    </w:lvl>
    <w:lvl w:ilvl="1" w:tplc="FFFFFFFF" w:tentative="1">
      <w:start w:val="1"/>
      <w:numFmt w:val="bullet"/>
      <w:lvlText w:val="o"/>
      <w:lvlJc w:val="left"/>
      <w:pPr>
        <w:ind w:left="1800" w:hanging="360"/>
      </w:pPr>
      <w:rPr>
        <w:rFonts w:ascii="@MS Mincho" w:hAnsi="@MS Mincho" w:cs="@MS Mincho" w:hint="default"/>
      </w:rPr>
    </w:lvl>
    <w:lvl w:ilvl="2" w:tplc="FFFFFFFF" w:tentative="1">
      <w:start w:val="1"/>
      <w:numFmt w:val="bullet"/>
      <w:lvlText w:val=""/>
      <w:lvlJc w:val="left"/>
      <w:pPr>
        <w:ind w:left="2520" w:hanging="360"/>
      </w:pPr>
      <w:rPr>
        <w:rFonts w:ascii="MS Mincho" w:hAnsi="MS Mincho" w:hint="default"/>
      </w:rPr>
    </w:lvl>
    <w:lvl w:ilvl="3" w:tplc="FFFFFFFF" w:tentative="1">
      <w:start w:val="1"/>
      <w:numFmt w:val="bullet"/>
      <w:lvlText w:val=""/>
      <w:lvlJc w:val="left"/>
      <w:pPr>
        <w:ind w:left="3240" w:hanging="360"/>
      </w:pPr>
      <w:rPr>
        <w:rFonts w:ascii="Times New Roman félkövér" w:hAnsi="Times New Roman félkövér" w:hint="default"/>
      </w:rPr>
    </w:lvl>
    <w:lvl w:ilvl="4" w:tplc="FFFFFFFF" w:tentative="1">
      <w:start w:val="1"/>
      <w:numFmt w:val="bullet"/>
      <w:lvlText w:val="o"/>
      <w:lvlJc w:val="left"/>
      <w:pPr>
        <w:ind w:left="3960" w:hanging="360"/>
      </w:pPr>
      <w:rPr>
        <w:rFonts w:ascii="@MS Mincho" w:hAnsi="@MS Mincho" w:cs="@MS Mincho" w:hint="default"/>
      </w:rPr>
    </w:lvl>
    <w:lvl w:ilvl="5" w:tplc="FFFFFFFF" w:tentative="1">
      <w:start w:val="1"/>
      <w:numFmt w:val="bullet"/>
      <w:lvlText w:val=""/>
      <w:lvlJc w:val="left"/>
      <w:pPr>
        <w:ind w:left="4680" w:hanging="360"/>
      </w:pPr>
      <w:rPr>
        <w:rFonts w:ascii="MS Mincho" w:hAnsi="MS Mincho" w:hint="default"/>
      </w:rPr>
    </w:lvl>
    <w:lvl w:ilvl="6" w:tplc="FFFFFFFF" w:tentative="1">
      <w:start w:val="1"/>
      <w:numFmt w:val="bullet"/>
      <w:lvlText w:val=""/>
      <w:lvlJc w:val="left"/>
      <w:pPr>
        <w:ind w:left="5400" w:hanging="360"/>
      </w:pPr>
      <w:rPr>
        <w:rFonts w:ascii="Times New Roman félkövér" w:hAnsi="Times New Roman félkövér" w:hint="default"/>
      </w:rPr>
    </w:lvl>
    <w:lvl w:ilvl="7" w:tplc="FFFFFFFF" w:tentative="1">
      <w:start w:val="1"/>
      <w:numFmt w:val="bullet"/>
      <w:lvlText w:val="o"/>
      <w:lvlJc w:val="left"/>
      <w:pPr>
        <w:ind w:left="6120" w:hanging="360"/>
      </w:pPr>
      <w:rPr>
        <w:rFonts w:ascii="@MS Mincho" w:hAnsi="@MS Mincho" w:cs="@MS Mincho" w:hint="default"/>
      </w:rPr>
    </w:lvl>
    <w:lvl w:ilvl="8" w:tplc="FFFFFFFF" w:tentative="1">
      <w:start w:val="1"/>
      <w:numFmt w:val="bullet"/>
      <w:lvlText w:val=""/>
      <w:lvlJc w:val="left"/>
      <w:pPr>
        <w:ind w:left="6840" w:hanging="360"/>
      </w:pPr>
      <w:rPr>
        <w:rFonts w:ascii="MS Mincho" w:hAnsi="MS Mincho" w:hint="default"/>
      </w:rPr>
    </w:lvl>
  </w:abstractNum>
  <w:abstractNum w:abstractNumId="17" w15:restartNumberingAfterBreak="0">
    <w:nsid w:val="0E686556"/>
    <w:multiLevelType w:val="hybridMultilevel"/>
    <w:tmpl w:val="C554E2BA"/>
    <w:lvl w:ilvl="0" w:tplc="FFFFFFFF">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2AC25C2">
      <w:numFmt w:val="bullet"/>
      <w:lvlText w:val=""/>
      <w:lvlJc w:val="left"/>
      <w:pPr>
        <w:ind w:left="3600" w:hanging="720"/>
      </w:pPr>
      <w:rPr>
        <w:rFonts w:ascii="Symbol" w:eastAsiaTheme="minorEastAsia"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9FECC5"/>
    <w:multiLevelType w:val="hybridMultilevel"/>
    <w:tmpl w:val="FFFFFFFF"/>
    <w:lvl w:ilvl="0" w:tplc="2DBC04E0">
      <w:start w:val="2"/>
      <w:numFmt w:val="decimal"/>
      <w:lvlText w:val="%1."/>
      <w:lvlJc w:val="left"/>
      <w:pPr>
        <w:ind w:left="720" w:hanging="360"/>
      </w:pPr>
      <w:rPr>
        <w:rFonts w:ascii="Arial" w:hAnsi="Arial" w:hint="default"/>
      </w:rPr>
    </w:lvl>
    <w:lvl w:ilvl="1" w:tplc="66E873C6">
      <w:start w:val="1"/>
      <w:numFmt w:val="lowerLetter"/>
      <w:lvlText w:val="%2."/>
      <w:lvlJc w:val="left"/>
      <w:pPr>
        <w:ind w:left="1440" w:hanging="360"/>
      </w:pPr>
    </w:lvl>
    <w:lvl w:ilvl="2" w:tplc="E3A4A870">
      <w:start w:val="1"/>
      <w:numFmt w:val="lowerRoman"/>
      <w:lvlText w:val="%3."/>
      <w:lvlJc w:val="right"/>
      <w:pPr>
        <w:ind w:left="2160" w:hanging="180"/>
      </w:pPr>
    </w:lvl>
    <w:lvl w:ilvl="3" w:tplc="827099A4">
      <w:start w:val="1"/>
      <w:numFmt w:val="decimal"/>
      <w:lvlText w:val="%4."/>
      <w:lvlJc w:val="left"/>
      <w:pPr>
        <w:ind w:left="2880" w:hanging="360"/>
      </w:pPr>
    </w:lvl>
    <w:lvl w:ilvl="4" w:tplc="8D2EC904">
      <w:start w:val="1"/>
      <w:numFmt w:val="lowerLetter"/>
      <w:lvlText w:val="%5."/>
      <w:lvlJc w:val="left"/>
      <w:pPr>
        <w:ind w:left="3600" w:hanging="360"/>
      </w:pPr>
    </w:lvl>
    <w:lvl w:ilvl="5" w:tplc="291C5CEC">
      <w:start w:val="1"/>
      <w:numFmt w:val="lowerRoman"/>
      <w:lvlText w:val="%6."/>
      <w:lvlJc w:val="right"/>
      <w:pPr>
        <w:ind w:left="4320" w:hanging="180"/>
      </w:pPr>
    </w:lvl>
    <w:lvl w:ilvl="6" w:tplc="3E3E39AA">
      <w:start w:val="1"/>
      <w:numFmt w:val="decimal"/>
      <w:lvlText w:val="%7."/>
      <w:lvlJc w:val="left"/>
      <w:pPr>
        <w:ind w:left="5040" w:hanging="360"/>
      </w:pPr>
    </w:lvl>
    <w:lvl w:ilvl="7" w:tplc="AED002D2">
      <w:start w:val="1"/>
      <w:numFmt w:val="lowerLetter"/>
      <w:lvlText w:val="%8."/>
      <w:lvlJc w:val="left"/>
      <w:pPr>
        <w:ind w:left="5760" w:hanging="360"/>
      </w:pPr>
    </w:lvl>
    <w:lvl w:ilvl="8" w:tplc="896C89B0">
      <w:start w:val="1"/>
      <w:numFmt w:val="lowerRoman"/>
      <w:lvlText w:val="%9."/>
      <w:lvlJc w:val="right"/>
      <w:pPr>
        <w:ind w:left="6480" w:hanging="180"/>
      </w:pPr>
    </w:lvl>
  </w:abstractNum>
  <w:abstractNum w:abstractNumId="19" w15:restartNumberingAfterBreak="0">
    <w:nsid w:val="10B46BD6"/>
    <w:multiLevelType w:val="hybridMultilevel"/>
    <w:tmpl w:val="8FF4FAA2"/>
    <w:lvl w:ilvl="0" w:tplc="991C3E1E">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12242160"/>
    <w:multiLevelType w:val="hybridMultilevel"/>
    <w:tmpl w:val="D43A42EE"/>
    <w:lvl w:ilvl="0" w:tplc="37B223E2">
      <w:start w:val="1"/>
      <w:numFmt w:val="bullet"/>
      <w:lvlText w:val=""/>
      <w:lvlJc w:val="left"/>
      <w:pPr>
        <w:ind w:left="1004" w:hanging="360"/>
      </w:pPr>
      <w:rPr>
        <w:rFonts w:ascii="Times New Roman félkövér" w:hAnsi="Times New Roman félkövér" w:hint="default"/>
      </w:rPr>
    </w:lvl>
    <w:lvl w:ilvl="1" w:tplc="FFFFFFFF" w:tentative="1">
      <w:start w:val="1"/>
      <w:numFmt w:val="bullet"/>
      <w:lvlText w:val="o"/>
      <w:lvlJc w:val="left"/>
      <w:pPr>
        <w:ind w:left="1724" w:hanging="360"/>
      </w:pPr>
      <w:rPr>
        <w:rFonts w:ascii="Yu Mincho Light" w:hAnsi="Yu Mincho Light" w:cs="Yu Mincho Light" w:hint="default"/>
      </w:rPr>
    </w:lvl>
    <w:lvl w:ilvl="2" w:tplc="FFFFFFFF" w:tentative="1">
      <w:start w:val="1"/>
      <w:numFmt w:val="bullet"/>
      <w:lvlText w:val=""/>
      <w:lvlJc w:val="left"/>
      <w:pPr>
        <w:ind w:left="2444" w:hanging="360"/>
      </w:pPr>
      <w:rPr>
        <w:rFonts w:ascii="MS Mincho" w:hAnsi="MS Mincho" w:hint="default"/>
      </w:rPr>
    </w:lvl>
    <w:lvl w:ilvl="3" w:tplc="FFFFFFFF" w:tentative="1">
      <w:start w:val="1"/>
      <w:numFmt w:val="bullet"/>
      <w:lvlText w:val=""/>
      <w:lvlJc w:val="left"/>
      <w:pPr>
        <w:ind w:left="3164" w:hanging="360"/>
      </w:pPr>
      <w:rPr>
        <w:rFonts w:ascii="MS Mincho" w:hAnsi="MS Mincho" w:hint="default"/>
      </w:rPr>
    </w:lvl>
    <w:lvl w:ilvl="4" w:tplc="FFFFFFFF" w:tentative="1">
      <w:start w:val="1"/>
      <w:numFmt w:val="bullet"/>
      <w:lvlText w:val="o"/>
      <w:lvlJc w:val="left"/>
      <w:pPr>
        <w:ind w:left="3884" w:hanging="360"/>
      </w:pPr>
      <w:rPr>
        <w:rFonts w:ascii="Yu Mincho Light" w:hAnsi="Yu Mincho Light" w:cs="Yu Mincho Light" w:hint="default"/>
      </w:rPr>
    </w:lvl>
    <w:lvl w:ilvl="5" w:tplc="FFFFFFFF" w:tentative="1">
      <w:start w:val="1"/>
      <w:numFmt w:val="bullet"/>
      <w:lvlText w:val=""/>
      <w:lvlJc w:val="left"/>
      <w:pPr>
        <w:ind w:left="4604" w:hanging="360"/>
      </w:pPr>
      <w:rPr>
        <w:rFonts w:ascii="MS Mincho" w:hAnsi="MS Mincho" w:hint="default"/>
      </w:rPr>
    </w:lvl>
    <w:lvl w:ilvl="6" w:tplc="FFFFFFFF" w:tentative="1">
      <w:start w:val="1"/>
      <w:numFmt w:val="bullet"/>
      <w:lvlText w:val=""/>
      <w:lvlJc w:val="left"/>
      <w:pPr>
        <w:ind w:left="5324" w:hanging="360"/>
      </w:pPr>
      <w:rPr>
        <w:rFonts w:ascii="MS Mincho" w:hAnsi="MS Mincho" w:hint="default"/>
      </w:rPr>
    </w:lvl>
    <w:lvl w:ilvl="7" w:tplc="FFFFFFFF" w:tentative="1">
      <w:start w:val="1"/>
      <w:numFmt w:val="bullet"/>
      <w:lvlText w:val="o"/>
      <w:lvlJc w:val="left"/>
      <w:pPr>
        <w:ind w:left="6044" w:hanging="360"/>
      </w:pPr>
      <w:rPr>
        <w:rFonts w:ascii="Yu Mincho Light" w:hAnsi="Yu Mincho Light" w:cs="Yu Mincho Light" w:hint="default"/>
      </w:rPr>
    </w:lvl>
    <w:lvl w:ilvl="8" w:tplc="FFFFFFFF" w:tentative="1">
      <w:start w:val="1"/>
      <w:numFmt w:val="bullet"/>
      <w:lvlText w:val=""/>
      <w:lvlJc w:val="left"/>
      <w:pPr>
        <w:ind w:left="6764" w:hanging="360"/>
      </w:pPr>
      <w:rPr>
        <w:rFonts w:ascii="MS Mincho" w:hAnsi="MS Mincho" w:hint="default"/>
      </w:rPr>
    </w:lvl>
  </w:abstractNum>
  <w:abstractNum w:abstractNumId="21" w15:restartNumberingAfterBreak="0">
    <w:nsid w:val="14BC9304"/>
    <w:multiLevelType w:val="hybridMultilevel"/>
    <w:tmpl w:val="FFFFFFFF"/>
    <w:lvl w:ilvl="0" w:tplc="946A4DA8">
      <w:start w:val="9"/>
      <w:numFmt w:val="decimal"/>
      <w:lvlText w:val="%1."/>
      <w:lvlJc w:val="left"/>
      <w:pPr>
        <w:ind w:left="720" w:hanging="360"/>
      </w:pPr>
      <w:rPr>
        <w:rFonts w:ascii="Calibri" w:hAnsi="Calibri" w:hint="default"/>
      </w:rPr>
    </w:lvl>
    <w:lvl w:ilvl="1" w:tplc="BE925662">
      <w:start w:val="1"/>
      <w:numFmt w:val="lowerLetter"/>
      <w:lvlText w:val="%2."/>
      <w:lvlJc w:val="left"/>
      <w:pPr>
        <w:ind w:left="1440" w:hanging="360"/>
      </w:pPr>
    </w:lvl>
    <w:lvl w:ilvl="2" w:tplc="6972B792">
      <w:start w:val="1"/>
      <w:numFmt w:val="lowerRoman"/>
      <w:lvlText w:val="%3."/>
      <w:lvlJc w:val="right"/>
      <w:pPr>
        <w:ind w:left="2160" w:hanging="180"/>
      </w:pPr>
    </w:lvl>
    <w:lvl w:ilvl="3" w:tplc="D96C8D54">
      <w:start w:val="1"/>
      <w:numFmt w:val="decimal"/>
      <w:lvlText w:val="%4."/>
      <w:lvlJc w:val="left"/>
      <w:pPr>
        <w:ind w:left="2880" w:hanging="360"/>
      </w:pPr>
    </w:lvl>
    <w:lvl w:ilvl="4" w:tplc="7038816E">
      <w:start w:val="1"/>
      <w:numFmt w:val="lowerLetter"/>
      <w:lvlText w:val="%5."/>
      <w:lvlJc w:val="left"/>
      <w:pPr>
        <w:ind w:left="3600" w:hanging="360"/>
      </w:pPr>
    </w:lvl>
    <w:lvl w:ilvl="5" w:tplc="FBFA4DAA">
      <w:start w:val="1"/>
      <w:numFmt w:val="lowerRoman"/>
      <w:lvlText w:val="%6."/>
      <w:lvlJc w:val="right"/>
      <w:pPr>
        <w:ind w:left="4320" w:hanging="180"/>
      </w:pPr>
    </w:lvl>
    <w:lvl w:ilvl="6" w:tplc="F1FE5F90">
      <w:start w:val="1"/>
      <w:numFmt w:val="decimal"/>
      <w:lvlText w:val="%7."/>
      <w:lvlJc w:val="left"/>
      <w:pPr>
        <w:ind w:left="5040" w:hanging="360"/>
      </w:pPr>
    </w:lvl>
    <w:lvl w:ilvl="7" w:tplc="93C44108">
      <w:start w:val="1"/>
      <w:numFmt w:val="lowerLetter"/>
      <w:lvlText w:val="%8."/>
      <w:lvlJc w:val="left"/>
      <w:pPr>
        <w:ind w:left="5760" w:hanging="360"/>
      </w:pPr>
    </w:lvl>
    <w:lvl w:ilvl="8" w:tplc="2AC07D90">
      <w:start w:val="1"/>
      <w:numFmt w:val="lowerRoman"/>
      <w:lvlText w:val="%9."/>
      <w:lvlJc w:val="right"/>
      <w:pPr>
        <w:ind w:left="6480" w:hanging="180"/>
      </w:pPr>
    </w:lvl>
  </w:abstractNum>
  <w:abstractNum w:abstractNumId="22" w15:restartNumberingAfterBreak="0">
    <w:nsid w:val="157F6626"/>
    <w:multiLevelType w:val="hybridMultilevel"/>
    <w:tmpl w:val="3502E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613FA9"/>
    <w:multiLevelType w:val="hybridMultilevel"/>
    <w:tmpl w:val="D0B64B60"/>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2F08CF"/>
    <w:multiLevelType w:val="hybridMultilevel"/>
    <w:tmpl w:val="0054108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MS Mincho" w:hAnsi="@MS Mincho" w:cs="@MS Mincho" w:hint="default"/>
      </w:rPr>
    </w:lvl>
    <w:lvl w:ilvl="2" w:tplc="FFFFFFFF" w:tentative="1">
      <w:start w:val="1"/>
      <w:numFmt w:val="bullet"/>
      <w:lvlText w:val=""/>
      <w:lvlJc w:val="left"/>
      <w:pPr>
        <w:ind w:left="2160" w:hanging="360"/>
      </w:pPr>
      <w:rPr>
        <w:rFonts w:ascii="MS Mincho" w:hAnsi="MS Mincho" w:hint="default"/>
      </w:rPr>
    </w:lvl>
    <w:lvl w:ilvl="3" w:tplc="FFFFFFFF" w:tentative="1">
      <w:start w:val="1"/>
      <w:numFmt w:val="bullet"/>
      <w:lvlText w:val=""/>
      <w:lvlJc w:val="left"/>
      <w:pPr>
        <w:ind w:left="2880" w:hanging="360"/>
      </w:pPr>
      <w:rPr>
        <w:rFonts w:ascii="Times New Roman félkövér" w:hAnsi="Times New Roman félkövér" w:hint="default"/>
      </w:rPr>
    </w:lvl>
    <w:lvl w:ilvl="4" w:tplc="FFFFFFFF" w:tentative="1">
      <w:start w:val="1"/>
      <w:numFmt w:val="bullet"/>
      <w:lvlText w:val="o"/>
      <w:lvlJc w:val="left"/>
      <w:pPr>
        <w:ind w:left="3600" w:hanging="360"/>
      </w:pPr>
      <w:rPr>
        <w:rFonts w:ascii="@MS Mincho" w:hAnsi="@MS Mincho" w:cs="@MS Mincho" w:hint="default"/>
      </w:rPr>
    </w:lvl>
    <w:lvl w:ilvl="5" w:tplc="FFFFFFFF" w:tentative="1">
      <w:start w:val="1"/>
      <w:numFmt w:val="bullet"/>
      <w:lvlText w:val=""/>
      <w:lvlJc w:val="left"/>
      <w:pPr>
        <w:ind w:left="4320" w:hanging="360"/>
      </w:pPr>
      <w:rPr>
        <w:rFonts w:ascii="MS Mincho" w:hAnsi="MS Mincho" w:hint="default"/>
      </w:rPr>
    </w:lvl>
    <w:lvl w:ilvl="6" w:tplc="FFFFFFFF" w:tentative="1">
      <w:start w:val="1"/>
      <w:numFmt w:val="bullet"/>
      <w:lvlText w:val=""/>
      <w:lvlJc w:val="left"/>
      <w:pPr>
        <w:ind w:left="5040" w:hanging="360"/>
      </w:pPr>
      <w:rPr>
        <w:rFonts w:ascii="Times New Roman félkövér" w:hAnsi="Times New Roman félkövér" w:hint="default"/>
      </w:rPr>
    </w:lvl>
    <w:lvl w:ilvl="7" w:tplc="FFFFFFFF" w:tentative="1">
      <w:start w:val="1"/>
      <w:numFmt w:val="bullet"/>
      <w:lvlText w:val="o"/>
      <w:lvlJc w:val="left"/>
      <w:pPr>
        <w:ind w:left="5760" w:hanging="360"/>
      </w:pPr>
      <w:rPr>
        <w:rFonts w:ascii="@MS Mincho" w:hAnsi="@MS Mincho" w:cs="@MS Mincho" w:hint="default"/>
      </w:rPr>
    </w:lvl>
    <w:lvl w:ilvl="8" w:tplc="FFFFFFFF" w:tentative="1">
      <w:start w:val="1"/>
      <w:numFmt w:val="bullet"/>
      <w:lvlText w:val=""/>
      <w:lvlJc w:val="left"/>
      <w:pPr>
        <w:ind w:left="6480" w:hanging="360"/>
      </w:pPr>
      <w:rPr>
        <w:rFonts w:ascii="MS Mincho" w:hAnsi="MS Mincho" w:hint="default"/>
      </w:rPr>
    </w:lvl>
  </w:abstractNum>
  <w:abstractNum w:abstractNumId="25" w15:restartNumberingAfterBreak="0">
    <w:nsid w:val="1AB43499"/>
    <w:multiLevelType w:val="hybridMultilevel"/>
    <w:tmpl w:val="229035E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2081216A"/>
    <w:multiLevelType w:val="hybridMultilevel"/>
    <w:tmpl w:val="4B021F8C"/>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2624070"/>
    <w:multiLevelType w:val="hybridMultilevel"/>
    <w:tmpl w:val="8E7008C4"/>
    <w:lvl w:ilvl="0" w:tplc="991C3E1E">
      <w:start w:val="1"/>
      <w:numFmt w:val="bullet"/>
      <w:lvlText w:val="-"/>
      <w:lvlJc w:val="left"/>
      <w:pPr>
        <w:ind w:left="776" w:hanging="360"/>
      </w:pPr>
      <w:rPr>
        <w:rFonts w:ascii="Calibri" w:hAnsi="Calibri"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009700"/>
    <w:multiLevelType w:val="hybridMultilevel"/>
    <w:tmpl w:val="FFFFFFFF"/>
    <w:lvl w:ilvl="0" w:tplc="99B43E64">
      <w:start w:val="1"/>
      <w:numFmt w:val="decimal"/>
      <w:lvlText w:val="%1."/>
      <w:lvlJc w:val="left"/>
      <w:pPr>
        <w:ind w:left="720" w:hanging="360"/>
      </w:pPr>
    </w:lvl>
    <w:lvl w:ilvl="1" w:tplc="CCEE7EBA">
      <w:start w:val="1"/>
      <w:numFmt w:val="lowerLetter"/>
      <w:lvlText w:val="%2."/>
      <w:lvlJc w:val="left"/>
      <w:pPr>
        <w:ind w:left="1440" w:hanging="360"/>
      </w:pPr>
    </w:lvl>
    <w:lvl w:ilvl="2" w:tplc="05B68F20">
      <w:start w:val="1"/>
      <w:numFmt w:val="lowerRoman"/>
      <w:lvlText w:val="%3."/>
      <w:lvlJc w:val="right"/>
      <w:pPr>
        <w:ind w:left="2160" w:hanging="180"/>
      </w:pPr>
    </w:lvl>
    <w:lvl w:ilvl="3" w:tplc="4ED244CE">
      <w:start w:val="1"/>
      <w:numFmt w:val="decimal"/>
      <w:lvlText w:val="%4."/>
      <w:lvlJc w:val="left"/>
      <w:pPr>
        <w:ind w:left="2880" w:hanging="360"/>
      </w:pPr>
    </w:lvl>
    <w:lvl w:ilvl="4" w:tplc="EB8266EA">
      <w:start w:val="1"/>
      <w:numFmt w:val="lowerLetter"/>
      <w:lvlText w:val="%5."/>
      <w:lvlJc w:val="left"/>
      <w:pPr>
        <w:ind w:left="3600" w:hanging="360"/>
      </w:pPr>
    </w:lvl>
    <w:lvl w:ilvl="5" w:tplc="BF6ABFE8">
      <w:start w:val="1"/>
      <w:numFmt w:val="lowerRoman"/>
      <w:lvlText w:val="%6."/>
      <w:lvlJc w:val="right"/>
      <w:pPr>
        <w:ind w:left="4320" w:hanging="180"/>
      </w:pPr>
    </w:lvl>
    <w:lvl w:ilvl="6" w:tplc="CD3E4BBE">
      <w:start w:val="1"/>
      <w:numFmt w:val="decimal"/>
      <w:lvlText w:val="%7."/>
      <w:lvlJc w:val="left"/>
      <w:pPr>
        <w:ind w:left="5040" w:hanging="360"/>
      </w:pPr>
    </w:lvl>
    <w:lvl w:ilvl="7" w:tplc="24F2CCC0">
      <w:start w:val="1"/>
      <w:numFmt w:val="lowerLetter"/>
      <w:lvlText w:val="%8."/>
      <w:lvlJc w:val="left"/>
      <w:pPr>
        <w:ind w:left="5760" w:hanging="360"/>
      </w:pPr>
    </w:lvl>
    <w:lvl w:ilvl="8" w:tplc="82AC6408">
      <w:start w:val="1"/>
      <w:numFmt w:val="lowerRoman"/>
      <w:lvlText w:val="%9."/>
      <w:lvlJc w:val="right"/>
      <w:pPr>
        <w:ind w:left="6480" w:hanging="180"/>
      </w:pPr>
    </w:lvl>
  </w:abstractNum>
  <w:abstractNum w:abstractNumId="31" w15:restartNumberingAfterBreak="0">
    <w:nsid w:val="252E0C0D"/>
    <w:multiLevelType w:val="hybridMultilevel"/>
    <w:tmpl w:val="E09411D6"/>
    <w:lvl w:ilvl="0" w:tplc="991C3E1E">
      <w:start w:val="1"/>
      <w:numFmt w:val="bullet"/>
      <w:lvlText w:val="-"/>
      <w:lvlJc w:val="left"/>
      <w:pPr>
        <w:ind w:left="1080" w:hanging="720"/>
      </w:pPr>
      <w:rPr>
        <w:rFonts w:ascii="Calibri" w:hAnsi="Calibri"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253BC87E"/>
    <w:multiLevelType w:val="hybridMultilevel"/>
    <w:tmpl w:val="FFFFFFFF"/>
    <w:lvl w:ilvl="0" w:tplc="DFC40566">
      <w:start w:val="1"/>
      <w:numFmt w:val="bullet"/>
      <w:lvlText w:val="-"/>
      <w:lvlJc w:val="left"/>
      <w:pPr>
        <w:ind w:left="720" w:hanging="360"/>
      </w:pPr>
      <w:rPr>
        <w:rFonts w:ascii="Calibri" w:hAnsi="Calibri" w:hint="default"/>
      </w:rPr>
    </w:lvl>
    <w:lvl w:ilvl="1" w:tplc="605AC882">
      <w:start w:val="1"/>
      <w:numFmt w:val="bullet"/>
      <w:lvlText w:val="o"/>
      <w:lvlJc w:val="left"/>
      <w:pPr>
        <w:ind w:left="1440" w:hanging="360"/>
      </w:pPr>
      <w:rPr>
        <w:rFonts w:ascii="Courier New" w:hAnsi="Courier New" w:hint="default"/>
      </w:rPr>
    </w:lvl>
    <w:lvl w:ilvl="2" w:tplc="B2CCB334">
      <w:start w:val="1"/>
      <w:numFmt w:val="bullet"/>
      <w:lvlText w:val=""/>
      <w:lvlJc w:val="left"/>
      <w:pPr>
        <w:ind w:left="2160" w:hanging="360"/>
      </w:pPr>
      <w:rPr>
        <w:rFonts w:ascii="Wingdings" w:hAnsi="Wingdings" w:hint="default"/>
      </w:rPr>
    </w:lvl>
    <w:lvl w:ilvl="3" w:tplc="62502F0C">
      <w:start w:val="1"/>
      <w:numFmt w:val="bullet"/>
      <w:lvlText w:val=""/>
      <w:lvlJc w:val="left"/>
      <w:pPr>
        <w:ind w:left="2880" w:hanging="360"/>
      </w:pPr>
      <w:rPr>
        <w:rFonts w:ascii="Symbol" w:hAnsi="Symbol" w:hint="default"/>
      </w:rPr>
    </w:lvl>
    <w:lvl w:ilvl="4" w:tplc="6652CB26">
      <w:start w:val="1"/>
      <w:numFmt w:val="bullet"/>
      <w:lvlText w:val="o"/>
      <w:lvlJc w:val="left"/>
      <w:pPr>
        <w:ind w:left="3600" w:hanging="360"/>
      </w:pPr>
      <w:rPr>
        <w:rFonts w:ascii="Courier New" w:hAnsi="Courier New" w:hint="default"/>
      </w:rPr>
    </w:lvl>
    <w:lvl w:ilvl="5" w:tplc="E4E83CC2">
      <w:start w:val="1"/>
      <w:numFmt w:val="bullet"/>
      <w:lvlText w:val=""/>
      <w:lvlJc w:val="left"/>
      <w:pPr>
        <w:ind w:left="4320" w:hanging="360"/>
      </w:pPr>
      <w:rPr>
        <w:rFonts w:ascii="Wingdings" w:hAnsi="Wingdings" w:hint="default"/>
      </w:rPr>
    </w:lvl>
    <w:lvl w:ilvl="6" w:tplc="61C2AD16">
      <w:start w:val="1"/>
      <w:numFmt w:val="bullet"/>
      <w:lvlText w:val=""/>
      <w:lvlJc w:val="left"/>
      <w:pPr>
        <w:ind w:left="5040" w:hanging="360"/>
      </w:pPr>
      <w:rPr>
        <w:rFonts w:ascii="Symbol" w:hAnsi="Symbol" w:hint="default"/>
      </w:rPr>
    </w:lvl>
    <w:lvl w:ilvl="7" w:tplc="D716F0BA">
      <w:start w:val="1"/>
      <w:numFmt w:val="bullet"/>
      <w:lvlText w:val="o"/>
      <w:lvlJc w:val="left"/>
      <w:pPr>
        <w:ind w:left="5760" w:hanging="360"/>
      </w:pPr>
      <w:rPr>
        <w:rFonts w:ascii="Courier New" w:hAnsi="Courier New" w:hint="default"/>
      </w:rPr>
    </w:lvl>
    <w:lvl w:ilvl="8" w:tplc="A27AAE5C">
      <w:start w:val="1"/>
      <w:numFmt w:val="bullet"/>
      <w:lvlText w:val=""/>
      <w:lvlJc w:val="left"/>
      <w:pPr>
        <w:ind w:left="6480" w:hanging="360"/>
      </w:pPr>
      <w:rPr>
        <w:rFonts w:ascii="Wingdings" w:hAnsi="Wingdings" w:hint="default"/>
      </w:rPr>
    </w:lvl>
  </w:abstractNum>
  <w:abstractNum w:abstractNumId="33" w15:restartNumberingAfterBreak="0">
    <w:nsid w:val="25F7EFAC"/>
    <w:multiLevelType w:val="hybridMultilevel"/>
    <w:tmpl w:val="FFFFFFFF"/>
    <w:lvl w:ilvl="0" w:tplc="B4944A2A">
      <w:start w:val="1"/>
      <w:numFmt w:val="bullet"/>
      <w:lvlText w:val=""/>
      <w:lvlJc w:val="left"/>
      <w:pPr>
        <w:ind w:left="720" w:hanging="360"/>
      </w:pPr>
      <w:rPr>
        <w:rFonts w:ascii="Symbol" w:hAnsi="Symbol" w:hint="default"/>
      </w:rPr>
    </w:lvl>
    <w:lvl w:ilvl="1" w:tplc="B386AABC">
      <w:start w:val="1"/>
      <w:numFmt w:val="bullet"/>
      <w:lvlText w:val="o"/>
      <w:lvlJc w:val="left"/>
      <w:pPr>
        <w:ind w:left="1440" w:hanging="360"/>
      </w:pPr>
      <w:rPr>
        <w:rFonts w:ascii="Courier New" w:hAnsi="Courier New" w:hint="default"/>
      </w:rPr>
    </w:lvl>
    <w:lvl w:ilvl="2" w:tplc="88083F64">
      <w:start w:val="1"/>
      <w:numFmt w:val="bullet"/>
      <w:lvlText w:val=""/>
      <w:lvlJc w:val="left"/>
      <w:pPr>
        <w:ind w:left="2160" w:hanging="360"/>
      </w:pPr>
      <w:rPr>
        <w:rFonts w:ascii="Wingdings" w:hAnsi="Wingdings" w:hint="default"/>
      </w:rPr>
    </w:lvl>
    <w:lvl w:ilvl="3" w:tplc="3314D7D4">
      <w:start w:val="1"/>
      <w:numFmt w:val="bullet"/>
      <w:lvlText w:val=""/>
      <w:lvlJc w:val="left"/>
      <w:pPr>
        <w:ind w:left="2880" w:hanging="360"/>
      </w:pPr>
      <w:rPr>
        <w:rFonts w:ascii="Symbol" w:hAnsi="Symbol" w:hint="default"/>
      </w:rPr>
    </w:lvl>
    <w:lvl w:ilvl="4" w:tplc="86B8C04C">
      <w:start w:val="1"/>
      <w:numFmt w:val="bullet"/>
      <w:lvlText w:val="o"/>
      <w:lvlJc w:val="left"/>
      <w:pPr>
        <w:ind w:left="3600" w:hanging="360"/>
      </w:pPr>
      <w:rPr>
        <w:rFonts w:ascii="Courier New" w:hAnsi="Courier New" w:hint="default"/>
      </w:rPr>
    </w:lvl>
    <w:lvl w:ilvl="5" w:tplc="D1F069F0">
      <w:start w:val="1"/>
      <w:numFmt w:val="bullet"/>
      <w:lvlText w:val=""/>
      <w:lvlJc w:val="left"/>
      <w:pPr>
        <w:ind w:left="4320" w:hanging="360"/>
      </w:pPr>
      <w:rPr>
        <w:rFonts w:ascii="Wingdings" w:hAnsi="Wingdings" w:hint="default"/>
      </w:rPr>
    </w:lvl>
    <w:lvl w:ilvl="6" w:tplc="80A26088">
      <w:start w:val="1"/>
      <w:numFmt w:val="bullet"/>
      <w:lvlText w:val=""/>
      <w:lvlJc w:val="left"/>
      <w:pPr>
        <w:ind w:left="5040" w:hanging="360"/>
      </w:pPr>
      <w:rPr>
        <w:rFonts w:ascii="Symbol" w:hAnsi="Symbol" w:hint="default"/>
      </w:rPr>
    </w:lvl>
    <w:lvl w:ilvl="7" w:tplc="A8E01994">
      <w:start w:val="1"/>
      <w:numFmt w:val="bullet"/>
      <w:lvlText w:val="o"/>
      <w:lvlJc w:val="left"/>
      <w:pPr>
        <w:ind w:left="5760" w:hanging="360"/>
      </w:pPr>
      <w:rPr>
        <w:rFonts w:ascii="Courier New" w:hAnsi="Courier New" w:hint="default"/>
      </w:rPr>
    </w:lvl>
    <w:lvl w:ilvl="8" w:tplc="C6124E5A">
      <w:start w:val="1"/>
      <w:numFmt w:val="bullet"/>
      <w:lvlText w:val=""/>
      <w:lvlJc w:val="left"/>
      <w:pPr>
        <w:ind w:left="6480" w:hanging="360"/>
      </w:pPr>
      <w:rPr>
        <w:rFonts w:ascii="Wingdings" w:hAnsi="Wingdings" w:hint="default"/>
      </w:rPr>
    </w:lvl>
  </w:abstractNum>
  <w:abstractNum w:abstractNumId="34" w15:restartNumberingAfterBreak="0">
    <w:nsid w:val="27174F45"/>
    <w:multiLevelType w:val="hybridMultilevel"/>
    <w:tmpl w:val="B30C8676"/>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8B227E"/>
    <w:multiLevelType w:val="hybridMultilevel"/>
    <w:tmpl w:val="ED3E031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AE5023"/>
    <w:multiLevelType w:val="hybridMultilevel"/>
    <w:tmpl w:val="44E8D442"/>
    <w:lvl w:ilvl="0" w:tplc="3F16C13A">
      <w:start w:val="1"/>
      <w:numFmt w:val="decimal"/>
      <w:lvlText w:val="%1."/>
      <w:lvlJc w:val="left"/>
      <w:pPr>
        <w:ind w:left="720" w:hanging="360"/>
      </w:pPr>
      <w:rPr>
        <w:rFonts w:ascii="Segoe UI Emoji" w:eastAsiaTheme="minorHAnsi" w:hAnsi="Segoe UI Emoji" w:cs="Segoe UI Emoj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9" w15:restartNumberingAfterBreak="0">
    <w:nsid w:val="2D27ABB0"/>
    <w:multiLevelType w:val="hybridMultilevel"/>
    <w:tmpl w:val="1348036C"/>
    <w:lvl w:ilvl="0" w:tplc="18090001">
      <w:start w:val="1"/>
      <w:numFmt w:val="bullet"/>
      <w:lvlText w:val=""/>
      <w:lvlJc w:val="left"/>
      <w:pPr>
        <w:ind w:left="720" w:hanging="360"/>
      </w:pPr>
      <w:rPr>
        <w:rFonts w:ascii="Segoe UI Emoji" w:hAnsi="Segoe UI Emoji" w:hint="default"/>
      </w:rPr>
    </w:lvl>
    <w:lvl w:ilvl="1" w:tplc="1CC29F7A">
      <w:start w:val="1"/>
      <w:numFmt w:val="bullet"/>
      <w:lvlText w:val="o"/>
      <w:lvlJc w:val="left"/>
      <w:pPr>
        <w:ind w:left="1440" w:hanging="360"/>
      </w:pPr>
      <w:rPr>
        <w:rFonts w:ascii="Segoe UI Emoji" w:hAnsi="Segoe UI Emoji" w:hint="default"/>
      </w:rPr>
    </w:lvl>
    <w:lvl w:ilvl="2" w:tplc="AF805360">
      <w:start w:val="1"/>
      <w:numFmt w:val="bullet"/>
      <w:lvlText w:val=""/>
      <w:lvlJc w:val="left"/>
      <w:pPr>
        <w:ind w:left="2160" w:hanging="360"/>
      </w:pPr>
      <w:rPr>
        <w:rFonts w:ascii="@MS Mincho" w:hAnsi="@MS Mincho" w:hint="default"/>
      </w:rPr>
    </w:lvl>
    <w:lvl w:ilvl="3" w:tplc="DE9C8254">
      <w:start w:val="1"/>
      <w:numFmt w:val="bullet"/>
      <w:lvlText w:val=""/>
      <w:lvlJc w:val="left"/>
      <w:pPr>
        <w:ind w:left="2880" w:hanging="360"/>
      </w:pPr>
      <w:rPr>
        <w:rFonts w:ascii="Times New Roman félkövér" w:hAnsi="Times New Roman félkövér" w:hint="default"/>
      </w:rPr>
    </w:lvl>
    <w:lvl w:ilvl="4" w:tplc="6A00F8A0">
      <w:start w:val="1"/>
      <w:numFmt w:val="bullet"/>
      <w:lvlText w:val="o"/>
      <w:lvlJc w:val="left"/>
      <w:pPr>
        <w:ind w:left="3600" w:hanging="360"/>
      </w:pPr>
      <w:rPr>
        <w:rFonts w:ascii="Segoe UI Emoji" w:hAnsi="Segoe UI Emoji" w:hint="default"/>
      </w:rPr>
    </w:lvl>
    <w:lvl w:ilvl="5" w:tplc="AA06549C">
      <w:start w:val="1"/>
      <w:numFmt w:val="bullet"/>
      <w:lvlText w:val=""/>
      <w:lvlJc w:val="left"/>
      <w:pPr>
        <w:ind w:left="4320" w:hanging="360"/>
      </w:pPr>
      <w:rPr>
        <w:rFonts w:ascii="@MS Mincho" w:hAnsi="@MS Mincho" w:hint="default"/>
      </w:rPr>
    </w:lvl>
    <w:lvl w:ilvl="6" w:tplc="763448EE">
      <w:start w:val="1"/>
      <w:numFmt w:val="bullet"/>
      <w:lvlText w:val=""/>
      <w:lvlJc w:val="left"/>
      <w:pPr>
        <w:ind w:left="5040" w:hanging="360"/>
      </w:pPr>
      <w:rPr>
        <w:rFonts w:ascii="Times New Roman félkövér" w:hAnsi="Times New Roman félkövér" w:hint="default"/>
      </w:rPr>
    </w:lvl>
    <w:lvl w:ilvl="7" w:tplc="6ADE6886">
      <w:start w:val="1"/>
      <w:numFmt w:val="bullet"/>
      <w:lvlText w:val="o"/>
      <w:lvlJc w:val="left"/>
      <w:pPr>
        <w:ind w:left="5760" w:hanging="360"/>
      </w:pPr>
      <w:rPr>
        <w:rFonts w:ascii="Segoe UI Emoji" w:hAnsi="Segoe UI Emoji" w:hint="default"/>
      </w:rPr>
    </w:lvl>
    <w:lvl w:ilvl="8" w:tplc="68446ED0">
      <w:start w:val="1"/>
      <w:numFmt w:val="bullet"/>
      <w:lvlText w:val=""/>
      <w:lvlJc w:val="left"/>
      <w:pPr>
        <w:ind w:left="6480" w:hanging="360"/>
      </w:pPr>
      <w:rPr>
        <w:rFonts w:ascii="@MS Mincho" w:hAnsi="@MS Mincho" w:hint="default"/>
      </w:rPr>
    </w:lvl>
  </w:abstractNum>
  <w:abstractNum w:abstractNumId="40" w15:restartNumberingAfterBreak="0">
    <w:nsid w:val="2D560457"/>
    <w:multiLevelType w:val="hybridMultilevel"/>
    <w:tmpl w:val="41DE5612"/>
    <w:lvl w:ilvl="0" w:tplc="F9B0982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AB5CF0"/>
    <w:multiLevelType w:val="hybridMultilevel"/>
    <w:tmpl w:val="4C7238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20A6796"/>
    <w:multiLevelType w:val="hybridMultilevel"/>
    <w:tmpl w:val="7C288002"/>
    <w:lvl w:ilvl="0" w:tplc="991C3E1E">
      <w:start w:val="1"/>
      <w:numFmt w:val="bullet"/>
      <w:lvlText w:val="-"/>
      <w:lvlJc w:val="left"/>
      <w:pPr>
        <w:ind w:left="1080" w:hanging="72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32E83EEB"/>
    <w:multiLevelType w:val="hybridMultilevel"/>
    <w:tmpl w:val="DBDC485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374D93"/>
    <w:multiLevelType w:val="hybridMultilevel"/>
    <w:tmpl w:val="1ADE3B4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45" w15:restartNumberingAfterBreak="0">
    <w:nsid w:val="39A060BB"/>
    <w:multiLevelType w:val="hybridMultilevel"/>
    <w:tmpl w:val="6F16191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6423A5"/>
    <w:multiLevelType w:val="hybridMultilevel"/>
    <w:tmpl w:val="604E2C64"/>
    <w:lvl w:ilvl="0" w:tplc="991C3E1E">
      <w:start w:val="1"/>
      <w:numFmt w:val="bullet"/>
      <w:lvlText w:val="-"/>
      <w:lvlJc w:val="left"/>
      <w:pPr>
        <w:ind w:left="1080" w:hanging="72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3C1FBB88"/>
    <w:multiLevelType w:val="hybridMultilevel"/>
    <w:tmpl w:val="FFFFFFFF"/>
    <w:lvl w:ilvl="0" w:tplc="D6EEFA86">
      <w:start w:val="1"/>
      <w:numFmt w:val="bullet"/>
      <w:lvlText w:val=""/>
      <w:lvlJc w:val="left"/>
      <w:pPr>
        <w:ind w:left="720" w:hanging="360"/>
      </w:pPr>
      <w:rPr>
        <w:rFonts w:ascii="Symbol" w:hAnsi="Symbol" w:hint="default"/>
      </w:rPr>
    </w:lvl>
    <w:lvl w:ilvl="1" w:tplc="9A541C76">
      <w:start w:val="1"/>
      <w:numFmt w:val="bullet"/>
      <w:lvlText w:val="o"/>
      <w:lvlJc w:val="left"/>
      <w:pPr>
        <w:ind w:left="1440" w:hanging="360"/>
      </w:pPr>
      <w:rPr>
        <w:rFonts w:ascii="Courier New" w:hAnsi="Courier New" w:hint="default"/>
      </w:rPr>
    </w:lvl>
    <w:lvl w:ilvl="2" w:tplc="4B103328">
      <w:start w:val="1"/>
      <w:numFmt w:val="bullet"/>
      <w:lvlText w:val=""/>
      <w:lvlJc w:val="left"/>
      <w:pPr>
        <w:ind w:left="2160" w:hanging="360"/>
      </w:pPr>
      <w:rPr>
        <w:rFonts w:ascii="Wingdings" w:hAnsi="Wingdings" w:hint="default"/>
      </w:rPr>
    </w:lvl>
    <w:lvl w:ilvl="3" w:tplc="CEEE1B2E">
      <w:start w:val="1"/>
      <w:numFmt w:val="bullet"/>
      <w:lvlText w:val=""/>
      <w:lvlJc w:val="left"/>
      <w:pPr>
        <w:ind w:left="2880" w:hanging="360"/>
      </w:pPr>
      <w:rPr>
        <w:rFonts w:ascii="Symbol" w:hAnsi="Symbol" w:hint="default"/>
      </w:rPr>
    </w:lvl>
    <w:lvl w:ilvl="4" w:tplc="37C0319C">
      <w:start w:val="1"/>
      <w:numFmt w:val="bullet"/>
      <w:lvlText w:val="o"/>
      <w:lvlJc w:val="left"/>
      <w:pPr>
        <w:ind w:left="3600" w:hanging="360"/>
      </w:pPr>
      <w:rPr>
        <w:rFonts w:ascii="Courier New" w:hAnsi="Courier New" w:hint="default"/>
      </w:rPr>
    </w:lvl>
    <w:lvl w:ilvl="5" w:tplc="81704DB0">
      <w:start w:val="1"/>
      <w:numFmt w:val="bullet"/>
      <w:lvlText w:val=""/>
      <w:lvlJc w:val="left"/>
      <w:pPr>
        <w:ind w:left="4320" w:hanging="360"/>
      </w:pPr>
      <w:rPr>
        <w:rFonts w:ascii="Wingdings" w:hAnsi="Wingdings" w:hint="default"/>
      </w:rPr>
    </w:lvl>
    <w:lvl w:ilvl="6" w:tplc="CE0C449A">
      <w:start w:val="1"/>
      <w:numFmt w:val="bullet"/>
      <w:lvlText w:val=""/>
      <w:lvlJc w:val="left"/>
      <w:pPr>
        <w:ind w:left="5040" w:hanging="360"/>
      </w:pPr>
      <w:rPr>
        <w:rFonts w:ascii="Symbol" w:hAnsi="Symbol" w:hint="default"/>
      </w:rPr>
    </w:lvl>
    <w:lvl w:ilvl="7" w:tplc="567E876E">
      <w:start w:val="1"/>
      <w:numFmt w:val="bullet"/>
      <w:lvlText w:val="o"/>
      <w:lvlJc w:val="left"/>
      <w:pPr>
        <w:ind w:left="5760" w:hanging="360"/>
      </w:pPr>
      <w:rPr>
        <w:rFonts w:ascii="Courier New" w:hAnsi="Courier New" w:hint="default"/>
      </w:rPr>
    </w:lvl>
    <w:lvl w:ilvl="8" w:tplc="26F00DEC">
      <w:start w:val="1"/>
      <w:numFmt w:val="bullet"/>
      <w:lvlText w:val=""/>
      <w:lvlJc w:val="left"/>
      <w:pPr>
        <w:ind w:left="6480" w:hanging="360"/>
      </w:pPr>
      <w:rPr>
        <w:rFonts w:ascii="Wingdings" w:hAnsi="Wingdings" w:hint="default"/>
      </w:rPr>
    </w:lvl>
  </w:abstractNum>
  <w:abstractNum w:abstractNumId="48" w15:restartNumberingAfterBreak="0">
    <w:nsid w:val="3CFD68E5"/>
    <w:multiLevelType w:val="hybridMultilevel"/>
    <w:tmpl w:val="B650A786"/>
    <w:lvl w:ilvl="0" w:tplc="1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Yu Mincho Light" w:hAnsi="Yu Mincho Light" w:cs="Yu Mincho Light" w:hint="default"/>
      </w:rPr>
    </w:lvl>
    <w:lvl w:ilvl="2" w:tplc="FFFFFFFF" w:tentative="1">
      <w:start w:val="1"/>
      <w:numFmt w:val="bullet"/>
      <w:lvlText w:val=""/>
      <w:lvlJc w:val="left"/>
      <w:pPr>
        <w:ind w:left="2444" w:hanging="360"/>
      </w:pPr>
      <w:rPr>
        <w:rFonts w:ascii="MS Mincho" w:hAnsi="MS Mincho" w:hint="default"/>
      </w:rPr>
    </w:lvl>
    <w:lvl w:ilvl="3" w:tplc="FFFFFFFF" w:tentative="1">
      <w:start w:val="1"/>
      <w:numFmt w:val="bullet"/>
      <w:lvlText w:val=""/>
      <w:lvlJc w:val="left"/>
      <w:pPr>
        <w:ind w:left="3164" w:hanging="360"/>
      </w:pPr>
      <w:rPr>
        <w:rFonts w:ascii="MS Mincho" w:hAnsi="MS Mincho" w:hint="default"/>
      </w:rPr>
    </w:lvl>
    <w:lvl w:ilvl="4" w:tplc="FFFFFFFF" w:tentative="1">
      <w:start w:val="1"/>
      <w:numFmt w:val="bullet"/>
      <w:lvlText w:val="o"/>
      <w:lvlJc w:val="left"/>
      <w:pPr>
        <w:ind w:left="3884" w:hanging="360"/>
      </w:pPr>
      <w:rPr>
        <w:rFonts w:ascii="Yu Mincho Light" w:hAnsi="Yu Mincho Light" w:cs="Yu Mincho Light" w:hint="default"/>
      </w:rPr>
    </w:lvl>
    <w:lvl w:ilvl="5" w:tplc="FFFFFFFF" w:tentative="1">
      <w:start w:val="1"/>
      <w:numFmt w:val="bullet"/>
      <w:lvlText w:val=""/>
      <w:lvlJc w:val="left"/>
      <w:pPr>
        <w:ind w:left="4604" w:hanging="360"/>
      </w:pPr>
      <w:rPr>
        <w:rFonts w:ascii="MS Mincho" w:hAnsi="MS Mincho" w:hint="default"/>
      </w:rPr>
    </w:lvl>
    <w:lvl w:ilvl="6" w:tplc="FFFFFFFF" w:tentative="1">
      <w:start w:val="1"/>
      <w:numFmt w:val="bullet"/>
      <w:lvlText w:val=""/>
      <w:lvlJc w:val="left"/>
      <w:pPr>
        <w:ind w:left="5324" w:hanging="360"/>
      </w:pPr>
      <w:rPr>
        <w:rFonts w:ascii="MS Mincho" w:hAnsi="MS Mincho" w:hint="default"/>
      </w:rPr>
    </w:lvl>
    <w:lvl w:ilvl="7" w:tplc="FFFFFFFF" w:tentative="1">
      <w:start w:val="1"/>
      <w:numFmt w:val="bullet"/>
      <w:lvlText w:val="o"/>
      <w:lvlJc w:val="left"/>
      <w:pPr>
        <w:ind w:left="6044" w:hanging="360"/>
      </w:pPr>
      <w:rPr>
        <w:rFonts w:ascii="Yu Mincho Light" w:hAnsi="Yu Mincho Light" w:cs="Yu Mincho Light" w:hint="default"/>
      </w:rPr>
    </w:lvl>
    <w:lvl w:ilvl="8" w:tplc="FFFFFFFF" w:tentative="1">
      <w:start w:val="1"/>
      <w:numFmt w:val="bullet"/>
      <w:lvlText w:val=""/>
      <w:lvlJc w:val="left"/>
      <w:pPr>
        <w:ind w:left="6764" w:hanging="360"/>
      </w:pPr>
      <w:rPr>
        <w:rFonts w:ascii="MS Mincho" w:hAnsi="MS Mincho" w:hint="default"/>
      </w:rPr>
    </w:lvl>
  </w:abstractNum>
  <w:abstractNum w:abstractNumId="49" w15:restartNumberingAfterBreak="0">
    <w:nsid w:val="400A7B18"/>
    <w:multiLevelType w:val="multilevel"/>
    <w:tmpl w:val="2F7AC3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021A52"/>
    <w:multiLevelType w:val="hybridMultilevel"/>
    <w:tmpl w:val="D736BEAE"/>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E4070A"/>
    <w:multiLevelType w:val="hybridMultilevel"/>
    <w:tmpl w:val="59AC8B4E"/>
    <w:lvl w:ilvl="0" w:tplc="1430B2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4" w15:restartNumberingAfterBreak="0">
    <w:nsid w:val="432C32C9"/>
    <w:multiLevelType w:val="multilevel"/>
    <w:tmpl w:val="6136D4B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3A30E35"/>
    <w:multiLevelType w:val="hybridMultilevel"/>
    <w:tmpl w:val="541044B2"/>
    <w:lvl w:ilvl="0" w:tplc="991C3E1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A72B3A"/>
    <w:multiLevelType w:val="hybridMultilevel"/>
    <w:tmpl w:val="AFCC9634"/>
    <w:lvl w:ilvl="0" w:tplc="991C3E1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3B1786A"/>
    <w:multiLevelType w:val="hybridMultilevel"/>
    <w:tmpl w:val="0AA84568"/>
    <w:lvl w:ilvl="0" w:tplc="18090001">
      <w:start w:val="1"/>
      <w:numFmt w:val="bullet"/>
      <w:lvlText w:val=""/>
      <w:lvlJc w:val="left"/>
      <w:pPr>
        <w:ind w:left="720" w:hanging="360"/>
      </w:pPr>
      <w:rPr>
        <w:rFonts w:ascii="Symbol" w:hAnsi="Symbol" w:hint="default"/>
        <w:sz w:val="20"/>
        <w:szCs w:val="20"/>
      </w:rPr>
    </w:lvl>
    <w:lvl w:ilvl="1" w:tplc="260E68B2">
      <w:start w:val="1"/>
      <w:numFmt w:val="bullet"/>
      <w:lvlText w:val="o"/>
      <w:lvlJc w:val="left"/>
      <w:pPr>
        <w:ind w:left="1440" w:hanging="360"/>
      </w:pPr>
      <w:rPr>
        <w:rFonts w:ascii="Segoe UI Emoji" w:hAnsi="Segoe UI Emoji" w:hint="default"/>
      </w:rPr>
    </w:lvl>
    <w:lvl w:ilvl="2" w:tplc="E0024634">
      <w:start w:val="1"/>
      <w:numFmt w:val="bullet"/>
      <w:lvlText w:val=""/>
      <w:lvlJc w:val="left"/>
      <w:pPr>
        <w:ind w:left="2160" w:hanging="360"/>
      </w:pPr>
      <w:rPr>
        <w:rFonts w:ascii="@MS Mincho" w:hAnsi="@MS Mincho" w:hint="default"/>
      </w:rPr>
    </w:lvl>
    <w:lvl w:ilvl="3" w:tplc="92FC7814">
      <w:start w:val="1"/>
      <w:numFmt w:val="bullet"/>
      <w:lvlText w:val=""/>
      <w:lvlJc w:val="left"/>
      <w:pPr>
        <w:ind w:left="2880" w:hanging="360"/>
      </w:pPr>
      <w:rPr>
        <w:rFonts w:ascii="Times New Roman félkövér" w:hAnsi="Times New Roman félkövér" w:hint="default"/>
      </w:rPr>
    </w:lvl>
    <w:lvl w:ilvl="4" w:tplc="0D4A42B8">
      <w:start w:val="1"/>
      <w:numFmt w:val="bullet"/>
      <w:lvlText w:val="o"/>
      <w:lvlJc w:val="left"/>
      <w:pPr>
        <w:ind w:left="3600" w:hanging="360"/>
      </w:pPr>
      <w:rPr>
        <w:rFonts w:ascii="Segoe UI Emoji" w:hAnsi="Segoe UI Emoji" w:hint="default"/>
      </w:rPr>
    </w:lvl>
    <w:lvl w:ilvl="5" w:tplc="E1DAE3B8">
      <w:start w:val="1"/>
      <w:numFmt w:val="bullet"/>
      <w:lvlText w:val=""/>
      <w:lvlJc w:val="left"/>
      <w:pPr>
        <w:ind w:left="4320" w:hanging="360"/>
      </w:pPr>
      <w:rPr>
        <w:rFonts w:ascii="@MS Mincho" w:hAnsi="@MS Mincho" w:hint="default"/>
      </w:rPr>
    </w:lvl>
    <w:lvl w:ilvl="6" w:tplc="8DB4CBD2">
      <w:start w:val="1"/>
      <w:numFmt w:val="bullet"/>
      <w:lvlText w:val=""/>
      <w:lvlJc w:val="left"/>
      <w:pPr>
        <w:ind w:left="5040" w:hanging="360"/>
      </w:pPr>
      <w:rPr>
        <w:rFonts w:ascii="Times New Roman félkövér" w:hAnsi="Times New Roman félkövér" w:hint="default"/>
      </w:rPr>
    </w:lvl>
    <w:lvl w:ilvl="7" w:tplc="BDBA31D6">
      <w:start w:val="1"/>
      <w:numFmt w:val="bullet"/>
      <w:lvlText w:val="o"/>
      <w:lvlJc w:val="left"/>
      <w:pPr>
        <w:ind w:left="5760" w:hanging="360"/>
      </w:pPr>
      <w:rPr>
        <w:rFonts w:ascii="Segoe UI Emoji" w:hAnsi="Segoe UI Emoji" w:hint="default"/>
      </w:rPr>
    </w:lvl>
    <w:lvl w:ilvl="8" w:tplc="270C7E80">
      <w:start w:val="1"/>
      <w:numFmt w:val="bullet"/>
      <w:lvlText w:val=""/>
      <w:lvlJc w:val="left"/>
      <w:pPr>
        <w:ind w:left="6480" w:hanging="360"/>
      </w:pPr>
      <w:rPr>
        <w:rFonts w:ascii="@MS Mincho" w:hAnsi="@MS Mincho" w:hint="default"/>
      </w:rPr>
    </w:lvl>
  </w:abstractNum>
  <w:abstractNum w:abstractNumId="58" w15:restartNumberingAfterBreak="0">
    <w:nsid w:val="44136177"/>
    <w:multiLevelType w:val="hybridMultilevel"/>
    <w:tmpl w:val="D31ECAFC"/>
    <w:lvl w:ilvl="0" w:tplc="991C3E1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0" w15:restartNumberingAfterBreak="0">
    <w:nsid w:val="456A440E"/>
    <w:multiLevelType w:val="hybridMultilevel"/>
    <w:tmpl w:val="193469B6"/>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6A236D"/>
    <w:multiLevelType w:val="hybridMultilevel"/>
    <w:tmpl w:val="DC487180"/>
    <w:lvl w:ilvl="0" w:tplc="991C3E1E">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48477D5B"/>
    <w:multiLevelType w:val="hybridMultilevel"/>
    <w:tmpl w:val="A41A242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5C3822"/>
    <w:multiLevelType w:val="hybridMultilevel"/>
    <w:tmpl w:val="4BB007BE"/>
    <w:lvl w:ilvl="0" w:tplc="08160001">
      <w:start w:val="1"/>
      <w:numFmt w:val="bullet"/>
      <w:lvlText w:val=""/>
      <w:lvlJc w:val="left"/>
      <w:pPr>
        <w:ind w:left="6881"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4" w15:restartNumberingAfterBreak="0">
    <w:nsid w:val="4A1837DC"/>
    <w:multiLevelType w:val="multilevel"/>
    <w:tmpl w:val="5ED821E4"/>
    <w:lvl w:ilvl="0">
      <w:start w:val="1"/>
      <w:numFmt w:val="bullet"/>
      <w:lvlText w:val="-"/>
      <w:lvlJc w:val="left"/>
      <w:rPr>
        <w:rFonts w:ascii="Calibri" w:hAnsi="Calibri" w:hint="default"/>
        <w:b w:val="0"/>
        <w:bCs w:val="0"/>
        <w:i w:val="0"/>
        <w:iCs w:val="0"/>
        <w:smallCaps w:val="0"/>
        <w:strike w:val="0"/>
        <w:color w:val="000000"/>
        <w:spacing w:val="0"/>
        <w:w w:val="100"/>
        <w:position w:val="0"/>
        <w:sz w:val="21"/>
        <w:szCs w:val="21"/>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BB3D79"/>
    <w:multiLevelType w:val="hybridMultilevel"/>
    <w:tmpl w:val="C06EC8F2"/>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MS Mincho" w:hAnsi="@MS Mincho"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MS Mincho" w:hAnsi="@MS Mincho"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MS Mincho" w:hAnsi="@MS Mincho" w:hint="default"/>
      </w:rPr>
    </w:lvl>
    <w:lvl w:ilvl="8" w:tplc="FFFFFFFF">
      <w:start w:val="1"/>
      <w:numFmt w:val="bullet"/>
      <w:lvlText w:val=""/>
      <w:lvlJc w:val="left"/>
      <w:pPr>
        <w:ind w:left="6480" w:hanging="360"/>
      </w:pPr>
      <w:rPr>
        <w:rFonts w:ascii="MS Mincho" w:hAnsi="MS Mincho" w:hint="default"/>
      </w:rPr>
    </w:lvl>
  </w:abstractNum>
  <w:abstractNum w:abstractNumId="66" w15:restartNumberingAfterBreak="0">
    <w:nsid w:val="4B1B1BD9"/>
    <w:multiLevelType w:val="hybridMultilevel"/>
    <w:tmpl w:val="30E29848"/>
    <w:lvl w:ilvl="0" w:tplc="B8D40F1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9818A8"/>
    <w:multiLevelType w:val="hybridMultilevel"/>
    <w:tmpl w:val="2FD8C976"/>
    <w:lvl w:ilvl="0" w:tplc="991C3E1E">
      <w:start w:val="1"/>
      <w:numFmt w:val="bullet"/>
      <w:lvlText w:val="-"/>
      <w:lvlJc w:val="left"/>
      <w:pPr>
        <w:ind w:left="720" w:hanging="360"/>
      </w:pPr>
      <w:rPr>
        <w:rFonts w:ascii="Calibri" w:hAnsi="Calibri" w:hint="default"/>
      </w:rPr>
    </w:lvl>
    <w:lvl w:ilvl="1" w:tplc="991C3E1E">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B12C54"/>
    <w:multiLevelType w:val="hybridMultilevel"/>
    <w:tmpl w:val="FFFFFFFF"/>
    <w:lvl w:ilvl="0" w:tplc="67BE596E">
      <w:start w:val="1"/>
      <w:numFmt w:val="bullet"/>
      <w:lvlText w:val="-"/>
      <w:lvlJc w:val="left"/>
      <w:pPr>
        <w:ind w:left="720" w:hanging="360"/>
      </w:pPr>
      <w:rPr>
        <w:rFonts w:ascii="Calibri" w:hAnsi="Calibri" w:hint="default"/>
      </w:rPr>
    </w:lvl>
    <w:lvl w:ilvl="1" w:tplc="39DCF4AA">
      <w:start w:val="1"/>
      <w:numFmt w:val="bullet"/>
      <w:lvlText w:val="o"/>
      <w:lvlJc w:val="left"/>
      <w:pPr>
        <w:ind w:left="1440" w:hanging="360"/>
      </w:pPr>
      <w:rPr>
        <w:rFonts w:ascii="Courier New" w:hAnsi="Courier New" w:hint="default"/>
      </w:rPr>
    </w:lvl>
    <w:lvl w:ilvl="2" w:tplc="E71A66AE">
      <w:start w:val="1"/>
      <w:numFmt w:val="bullet"/>
      <w:lvlText w:val=""/>
      <w:lvlJc w:val="left"/>
      <w:pPr>
        <w:ind w:left="2160" w:hanging="360"/>
      </w:pPr>
      <w:rPr>
        <w:rFonts w:ascii="Wingdings" w:hAnsi="Wingdings" w:hint="default"/>
      </w:rPr>
    </w:lvl>
    <w:lvl w:ilvl="3" w:tplc="7D04A362">
      <w:start w:val="1"/>
      <w:numFmt w:val="bullet"/>
      <w:lvlText w:val=""/>
      <w:lvlJc w:val="left"/>
      <w:pPr>
        <w:ind w:left="2880" w:hanging="360"/>
      </w:pPr>
      <w:rPr>
        <w:rFonts w:ascii="Symbol" w:hAnsi="Symbol" w:hint="default"/>
      </w:rPr>
    </w:lvl>
    <w:lvl w:ilvl="4" w:tplc="6DBC2DA6">
      <w:start w:val="1"/>
      <w:numFmt w:val="bullet"/>
      <w:lvlText w:val="o"/>
      <w:lvlJc w:val="left"/>
      <w:pPr>
        <w:ind w:left="3600" w:hanging="360"/>
      </w:pPr>
      <w:rPr>
        <w:rFonts w:ascii="Courier New" w:hAnsi="Courier New" w:hint="default"/>
      </w:rPr>
    </w:lvl>
    <w:lvl w:ilvl="5" w:tplc="A5CCEC06">
      <w:start w:val="1"/>
      <w:numFmt w:val="bullet"/>
      <w:lvlText w:val=""/>
      <w:lvlJc w:val="left"/>
      <w:pPr>
        <w:ind w:left="4320" w:hanging="360"/>
      </w:pPr>
      <w:rPr>
        <w:rFonts w:ascii="Wingdings" w:hAnsi="Wingdings" w:hint="default"/>
      </w:rPr>
    </w:lvl>
    <w:lvl w:ilvl="6" w:tplc="2BEEA494">
      <w:start w:val="1"/>
      <w:numFmt w:val="bullet"/>
      <w:lvlText w:val=""/>
      <w:lvlJc w:val="left"/>
      <w:pPr>
        <w:ind w:left="5040" w:hanging="360"/>
      </w:pPr>
      <w:rPr>
        <w:rFonts w:ascii="Symbol" w:hAnsi="Symbol" w:hint="default"/>
      </w:rPr>
    </w:lvl>
    <w:lvl w:ilvl="7" w:tplc="5B7C1BD2">
      <w:start w:val="1"/>
      <w:numFmt w:val="bullet"/>
      <w:lvlText w:val="o"/>
      <w:lvlJc w:val="left"/>
      <w:pPr>
        <w:ind w:left="5760" w:hanging="360"/>
      </w:pPr>
      <w:rPr>
        <w:rFonts w:ascii="Courier New" w:hAnsi="Courier New" w:hint="default"/>
      </w:rPr>
    </w:lvl>
    <w:lvl w:ilvl="8" w:tplc="BE265C54">
      <w:start w:val="1"/>
      <w:numFmt w:val="bullet"/>
      <w:lvlText w:val=""/>
      <w:lvlJc w:val="left"/>
      <w:pPr>
        <w:ind w:left="6480" w:hanging="360"/>
      </w:pPr>
      <w:rPr>
        <w:rFonts w:ascii="Wingdings" w:hAnsi="Wingdings" w:hint="default"/>
      </w:rPr>
    </w:lvl>
  </w:abstractNum>
  <w:abstractNum w:abstractNumId="69" w15:restartNumberingAfterBreak="0">
    <w:nsid w:val="4ED0C028"/>
    <w:multiLevelType w:val="hybridMultilevel"/>
    <w:tmpl w:val="FFFFFFFF"/>
    <w:lvl w:ilvl="0" w:tplc="70B664EC">
      <w:start w:val="1"/>
      <w:numFmt w:val="bullet"/>
      <w:lvlText w:val=""/>
      <w:lvlJc w:val="left"/>
      <w:pPr>
        <w:ind w:left="720" w:hanging="360"/>
      </w:pPr>
      <w:rPr>
        <w:rFonts w:ascii="Symbol" w:hAnsi="Symbol" w:hint="default"/>
      </w:rPr>
    </w:lvl>
    <w:lvl w:ilvl="1" w:tplc="229C186A">
      <w:start w:val="1"/>
      <w:numFmt w:val="bullet"/>
      <w:lvlText w:val="o"/>
      <w:lvlJc w:val="left"/>
      <w:pPr>
        <w:ind w:left="1440" w:hanging="360"/>
      </w:pPr>
      <w:rPr>
        <w:rFonts w:ascii="Courier New" w:hAnsi="Courier New" w:hint="default"/>
      </w:rPr>
    </w:lvl>
    <w:lvl w:ilvl="2" w:tplc="DEAAE380">
      <w:start w:val="1"/>
      <w:numFmt w:val="bullet"/>
      <w:lvlText w:val=""/>
      <w:lvlJc w:val="left"/>
      <w:pPr>
        <w:ind w:left="2160" w:hanging="360"/>
      </w:pPr>
      <w:rPr>
        <w:rFonts w:ascii="Wingdings" w:hAnsi="Wingdings" w:hint="default"/>
      </w:rPr>
    </w:lvl>
    <w:lvl w:ilvl="3" w:tplc="3A6A8586">
      <w:start w:val="1"/>
      <w:numFmt w:val="bullet"/>
      <w:lvlText w:val=""/>
      <w:lvlJc w:val="left"/>
      <w:pPr>
        <w:ind w:left="2880" w:hanging="360"/>
      </w:pPr>
      <w:rPr>
        <w:rFonts w:ascii="Symbol" w:hAnsi="Symbol" w:hint="default"/>
      </w:rPr>
    </w:lvl>
    <w:lvl w:ilvl="4" w:tplc="0652EBEC">
      <w:start w:val="1"/>
      <w:numFmt w:val="bullet"/>
      <w:lvlText w:val="o"/>
      <w:lvlJc w:val="left"/>
      <w:pPr>
        <w:ind w:left="3600" w:hanging="360"/>
      </w:pPr>
      <w:rPr>
        <w:rFonts w:ascii="Courier New" w:hAnsi="Courier New" w:hint="default"/>
      </w:rPr>
    </w:lvl>
    <w:lvl w:ilvl="5" w:tplc="61A2DDD2">
      <w:start w:val="1"/>
      <w:numFmt w:val="bullet"/>
      <w:lvlText w:val=""/>
      <w:lvlJc w:val="left"/>
      <w:pPr>
        <w:ind w:left="4320" w:hanging="360"/>
      </w:pPr>
      <w:rPr>
        <w:rFonts w:ascii="Wingdings" w:hAnsi="Wingdings" w:hint="default"/>
      </w:rPr>
    </w:lvl>
    <w:lvl w:ilvl="6" w:tplc="53E013E6">
      <w:start w:val="1"/>
      <w:numFmt w:val="bullet"/>
      <w:lvlText w:val=""/>
      <w:lvlJc w:val="left"/>
      <w:pPr>
        <w:ind w:left="5040" w:hanging="360"/>
      </w:pPr>
      <w:rPr>
        <w:rFonts w:ascii="Symbol" w:hAnsi="Symbol" w:hint="default"/>
      </w:rPr>
    </w:lvl>
    <w:lvl w:ilvl="7" w:tplc="E646C87C">
      <w:start w:val="1"/>
      <w:numFmt w:val="bullet"/>
      <w:lvlText w:val="o"/>
      <w:lvlJc w:val="left"/>
      <w:pPr>
        <w:ind w:left="5760" w:hanging="360"/>
      </w:pPr>
      <w:rPr>
        <w:rFonts w:ascii="Courier New" w:hAnsi="Courier New" w:hint="default"/>
      </w:rPr>
    </w:lvl>
    <w:lvl w:ilvl="8" w:tplc="D16C9752">
      <w:start w:val="1"/>
      <w:numFmt w:val="bullet"/>
      <w:lvlText w:val=""/>
      <w:lvlJc w:val="left"/>
      <w:pPr>
        <w:ind w:left="6480" w:hanging="360"/>
      </w:pPr>
      <w:rPr>
        <w:rFonts w:ascii="Wingdings" w:hAnsi="Wingdings" w:hint="default"/>
      </w:rPr>
    </w:lvl>
  </w:abstractNum>
  <w:abstractNum w:abstractNumId="70" w15:restartNumberingAfterBreak="0">
    <w:nsid w:val="5193D5D3"/>
    <w:multiLevelType w:val="hybridMultilevel"/>
    <w:tmpl w:val="FFFFFFFF"/>
    <w:lvl w:ilvl="0" w:tplc="D2221486">
      <w:start w:val="1"/>
      <w:numFmt w:val="bullet"/>
      <w:lvlText w:val="-"/>
      <w:lvlJc w:val="left"/>
      <w:pPr>
        <w:ind w:left="720" w:hanging="360"/>
      </w:pPr>
      <w:rPr>
        <w:rFonts w:ascii="Calibri" w:hAnsi="Calibri" w:hint="default"/>
      </w:rPr>
    </w:lvl>
    <w:lvl w:ilvl="1" w:tplc="CB146F18">
      <w:start w:val="1"/>
      <w:numFmt w:val="bullet"/>
      <w:lvlText w:val="o"/>
      <w:lvlJc w:val="left"/>
      <w:pPr>
        <w:ind w:left="1440" w:hanging="360"/>
      </w:pPr>
      <w:rPr>
        <w:rFonts w:ascii="Courier New" w:hAnsi="Courier New" w:hint="default"/>
      </w:rPr>
    </w:lvl>
    <w:lvl w:ilvl="2" w:tplc="51661310">
      <w:start w:val="1"/>
      <w:numFmt w:val="bullet"/>
      <w:lvlText w:val=""/>
      <w:lvlJc w:val="left"/>
      <w:pPr>
        <w:ind w:left="2160" w:hanging="360"/>
      </w:pPr>
      <w:rPr>
        <w:rFonts w:ascii="Wingdings" w:hAnsi="Wingdings" w:hint="default"/>
      </w:rPr>
    </w:lvl>
    <w:lvl w:ilvl="3" w:tplc="906C137C">
      <w:start w:val="1"/>
      <w:numFmt w:val="bullet"/>
      <w:lvlText w:val=""/>
      <w:lvlJc w:val="left"/>
      <w:pPr>
        <w:ind w:left="2880" w:hanging="360"/>
      </w:pPr>
      <w:rPr>
        <w:rFonts w:ascii="Symbol" w:hAnsi="Symbol" w:hint="default"/>
      </w:rPr>
    </w:lvl>
    <w:lvl w:ilvl="4" w:tplc="EB9A1A44">
      <w:start w:val="1"/>
      <w:numFmt w:val="bullet"/>
      <w:lvlText w:val="o"/>
      <w:lvlJc w:val="left"/>
      <w:pPr>
        <w:ind w:left="3600" w:hanging="360"/>
      </w:pPr>
      <w:rPr>
        <w:rFonts w:ascii="Courier New" w:hAnsi="Courier New" w:hint="default"/>
      </w:rPr>
    </w:lvl>
    <w:lvl w:ilvl="5" w:tplc="F35E1ABE">
      <w:start w:val="1"/>
      <w:numFmt w:val="bullet"/>
      <w:lvlText w:val=""/>
      <w:lvlJc w:val="left"/>
      <w:pPr>
        <w:ind w:left="4320" w:hanging="360"/>
      </w:pPr>
      <w:rPr>
        <w:rFonts w:ascii="Wingdings" w:hAnsi="Wingdings" w:hint="default"/>
      </w:rPr>
    </w:lvl>
    <w:lvl w:ilvl="6" w:tplc="2EFE484C">
      <w:start w:val="1"/>
      <w:numFmt w:val="bullet"/>
      <w:lvlText w:val=""/>
      <w:lvlJc w:val="left"/>
      <w:pPr>
        <w:ind w:left="5040" w:hanging="360"/>
      </w:pPr>
      <w:rPr>
        <w:rFonts w:ascii="Symbol" w:hAnsi="Symbol" w:hint="default"/>
      </w:rPr>
    </w:lvl>
    <w:lvl w:ilvl="7" w:tplc="FC420202">
      <w:start w:val="1"/>
      <w:numFmt w:val="bullet"/>
      <w:lvlText w:val="o"/>
      <w:lvlJc w:val="left"/>
      <w:pPr>
        <w:ind w:left="5760" w:hanging="360"/>
      </w:pPr>
      <w:rPr>
        <w:rFonts w:ascii="Courier New" w:hAnsi="Courier New" w:hint="default"/>
      </w:rPr>
    </w:lvl>
    <w:lvl w:ilvl="8" w:tplc="4B182AFA">
      <w:start w:val="1"/>
      <w:numFmt w:val="bullet"/>
      <w:lvlText w:val=""/>
      <w:lvlJc w:val="left"/>
      <w:pPr>
        <w:ind w:left="6480" w:hanging="360"/>
      </w:pPr>
      <w:rPr>
        <w:rFonts w:ascii="Wingdings" w:hAnsi="Wingdings" w:hint="default"/>
      </w:rPr>
    </w:lvl>
  </w:abstractNum>
  <w:abstractNum w:abstractNumId="71" w15:restartNumberingAfterBreak="0">
    <w:nsid w:val="546F43D9"/>
    <w:multiLevelType w:val="hybridMultilevel"/>
    <w:tmpl w:val="FFFFFFFF"/>
    <w:lvl w:ilvl="0" w:tplc="601C9C88">
      <w:start w:val="6"/>
      <w:numFmt w:val="decimal"/>
      <w:lvlText w:val="%1."/>
      <w:lvlJc w:val="left"/>
      <w:pPr>
        <w:ind w:left="720" w:hanging="360"/>
      </w:pPr>
      <w:rPr>
        <w:rFonts w:ascii="Arial" w:hAnsi="Arial" w:hint="default"/>
      </w:rPr>
    </w:lvl>
    <w:lvl w:ilvl="1" w:tplc="BC4A186E">
      <w:start w:val="1"/>
      <w:numFmt w:val="lowerLetter"/>
      <w:lvlText w:val="%2."/>
      <w:lvlJc w:val="left"/>
      <w:pPr>
        <w:ind w:left="1440" w:hanging="360"/>
      </w:pPr>
    </w:lvl>
    <w:lvl w:ilvl="2" w:tplc="98BA893C">
      <w:start w:val="1"/>
      <w:numFmt w:val="lowerRoman"/>
      <w:lvlText w:val="%3."/>
      <w:lvlJc w:val="right"/>
      <w:pPr>
        <w:ind w:left="2160" w:hanging="180"/>
      </w:pPr>
    </w:lvl>
    <w:lvl w:ilvl="3" w:tplc="6484B7FA">
      <w:start w:val="1"/>
      <w:numFmt w:val="decimal"/>
      <w:lvlText w:val="%4."/>
      <w:lvlJc w:val="left"/>
      <w:pPr>
        <w:ind w:left="2880" w:hanging="360"/>
      </w:pPr>
    </w:lvl>
    <w:lvl w:ilvl="4" w:tplc="7374820E">
      <w:start w:val="1"/>
      <w:numFmt w:val="lowerLetter"/>
      <w:lvlText w:val="%5."/>
      <w:lvlJc w:val="left"/>
      <w:pPr>
        <w:ind w:left="3600" w:hanging="360"/>
      </w:pPr>
    </w:lvl>
    <w:lvl w:ilvl="5" w:tplc="CEC29C34">
      <w:start w:val="1"/>
      <w:numFmt w:val="lowerRoman"/>
      <w:lvlText w:val="%6."/>
      <w:lvlJc w:val="right"/>
      <w:pPr>
        <w:ind w:left="4320" w:hanging="180"/>
      </w:pPr>
    </w:lvl>
    <w:lvl w:ilvl="6" w:tplc="23CA4A52">
      <w:start w:val="1"/>
      <w:numFmt w:val="decimal"/>
      <w:lvlText w:val="%7."/>
      <w:lvlJc w:val="left"/>
      <w:pPr>
        <w:ind w:left="5040" w:hanging="360"/>
      </w:pPr>
    </w:lvl>
    <w:lvl w:ilvl="7" w:tplc="B5A617FE">
      <w:start w:val="1"/>
      <w:numFmt w:val="lowerLetter"/>
      <w:lvlText w:val="%8."/>
      <w:lvlJc w:val="left"/>
      <w:pPr>
        <w:ind w:left="5760" w:hanging="360"/>
      </w:pPr>
    </w:lvl>
    <w:lvl w:ilvl="8" w:tplc="EF2CE8C4">
      <w:start w:val="1"/>
      <w:numFmt w:val="lowerRoman"/>
      <w:lvlText w:val="%9."/>
      <w:lvlJc w:val="right"/>
      <w:pPr>
        <w:ind w:left="6480" w:hanging="180"/>
      </w:pPr>
    </w:lvl>
  </w:abstractNum>
  <w:abstractNum w:abstractNumId="72" w15:restartNumberingAfterBreak="0">
    <w:nsid w:val="5562828A"/>
    <w:multiLevelType w:val="hybridMultilevel"/>
    <w:tmpl w:val="FFFFFFFF"/>
    <w:lvl w:ilvl="0" w:tplc="98AED4AE">
      <w:start w:val="1"/>
      <w:numFmt w:val="bullet"/>
      <w:lvlText w:val="-"/>
      <w:lvlJc w:val="left"/>
      <w:pPr>
        <w:ind w:left="720" w:hanging="360"/>
      </w:pPr>
      <w:rPr>
        <w:rFonts w:ascii="Calibri" w:hAnsi="Calibri" w:hint="default"/>
      </w:rPr>
    </w:lvl>
    <w:lvl w:ilvl="1" w:tplc="9184ECD6">
      <w:start w:val="1"/>
      <w:numFmt w:val="bullet"/>
      <w:lvlText w:val="o"/>
      <w:lvlJc w:val="left"/>
      <w:pPr>
        <w:ind w:left="1440" w:hanging="360"/>
      </w:pPr>
      <w:rPr>
        <w:rFonts w:ascii="Courier New" w:hAnsi="Courier New" w:hint="default"/>
      </w:rPr>
    </w:lvl>
    <w:lvl w:ilvl="2" w:tplc="5F6E988E">
      <w:start w:val="1"/>
      <w:numFmt w:val="bullet"/>
      <w:lvlText w:val=""/>
      <w:lvlJc w:val="left"/>
      <w:pPr>
        <w:ind w:left="2160" w:hanging="360"/>
      </w:pPr>
      <w:rPr>
        <w:rFonts w:ascii="Wingdings" w:hAnsi="Wingdings" w:hint="default"/>
      </w:rPr>
    </w:lvl>
    <w:lvl w:ilvl="3" w:tplc="180828B2">
      <w:start w:val="1"/>
      <w:numFmt w:val="bullet"/>
      <w:lvlText w:val=""/>
      <w:lvlJc w:val="left"/>
      <w:pPr>
        <w:ind w:left="2880" w:hanging="360"/>
      </w:pPr>
      <w:rPr>
        <w:rFonts w:ascii="Symbol" w:hAnsi="Symbol" w:hint="default"/>
      </w:rPr>
    </w:lvl>
    <w:lvl w:ilvl="4" w:tplc="90082408">
      <w:start w:val="1"/>
      <w:numFmt w:val="bullet"/>
      <w:lvlText w:val="o"/>
      <w:lvlJc w:val="left"/>
      <w:pPr>
        <w:ind w:left="3600" w:hanging="360"/>
      </w:pPr>
      <w:rPr>
        <w:rFonts w:ascii="Courier New" w:hAnsi="Courier New" w:hint="default"/>
      </w:rPr>
    </w:lvl>
    <w:lvl w:ilvl="5" w:tplc="BCE087CA">
      <w:start w:val="1"/>
      <w:numFmt w:val="bullet"/>
      <w:lvlText w:val=""/>
      <w:lvlJc w:val="left"/>
      <w:pPr>
        <w:ind w:left="4320" w:hanging="360"/>
      </w:pPr>
      <w:rPr>
        <w:rFonts w:ascii="Wingdings" w:hAnsi="Wingdings" w:hint="default"/>
      </w:rPr>
    </w:lvl>
    <w:lvl w:ilvl="6" w:tplc="EEC8FCD8">
      <w:start w:val="1"/>
      <w:numFmt w:val="bullet"/>
      <w:lvlText w:val=""/>
      <w:lvlJc w:val="left"/>
      <w:pPr>
        <w:ind w:left="5040" w:hanging="360"/>
      </w:pPr>
      <w:rPr>
        <w:rFonts w:ascii="Symbol" w:hAnsi="Symbol" w:hint="default"/>
      </w:rPr>
    </w:lvl>
    <w:lvl w:ilvl="7" w:tplc="A46C5D0E">
      <w:start w:val="1"/>
      <w:numFmt w:val="bullet"/>
      <w:lvlText w:val="o"/>
      <w:lvlJc w:val="left"/>
      <w:pPr>
        <w:ind w:left="5760" w:hanging="360"/>
      </w:pPr>
      <w:rPr>
        <w:rFonts w:ascii="Courier New" w:hAnsi="Courier New" w:hint="default"/>
      </w:rPr>
    </w:lvl>
    <w:lvl w:ilvl="8" w:tplc="3E50D7EC">
      <w:start w:val="1"/>
      <w:numFmt w:val="bullet"/>
      <w:lvlText w:val=""/>
      <w:lvlJc w:val="left"/>
      <w:pPr>
        <w:ind w:left="6480" w:hanging="360"/>
      </w:pPr>
      <w:rPr>
        <w:rFonts w:ascii="Wingdings" w:hAnsi="Wingdings" w:hint="default"/>
      </w:rPr>
    </w:lvl>
  </w:abstractNum>
  <w:abstractNum w:abstractNumId="7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4" w15:restartNumberingAfterBreak="0">
    <w:nsid w:val="55722B6B"/>
    <w:multiLevelType w:val="hybridMultilevel"/>
    <w:tmpl w:val="B8C4C9B2"/>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C806B2"/>
    <w:multiLevelType w:val="hybridMultilevel"/>
    <w:tmpl w:val="29FE3B06"/>
    <w:lvl w:ilvl="0" w:tplc="FFFFFFFF">
      <w:start w:val="1"/>
      <w:numFmt w:val="bullet"/>
      <w:lvlText w:val="-"/>
      <w:lvlJc w:val="left"/>
      <w:pPr>
        <w:ind w:left="720" w:hanging="360"/>
      </w:pPr>
      <w:rPr>
        <w:rFonts w:ascii="Times New Roman" w:hAnsi="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7" w15:restartNumberingAfterBreak="0">
    <w:nsid w:val="5B61650C"/>
    <w:multiLevelType w:val="hybridMultilevel"/>
    <w:tmpl w:val="3BAED582"/>
    <w:lvl w:ilvl="0" w:tplc="18090001">
      <w:start w:val="1"/>
      <w:numFmt w:val="bullet"/>
      <w:lvlText w:val=""/>
      <w:lvlJc w:val="left"/>
      <w:pPr>
        <w:ind w:left="720" w:hanging="360"/>
      </w:pPr>
      <w:rPr>
        <w:rFonts w:ascii="MS Mincho" w:hAnsi="MS Mincho"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78" w15:restartNumberingAfterBreak="0">
    <w:nsid w:val="5B7B4212"/>
    <w:multiLevelType w:val="hybridMultilevel"/>
    <w:tmpl w:val="FFFFFFFF"/>
    <w:lvl w:ilvl="0" w:tplc="5584427E">
      <w:start w:val="1"/>
      <w:numFmt w:val="bullet"/>
      <w:lvlText w:val="-"/>
      <w:lvlJc w:val="left"/>
      <w:pPr>
        <w:ind w:left="720" w:hanging="360"/>
      </w:pPr>
      <w:rPr>
        <w:rFonts w:ascii="Yu Mincho Light" w:hAnsi="Yu Mincho Light" w:hint="default"/>
      </w:rPr>
    </w:lvl>
    <w:lvl w:ilvl="1" w:tplc="70109100">
      <w:start w:val="1"/>
      <w:numFmt w:val="bullet"/>
      <w:lvlText w:val="o"/>
      <w:lvlJc w:val="left"/>
      <w:pPr>
        <w:ind w:left="1440" w:hanging="360"/>
      </w:pPr>
      <w:rPr>
        <w:rFonts w:ascii="@MS Mincho" w:hAnsi="@MS Mincho" w:hint="default"/>
      </w:rPr>
    </w:lvl>
    <w:lvl w:ilvl="2" w:tplc="530A15BE">
      <w:start w:val="1"/>
      <w:numFmt w:val="bullet"/>
      <w:lvlText w:val=""/>
      <w:lvlJc w:val="left"/>
      <w:pPr>
        <w:ind w:left="2160" w:hanging="360"/>
      </w:pPr>
      <w:rPr>
        <w:rFonts w:ascii="MS Mincho" w:hAnsi="MS Mincho" w:hint="default"/>
      </w:rPr>
    </w:lvl>
    <w:lvl w:ilvl="3" w:tplc="9E56B07C">
      <w:start w:val="1"/>
      <w:numFmt w:val="bullet"/>
      <w:lvlText w:val=""/>
      <w:lvlJc w:val="left"/>
      <w:pPr>
        <w:ind w:left="2880" w:hanging="360"/>
      </w:pPr>
      <w:rPr>
        <w:rFonts w:ascii="Times New Roman félkövér" w:hAnsi="Times New Roman félkövér" w:hint="default"/>
      </w:rPr>
    </w:lvl>
    <w:lvl w:ilvl="4" w:tplc="0D1AF1FA">
      <w:start w:val="1"/>
      <w:numFmt w:val="bullet"/>
      <w:lvlText w:val="o"/>
      <w:lvlJc w:val="left"/>
      <w:pPr>
        <w:ind w:left="3600" w:hanging="360"/>
      </w:pPr>
      <w:rPr>
        <w:rFonts w:ascii="@MS Mincho" w:hAnsi="@MS Mincho" w:hint="default"/>
      </w:rPr>
    </w:lvl>
    <w:lvl w:ilvl="5" w:tplc="ADC02602">
      <w:start w:val="1"/>
      <w:numFmt w:val="bullet"/>
      <w:lvlText w:val=""/>
      <w:lvlJc w:val="left"/>
      <w:pPr>
        <w:ind w:left="4320" w:hanging="360"/>
      </w:pPr>
      <w:rPr>
        <w:rFonts w:ascii="MS Mincho" w:hAnsi="MS Mincho" w:hint="default"/>
      </w:rPr>
    </w:lvl>
    <w:lvl w:ilvl="6" w:tplc="5EB4AE94">
      <w:start w:val="1"/>
      <w:numFmt w:val="bullet"/>
      <w:lvlText w:val=""/>
      <w:lvlJc w:val="left"/>
      <w:pPr>
        <w:ind w:left="5040" w:hanging="360"/>
      </w:pPr>
      <w:rPr>
        <w:rFonts w:ascii="Times New Roman félkövér" w:hAnsi="Times New Roman félkövér" w:hint="default"/>
      </w:rPr>
    </w:lvl>
    <w:lvl w:ilvl="7" w:tplc="02AAB518">
      <w:start w:val="1"/>
      <w:numFmt w:val="bullet"/>
      <w:lvlText w:val="o"/>
      <w:lvlJc w:val="left"/>
      <w:pPr>
        <w:ind w:left="5760" w:hanging="360"/>
      </w:pPr>
      <w:rPr>
        <w:rFonts w:ascii="@MS Mincho" w:hAnsi="@MS Mincho" w:hint="default"/>
      </w:rPr>
    </w:lvl>
    <w:lvl w:ilvl="8" w:tplc="F31AB2AC">
      <w:start w:val="1"/>
      <w:numFmt w:val="bullet"/>
      <w:lvlText w:val=""/>
      <w:lvlJc w:val="left"/>
      <w:pPr>
        <w:ind w:left="6480" w:hanging="360"/>
      </w:pPr>
      <w:rPr>
        <w:rFonts w:ascii="MS Mincho" w:hAnsi="MS Mincho" w:hint="default"/>
      </w:rPr>
    </w:lvl>
  </w:abstractNum>
  <w:abstractNum w:abstractNumId="7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5670C0"/>
    <w:multiLevelType w:val="hybridMultilevel"/>
    <w:tmpl w:val="0B3074BC"/>
    <w:lvl w:ilvl="0" w:tplc="B2AC25C2">
      <w:numFmt w:val="bullet"/>
      <w:lvlText w:val=""/>
      <w:lvlJc w:val="left"/>
      <w:pPr>
        <w:ind w:left="787" w:hanging="360"/>
      </w:pPr>
      <w:rPr>
        <w:rFonts w:ascii="Symbol" w:eastAsiaTheme="minorEastAsia" w:hAnsi="Symbol" w:cs="Times New Roman" w:hint="default"/>
      </w:rPr>
    </w:lvl>
    <w:lvl w:ilvl="1" w:tplc="FFFFFFFF">
      <w:start w:val="1"/>
      <w:numFmt w:val="bullet"/>
      <w:lvlText w:val="o"/>
      <w:lvlJc w:val="left"/>
      <w:pPr>
        <w:ind w:left="1507" w:hanging="360"/>
      </w:pPr>
      <w:rPr>
        <w:rFonts w:ascii="@MS Mincho" w:eastAsia="Times New Roman" w:hAnsi="@MS Mincho" w:cs="@MS Mincho" w:hint="eastAsia"/>
      </w:rPr>
    </w:lvl>
    <w:lvl w:ilvl="2" w:tplc="FFFFFFFF">
      <w:start w:val="1"/>
      <w:numFmt w:val="bullet"/>
      <w:lvlText w:val=""/>
      <w:lvlJc w:val="left"/>
      <w:pPr>
        <w:ind w:left="2227" w:hanging="360"/>
      </w:pPr>
      <w:rPr>
        <w:rFonts w:ascii="MS Mincho" w:eastAsia="Times New Roman" w:hAnsi="MS Mincho" w:hint="eastAsia"/>
      </w:rPr>
    </w:lvl>
    <w:lvl w:ilvl="3" w:tplc="FFFFFFFF">
      <w:start w:val="1"/>
      <w:numFmt w:val="bullet"/>
      <w:lvlText w:val=""/>
      <w:lvlJc w:val="left"/>
      <w:pPr>
        <w:ind w:left="2947" w:hanging="360"/>
      </w:pPr>
      <w:rPr>
        <w:rFonts w:ascii="Times New Roman félkövér" w:hAnsi="Times New Roman félkövér" w:hint="default"/>
      </w:rPr>
    </w:lvl>
    <w:lvl w:ilvl="4" w:tplc="FFFFFFFF">
      <w:start w:val="1"/>
      <w:numFmt w:val="bullet"/>
      <w:lvlText w:val="o"/>
      <w:lvlJc w:val="left"/>
      <w:pPr>
        <w:ind w:left="3667" w:hanging="360"/>
      </w:pPr>
      <w:rPr>
        <w:rFonts w:ascii="@MS Mincho" w:eastAsia="Times New Roman" w:hAnsi="@MS Mincho" w:cs="@MS Mincho" w:hint="eastAsia"/>
      </w:rPr>
    </w:lvl>
    <w:lvl w:ilvl="5" w:tplc="FFFFFFFF">
      <w:start w:val="1"/>
      <w:numFmt w:val="bullet"/>
      <w:lvlText w:val=""/>
      <w:lvlJc w:val="left"/>
      <w:pPr>
        <w:ind w:left="4387" w:hanging="360"/>
      </w:pPr>
      <w:rPr>
        <w:rFonts w:ascii="MS Mincho" w:eastAsia="Times New Roman" w:hAnsi="MS Mincho" w:hint="eastAsia"/>
      </w:rPr>
    </w:lvl>
    <w:lvl w:ilvl="6" w:tplc="FFFFFFFF">
      <w:start w:val="1"/>
      <w:numFmt w:val="bullet"/>
      <w:lvlText w:val=""/>
      <w:lvlJc w:val="left"/>
      <w:pPr>
        <w:ind w:left="5107" w:hanging="360"/>
      </w:pPr>
      <w:rPr>
        <w:rFonts w:ascii="Times New Roman félkövér" w:hAnsi="Times New Roman félkövér" w:hint="default"/>
      </w:rPr>
    </w:lvl>
    <w:lvl w:ilvl="7" w:tplc="FFFFFFFF">
      <w:start w:val="1"/>
      <w:numFmt w:val="bullet"/>
      <w:lvlText w:val="o"/>
      <w:lvlJc w:val="left"/>
      <w:pPr>
        <w:ind w:left="5827" w:hanging="360"/>
      </w:pPr>
      <w:rPr>
        <w:rFonts w:ascii="@MS Mincho" w:eastAsia="Times New Roman" w:hAnsi="@MS Mincho" w:cs="@MS Mincho" w:hint="eastAsia"/>
      </w:rPr>
    </w:lvl>
    <w:lvl w:ilvl="8" w:tplc="FFFFFFFF">
      <w:start w:val="1"/>
      <w:numFmt w:val="bullet"/>
      <w:lvlText w:val=""/>
      <w:lvlJc w:val="left"/>
      <w:pPr>
        <w:ind w:left="6547" w:hanging="360"/>
      </w:pPr>
      <w:rPr>
        <w:rFonts w:ascii="MS Mincho" w:eastAsia="Times New Roman" w:hAnsi="MS Mincho" w:hint="eastAsia"/>
      </w:rPr>
    </w:lvl>
  </w:abstractNum>
  <w:abstractNum w:abstractNumId="82" w15:restartNumberingAfterBreak="0">
    <w:nsid w:val="5F42C4D7"/>
    <w:multiLevelType w:val="hybridMultilevel"/>
    <w:tmpl w:val="FFFFFFFF"/>
    <w:lvl w:ilvl="0" w:tplc="85908E40">
      <w:start w:val="5"/>
      <w:numFmt w:val="decimal"/>
      <w:lvlText w:val="%1."/>
      <w:lvlJc w:val="left"/>
      <w:pPr>
        <w:ind w:left="720" w:hanging="360"/>
      </w:pPr>
      <w:rPr>
        <w:rFonts w:ascii="Arial" w:hAnsi="Arial" w:hint="default"/>
      </w:rPr>
    </w:lvl>
    <w:lvl w:ilvl="1" w:tplc="9E30FE2E">
      <w:start w:val="1"/>
      <w:numFmt w:val="lowerLetter"/>
      <w:lvlText w:val="%2."/>
      <w:lvlJc w:val="left"/>
      <w:pPr>
        <w:ind w:left="1440" w:hanging="360"/>
      </w:pPr>
    </w:lvl>
    <w:lvl w:ilvl="2" w:tplc="CDF60808">
      <w:start w:val="1"/>
      <w:numFmt w:val="lowerRoman"/>
      <w:lvlText w:val="%3."/>
      <w:lvlJc w:val="right"/>
      <w:pPr>
        <w:ind w:left="2160" w:hanging="180"/>
      </w:pPr>
    </w:lvl>
    <w:lvl w:ilvl="3" w:tplc="570274F8">
      <w:start w:val="1"/>
      <w:numFmt w:val="decimal"/>
      <w:lvlText w:val="%4."/>
      <w:lvlJc w:val="left"/>
      <w:pPr>
        <w:ind w:left="2880" w:hanging="360"/>
      </w:pPr>
    </w:lvl>
    <w:lvl w:ilvl="4" w:tplc="BAE6A98E">
      <w:start w:val="1"/>
      <w:numFmt w:val="lowerLetter"/>
      <w:lvlText w:val="%5."/>
      <w:lvlJc w:val="left"/>
      <w:pPr>
        <w:ind w:left="3600" w:hanging="360"/>
      </w:pPr>
    </w:lvl>
    <w:lvl w:ilvl="5" w:tplc="3DB267C0">
      <w:start w:val="1"/>
      <w:numFmt w:val="lowerRoman"/>
      <w:lvlText w:val="%6."/>
      <w:lvlJc w:val="right"/>
      <w:pPr>
        <w:ind w:left="4320" w:hanging="180"/>
      </w:pPr>
    </w:lvl>
    <w:lvl w:ilvl="6" w:tplc="90FA4D30">
      <w:start w:val="1"/>
      <w:numFmt w:val="decimal"/>
      <w:lvlText w:val="%7."/>
      <w:lvlJc w:val="left"/>
      <w:pPr>
        <w:ind w:left="5040" w:hanging="360"/>
      </w:pPr>
    </w:lvl>
    <w:lvl w:ilvl="7" w:tplc="B61CC490">
      <w:start w:val="1"/>
      <w:numFmt w:val="lowerLetter"/>
      <w:lvlText w:val="%8."/>
      <w:lvlJc w:val="left"/>
      <w:pPr>
        <w:ind w:left="5760" w:hanging="360"/>
      </w:pPr>
    </w:lvl>
    <w:lvl w:ilvl="8" w:tplc="4BE2B3D2">
      <w:start w:val="1"/>
      <w:numFmt w:val="lowerRoman"/>
      <w:lvlText w:val="%9."/>
      <w:lvlJc w:val="right"/>
      <w:pPr>
        <w:ind w:left="6480" w:hanging="180"/>
      </w:pPr>
    </w:lvl>
  </w:abstractNum>
  <w:abstractNum w:abstractNumId="83" w15:restartNumberingAfterBreak="0">
    <w:nsid w:val="63FA6C6C"/>
    <w:multiLevelType w:val="hybridMultilevel"/>
    <w:tmpl w:val="FFFFFFFF"/>
    <w:lvl w:ilvl="0" w:tplc="BFE443FC">
      <w:start w:val="1"/>
      <w:numFmt w:val="decimal"/>
      <w:lvlText w:val="%1."/>
      <w:lvlJc w:val="left"/>
      <w:pPr>
        <w:ind w:left="720" w:hanging="360"/>
      </w:pPr>
      <w:rPr>
        <w:rFonts w:ascii="Arial" w:hAnsi="Arial" w:hint="default"/>
      </w:rPr>
    </w:lvl>
    <w:lvl w:ilvl="1" w:tplc="78AAB50E">
      <w:start w:val="1"/>
      <w:numFmt w:val="lowerLetter"/>
      <w:lvlText w:val="%2."/>
      <w:lvlJc w:val="left"/>
      <w:pPr>
        <w:ind w:left="1440" w:hanging="360"/>
      </w:pPr>
    </w:lvl>
    <w:lvl w:ilvl="2" w:tplc="4874DBE6">
      <w:start w:val="1"/>
      <w:numFmt w:val="lowerRoman"/>
      <w:lvlText w:val="%3."/>
      <w:lvlJc w:val="right"/>
      <w:pPr>
        <w:ind w:left="2160" w:hanging="180"/>
      </w:pPr>
    </w:lvl>
    <w:lvl w:ilvl="3" w:tplc="9C58804C">
      <w:start w:val="1"/>
      <w:numFmt w:val="decimal"/>
      <w:lvlText w:val="%4."/>
      <w:lvlJc w:val="left"/>
      <w:pPr>
        <w:ind w:left="2880" w:hanging="360"/>
      </w:pPr>
    </w:lvl>
    <w:lvl w:ilvl="4" w:tplc="54A484DA">
      <w:start w:val="1"/>
      <w:numFmt w:val="lowerLetter"/>
      <w:lvlText w:val="%5."/>
      <w:lvlJc w:val="left"/>
      <w:pPr>
        <w:ind w:left="3600" w:hanging="360"/>
      </w:pPr>
    </w:lvl>
    <w:lvl w:ilvl="5" w:tplc="3A1A5CD2">
      <w:start w:val="1"/>
      <w:numFmt w:val="lowerRoman"/>
      <w:lvlText w:val="%6."/>
      <w:lvlJc w:val="right"/>
      <w:pPr>
        <w:ind w:left="4320" w:hanging="180"/>
      </w:pPr>
    </w:lvl>
    <w:lvl w:ilvl="6" w:tplc="5FF49A50">
      <w:start w:val="1"/>
      <w:numFmt w:val="decimal"/>
      <w:lvlText w:val="%7."/>
      <w:lvlJc w:val="left"/>
      <w:pPr>
        <w:ind w:left="5040" w:hanging="360"/>
      </w:pPr>
    </w:lvl>
    <w:lvl w:ilvl="7" w:tplc="7E62052A">
      <w:start w:val="1"/>
      <w:numFmt w:val="lowerLetter"/>
      <w:lvlText w:val="%8."/>
      <w:lvlJc w:val="left"/>
      <w:pPr>
        <w:ind w:left="5760" w:hanging="360"/>
      </w:pPr>
    </w:lvl>
    <w:lvl w:ilvl="8" w:tplc="5AB6589C">
      <w:start w:val="1"/>
      <w:numFmt w:val="lowerRoman"/>
      <w:lvlText w:val="%9."/>
      <w:lvlJc w:val="right"/>
      <w:pPr>
        <w:ind w:left="6480" w:hanging="180"/>
      </w:pPr>
    </w:lvl>
  </w:abstractNum>
  <w:abstractNum w:abstractNumId="84" w15:restartNumberingAfterBreak="0">
    <w:nsid w:val="647B00E9"/>
    <w:multiLevelType w:val="hybridMultilevel"/>
    <w:tmpl w:val="4E965456"/>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64A12FA4"/>
    <w:multiLevelType w:val="multilevel"/>
    <w:tmpl w:val="BC1C158C"/>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5F29AB7"/>
    <w:multiLevelType w:val="hybridMultilevel"/>
    <w:tmpl w:val="FFFFFFFF"/>
    <w:lvl w:ilvl="0" w:tplc="58201CB0">
      <w:start w:val="1"/>
      <w:numFmt w:val="bullet"/>
      <w:lvlText w:val="·"/>
      <w:lvlJc w:val="left"/>
      <w:pPr>
        <w:ind w:left="720" w:hanging="360"/>
      </w:pPr>
      <w:rPr>
        <w:rFonts w:ascii="Symbol" w:hAnsi="Symbol" w:hint="default"/>
      </w:rPr>
    </w:lvl>
    <w:lvl w:ilvl="1" w:tplc="F21CCB48">
      <w:start w:val="1"/>
      <w:numFmt w:val="bullet"/>
      <w:lvlText w:val="o"/>
      <w:lvlJc w:val="left"/>
      <w:pPr>
        <w:ind w:left="1440" w:hanging="360"/>
      </w:pPr>
      <w:rPr>
        <w:rFonts w:ascii="Courier New" w:hAnsi="Courier New" w:hint="default"/>
      </w:rPr>
    </w:lvl>
    <w:lvl w:ilvl="2" w:tplc="FFCE4578">
      <w:start w:val="1"/>
      <w:numFmt w:val="bullet"/>
      <w:lvlText w:val=""/>
      <w:lvlJc w:val="left"/>
      <w:pPr>
        <w:ind w:left="2160" w:hanging="360"/>
      </w:pPr>
      <w:rPr>
        <w:rFonts w:ascii="Wingdings" w:hAnsi="Wingdings" w:hint="default"/>
      </w:rPr>
    </w:lvl>
    <w:lvl w:ilvl="3" w:tplc="7CAA1FD6">
      <w:start w:val="1"/>
      <w:numFmt w:val="bullet"/>
      <w:lvlText w:val=""/>
      <w:lvlJc w:val="left"/>
      <w:pPr>
        <w:ind w:left="2880" w:hanging="360"/>
      </w:pPr>
      <w:rPr>
        <w:rFonts w:ascii="Symbol" w:hAnsi="Symbol" w:hint="default"/>
      </w:rPr>
    </w:lvl>
    <w:lvl w:ilvl="4" w:tplc="AF8E51E4">
      <w:start w:val="1"/>
      <w:numFmt w:val="bullet"/>
      <w:lvlText w:val="o"/>
      <w:lvlJc w:val="left"/>
      <w:pPr>
        <w:ind w:left="3600" w:hanging="360"/>
      </w:pPr>
      <w:rPr>
        <w:rFonts w:ascii="Courier New" w:hAnsi="Courier New" w:hint="default"/>
      </w:rPr>
    </w:lvl>
    <w:lvl w:ilvl="5" w:tplc="EFFE6B0C">
      <w:start w:val="1"/>
      <w:numFmt w:val="bullet"/>
      <w:lvlText w:val=""/>
      <w:lvlJc w:val="left"/>
      <w:pPr>
        <w:ind w:left="4320" w:hanging="360"/>
      </w:pPr>
      <w:rPr>
        <w:rFonts w:ascii="Wingdings" w:hAnsi="Wingdings" w:hint="default"/>
      </w:rPr>
    </w:lvl>
    <w:lvl w:ilvl="6" w:tplc="29447762">
      <w:start w:val="1"/>
      <w:numFmt w:val="bullet"/>
      <w:lvlText w:val=""/>
      <w:lvlJc w:val="left"/>
      <w:pPr>
        <w:ind w:left="5040" w:hanging="360"/>
      </w:pPr>
      <w:rPr>
        <w:rFonts w:ascii="Symbol" w:hAnsi="Symbol" w:hint="default"/>
      </w:rPr>
    </w:lvl>
    <w:lvl w:ilvl="7" w:tplc="6E262278">
      <w:start w:val="1"/>
      <w:numFmt w:val="bullet"/>
      <w:lvlText w:val="o"/>
      <w:lvlJc w:val="left"/>
      <w:pPr>
        <w:ind w:left="5760" w:hanging="360"/>
      </w:pPr>
      <w:rPr>
        <w:rFonts w:ascii="Courier New" w:hAnsi="Courier New" w:hint="default"/>
      </w:rPr>
    </w:lvl>
    <w:lvl w:ilvl="8" w:tplc="DAA0A588">
      <w:start w:val="1"/>
      <w:numFmt w:val="bullet"/>
      <w:lvlText w:val=""/>
      <w:lvlJc w:val="left"/>
      <w:pPr>
        <w:ind w:left="6480" w:hanging="360"/>
      </w:pPr>
      <w:rPr>
        <w:rFonts w:ascii="Wingdings" w:hAnsi="Wingdings" w:hint="default"/>
      </w:rPr>
    </w:lvl>
  </w:abstractNum>
  <w:abstractNum w:abstractNumId="87" w15:restartNumberingAfterBreak="0">
    <w:nsid w:val="6611570F"/>
    <w:multiLevelType w:val="hybridMultilevel"/>
    <w:tmpl w:val="3EA0F09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8" w15:restartNumberingAfterBreak="0">
    <w:nsid w:val="664D70F5"/>
    <w:multiLevelType w:val="hybridMultilevel"/>
    <w:tmpl w:val="7926427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4E5F2B"/>
    <w:multiLevelType w:val="hybridMultilevel"/>
    <w:tmpl w:val="A07C5026"/>
    <w:lvl w:ilvl="0" w:tplc="1430B29A">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91" w15:restartNumberingAfterBreak="0">
    <w:nsid w:val="693606FA"/>
    <w:multiLevelType w:val="hybridMultilevel"/>
    <w:tmpl w:val="8D6280A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B46E49"/>
    <w:multiLevelType w:val="hybridMultilevel"/>
    <w:tmpl w:val="71CE6D68"/>
    <w:lvl w:ilvl="0" w:tplc="991C3E1E">
      <w:start w:val="1"/>
      <w:numFmt w:val="bullet"/>
      <w:lvlText w:val="-"/>
      <w:lvlJc w:val="left"/>
      <w:pPr>
        <w:ind w:left="776" w:hanging="360"/>
      </w:pPr>
      <w:rPr>
        <w:rFonts w:ascii="Calibri" w:hAnsi="Calibri"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3" w15:restartNumberingAfterBreak="0">
    <w:nsid w:val="6A9F1F71"/>
    <w:multiLevelType w:val="hybridMultilevel"/>
    <w:tmpl w:val="BBD8C89C"/>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B65415B"/>
    <w:multiLevelType w:val="hybridMultilevel"/>
    <w:tmpl w:val="E76CD6B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7957C5"/>
    <w:multiLevelType w:val="hybridMultilevel"/>
    <w:tmpl w:val="CB48133E"/>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BA97145"/>
    <w:multiLevelType w:val="hybridMultilevel"/>
    <w:tmpl w:val="4A84F69C"/>
    <w:lvl w:ilvl="0" w:tplc="B8D40F1C">
      <w:start w:val="1"/>
      <w:numFmt w:val="bullet"/>
      <w:lvlText w:val="-"/>
      <w:lvlJc w:val="left"/>
      <w:pPr>
        <w:ind w:left="108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CD3309"/>
    <w:multiLevelType w:val="hybridMultilevel"/>
    <w:tmpl w:val="4A983824"/>
    <w:lvl w:ilvl="0" w:tplc="991C3E1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6E050C4A"/>
    <w:multiLevelType w:val="hybridMultilevel"/>
    <w:tmpl w:val="505EAFF8"/>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E5E64AD"/>
    <w:multiLevelType w:val="hybridMultilevel"/>
    <w:tmpl w:val="300A349C"/>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1726FF"/>
    <w:multiLevelType w:val="hybridMultilevel"/>
    <w:tmpl w:val="FFFFFFFF"/>
    <w:lvl w:ilvl="0" w:tplc="98380C30">
      <w:start w:val="3"/>
      <w:numFmt w:val="decimal"/>
      <w:lvlText w:val="%1."/>
      <w:lvlJc w:val="left"/>
      <w:pPr>
        <w:ind w:left="720" w:hanging="360"/>
      </w:pPr>
      <w:rPr>
        <w:rFonts w:ascii="Arial" w:hAnsi="Arial" w:hint="default"/>
      </w:rPr>
    </w:lvl>
    <w:lvl w:ilvl="1" w:tplc="DD021EF2">
      <w:start w:val="1"/>
      <w:numFmt w:val="lowerLetter"/>
      <w:lvlText w:val="%2."/>
      <w:lvlJc w:val="left"/>
      <w:pPr>
        <w:ind w:left="1440" w:hanging="360"/>
      </w:pPr>
    </w:lvl>
    <w:lvl w:ilvl="2" w:tplc="AC98F804">
      <w:start w:val="1"/>
      <w:numFmt w:val="lowerRoman"/>
      <w:lvlText w:val="%3."/>
      <w:lvlJc w:val="right"/>
      <w:pPr>
        <w:ind w:left="2160" w:hanging="180"/>
      </w:pPr>
    </w:lvl>
    <w:lvl w:ilvl="3" w:tplc="389E5DE2">
      <w:start w:val="1"/>
      <w:numFmt w:val="decimal"/>
      <w:lvlText w:val="%4."/>
      <w:lvlJc w:val="left"/>
      <w:pPr>
        <w:ind w:left="2880" w:hanging="360"/>
      </w:pPr>
    </w:lvl>
    <w:lvl w:ilvl="4" w:tplc="365EFD8C">
      <w:start w:val="1"/>
      <w:numFmt w:val="lowerLetter"/>
      <w:lvlText w:val="%5."/>
      <w:lvlJc w:val="left"/>
      <w:pPr>
        <w:ind w:left="3600" w:hanging="360"/>
      </w:pPr>
    </w:lvl>
    <w:lvl w:ilvl="5" w:tplc="A1AE07A0">
      <w:start w:val="1"/>
      <w:numFmt w:val="lowerRoman"/>
      <w:lvlText w:val="%6."/>
      <w:lvlJc w:val="right"/>
      <w:pPr>
        <w:ind w:left="4320" w:hanging="180"/>
      </w:pPr>
    </w:lvl>
    <w:lvl w:ilvl="6" w:tplc="D096CB8E">
      <w:start w:val="1"/>
      <w:numFmt w:val="decimal"/>
      <w:lvlText w:val="%7."/>
      <w:lvlJc w:val="left"/>
      <w:pPr>
        <w:ind w:left="5040" w:hanging="360"/>
      </w:pPr>
    </w:lvl>
    <w:lvl w:ilvl="7" w:tplc="9BDCC560">
      <w:start w:val="1"/>
      <w:numFmt w:val="lowerLetter"/>
      <w:lvlText w:val="%8."/>
      <w:lvlJc w:val="left"/>
      <w:pPr>
        <w:ind w:left="5760" w:hanging="360"/>
      </w:pPr>
    </w:lvl>
    <w:lvl w:ilvl="8" w:tplc="8C92628C">
      <w:start w:val="1"/>
      <w:numFmt w:val="lowerRoman"/>
      <w:lvlText w:val="%9."/>
      <w:lvlJc w:val="right"/>
      <w:pPr>
        <w:ind w:left="6480" w:hanging="180"/>
      </w:pPr>
    </w:lvl>
  </w:abstractNum>
  <w:abstractNum w:abstractNumId="101" w15:restartNumberingAfterBreak="0">
    <w:nsid w:val="72770BB9"/>
    <w:multiLevelType w:val="hybridMultilevel"/>
    <w:tmpl w:val="B61263DC"/>
    <w:lvl w:ilvl="0" w:tplc="CDB2D0AC">
      <w:start w:val="1"/>
      <w:numFmt w:val="lowerRoman"/>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2" w15:restartNumberingAfterBreak="0">
    <w:nsid w:val="72AE595F"/>
    <w:multiLevelType w:val="hybridMultilevel"/>
    <w:tmpl w:val="11FA201C"/>
    <w:lvl w:ilvl="0" w:tplc="3B1621C6">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3" w15:restartNumberingAfterBreak="0">
    <w:nsid w:val="73DE680C"/>
    <w:multiLevelType w:val="hybridMultilevel"/>
    <w:tmpl w:val="E2D254FE"/>
    <w:lvl w:ilvl="0" w:tplc="786419CC">
      <w:start w:val="1"/>
      <w:numFmt w:val="bullet"/>
      <w:lvlText w:val="-"/>
      <w:lvlJc w:val="left"/>
      <w:pPr>
        <w:ind w:left="720" w:hanging="360"/>
      </w:pPr>
      <w:rPr>
        <w:rFonts w:ascii="MS Mincho" w:eastAsiaTheme="minorHAnsi" w:hAnsi="MS Mincho" w:cs="MS Mincho" w:hint="default"/>
      </w:rPr>
    </w:lvl>
    <w:lvl w:ilvl="1" w:tplc="18090003">
      <w:start w:val="1"/>
      <w:numFmt w:val="bullet"/>
      <w:lvlText w:val="o"/>
      <w:lvlJc w:val="left"/>
      <w:pPr>
        <w:ind w:left="1440" w:hanging="360"/>
      </w:pPr>
      <w:rPr>
        <w:rFonts w:ascii="Segoe UI Emoji" w:hAnsi="Segoe UI Emoji" w:cs="Segoe UI Emoji" w:hint="default"/>
      </w:rPr>
    </w:lvl>
    <w:lvl w:ilvl="2" w:tplc="18090005" w:tentative="1">
      <w:start w:val="1"/>
      <w:numFmt w:val="bullet"/>
      <w:lvlText w:val=""/>
      <w:lvlJc w:val="left"/>
      <w:pPr>
        <w:ind w:left="2160" w:hanging="360"/>
      </w:pPr>
      <w:rPr>
        <w:rFonts w:ascii="@MS Mincho" w:hAnsi="@MS Mincho" w:hint="default"/>
      </w:rPr>
    </w:lvl>
    <w:lvl w:ilvl="3" w:tplc="18090001" w:tentative="1">
      <w:start w:val="1"/>
      <w:numFmt w:val="bullet"/>
      <w:lvlText w:val=""/>
      <w:lvlJc w:val="left"/>
      <w:pPr>
        <w:ind w:left="2880" w:hanging="360"/>
      </w:pPr>
      <w:rPr>
        <w:rFonts w:ascii="Times New Roman félkövér" w:hAnsi="Times New Roman félkövér" w:hint="default"/>
      </w:rPr>
    </w:lvl>
    <w:lvl w:ilvl="4" w:tplc="18090003" w:tentative="1">
      <w:start w:val="1"/>
      <w:numFmt w:val="bullet"/>
      <w:lvlText w:val="o"/>
      <w:lvlJc w:val="left"/>
      <w:pPr>
        <w:ind w:left="3600" w:hanging="360"/>
      </w:pPr>
      <w:rPr>
        <w:rFonts w:ascii="Segoe UI Emoji" w:hAnsi="Segoe UI Emoji" w:cs="Segoe UI Emoji" w:hint="default"/>
      </w:rPr>
    </w:lvl>
    <w:lvl w:ilvl="5" w:tplc="18090005" w:tentative="1">
      <w:start w:val="1"/>
      <w:numFmt w:val="bullet"/>
      <w:lvlText w:val=""/>
      <w:lvlJc w:val="left"/>
      <w:pPr>
        <w:ind w:left="4320" w:hanging="360"/>
      </w:pPr>
      <w:rPr>
        <w:rFonts w:ascii="@MS Mincho" w:hAnsi="@MS Mincho" w:hint="default"/>
      </w:rPr>
    </w:lvl>
    <w:lvl w:ilvl="6" w:tplc="18090001" w:tentative="1">
      <w:start w:val="1"/>
      <w:numFmt w:val="bullet"/>
      <w:lvlText w:val=""/>
      <w:lvlJc w:val="left"/>
      <w:pPr>
        <w:ind w:left="5040" w:hanging="360"/>
      </w:pPr>
      <w:rPr>
        <w:rFonts w:ascii="Times New Roman félkövér" w:hAnsi="Times New Roman félkövér" w:hint="default"/>
      </w:rPr>
    </w:lvl>
    <w:lvl w:ilvl="7" w:tplc="18090003" w:tentative="1">
      <w:start w:val="1"/>
      <w:numFmt w:val="bullet"/>
      <w:lvlText w:val="o"/>
      <w:lvlJc w:val="left"/>
      <w:pPr>
        <w:ind w:left="5760" w:hanging="360"/>
      </w:pPr>
      <w:rPr>
        <w:rFonts w:ascii="Segoe UI Emoji" w:hAnsi="Segoe UI Emoji" w:cs="Segoe UI Emoji" w:hint="default"/>
      </w:rPr>
    </w:lvl>
    <w:lvl w:ilvl="8" w:tplc="18090005" w:tentative="1">
      <w:start w:val="1"/>
      <w:numFmt w:val="bullet"/>
      <w:lvlText w:val=""/>
      <w:lvlJc w:val="left"/>
      <w:pPr>
        <w:ind w:left="6480" w:hanging="360"/>
      </w:pPr>
      <w:rPr>
        <w:rFonts w:ascii="@MS Mincho" w:hAnsi="@MS Mincho" w:hint="default"/>
      </w:rPr>
    </w:lvl>
  </w:abstractNum>
  <w:abstractNum w:abstractNumId="104" w15:restartNumberingAfterBreak="0">
    <w:nsid w:val="743FC4E8"/>
    <w:multiLevelType w:val="hybridMultilevel"/>
    <w:tmpl w:val="FFFFFFFF"/>
    <w:lvl w:ilvl="0" w:tplc="68E0B802">
      <w:start w:val="7"/>
      <w:numFmt w:val="decimal"/>
      <w:lvlText w:val="%1."/>
      <w:lvlJc w:val="left"/>
      <w:pPr>
        <w:ind w:left="720" w:hanging="360"/>
      </w:pPr>
      <w:rPr>
        <w:rFonts w:ascii="Arial" w:hAnsi="Arial" w:hint="default"/>
      </w:rPr>
    </w:lvl>
    <w:lvl w:ilvl="1" w:tplc="95AEC662">
      <w:start w:val="1"/>
      <w:numFmt w:val="lowerLetter"/>
      <w:lvlText w:val="%2."/>
      <w:lvlJc w:val="left"/>
      <w:pPr>
        <w:ind w:left="1440" w:hanging="360"/>
      </w:pPr>
    </w:lvl>
    <w:lvl w:ilvl="2" w:tplc="298A1246">
      <w:start w:val="1"/>
      <w:numFmt w:val="lowerRoman"/>
      <w:lvlText w:val="%3."/>
      <w:lvlJc w:val="right"/>
      <w:pPr>
        <w:ind w:left="2160" w:hanging="180"/>
      </w:pPr>
    </w:lvl>
    <w:lvl w:ilvl="3" w:tplc="73F03BEA">
      <w:start w:val="1"/>
      <w:numFmt w:val="decimal"/>
      <w:lvlText w:val="%4."/>
      <w:lvlJc w:val="left"/>
      <w:pPr>
        <w:ind w:left="2880" w:hanging="360"/>
      </w:pPr>
    </w:lvl>
    <w:lvl w:ilvl="4" w:tplc="0FE29DB2">
      <w:start w:val="1"/>
      <w:numFmt w:val="lowerLetter"/>
      <w:lvlText w:val="%5."/>
      <w:lvlJc w:val="left"/>
      <w:pPr>
        <w:ind w:left="3600" w:hanging="360"/>
      </w:pPr>
    </w:lvl>
    <w:lvl w:ilvl="5" w:tplc="5A98CA7C">
      <w:start w:val="1"/>
      <w:numFmt w:val="lowerRoman"/>
      <w:lvlText w:val="%6."/>
      <w:lvlJc w:val="right"/>
      <w:pPr>
        <w:ind w:left="4320" w:hanging="180"/>
      </w:pPr>
    </w:lvl>
    <w:lvl w:ilvl="6" w:tplc="A2B0AE06">
      <w:start w:val="1"/>
      <w:numFmt w:val="decimal"/>
      <w:lvlText w:val="%7."/>
      <w:lvlJc w:val="left"/>
      <w:pPr>
        <w:ind w:left="5040" w:hanging="360"/>
      </w:pPr>
    </w:lvl>
    <w:lvl w:ilvl="7" w:tplc="94F03984">
      <w:start w:val="1"/>
      <w:numFmt w:val="lowerLetter"/>
      <w:lvlText w:val="%8."/>
      <w:lvlJc w:val="left"/>
      <w:pPr>
        <w:ind w:left="5760" w:hanging="360"/>
      </w:pPr>
    </w:lvl>
    <w:lvl w:ilvl="8" w:tplc="F01E3496">
      <w:start w:val="1"/>
      <w:numFmt w:val="lowerRoman"/>
      <w:lvlText w:val="%9."/>
      <w:lvlJc w:val="right"/>
      <w:pPr>
        <w:ind w:left="6480" w:hanging="180"/>
      </w:pPr>
    </w:lvl>
  </w:abstractNum>
  <w:abstractNum w:abstractNumId="105" w15:restartNumberingAfterBreak="0">
    <w:nsid w:val="74C36343"/>
    <w:multiLevelType w:val="hybridMultilevel"/>
    <w:tmpl w:val="FFFFFFFF"/>
    <w:lvl w:ilvl="0" w:tplc="18FE0878">
      <w:start w:val="1"/>
      <w:numFmt w:val="decimal"/>
      <w:lvlText w:val="%1."/>
      <w:lvlJc w:val="left"/>
      <w:pPr>
        <w:ind w:left="720" w:hanging="360"/>
      </w:pPr>
    </w:lvl>
    <w:lvl w:ilvl="1" w:tplc="30F481D2">
      <w:start w:val="1"/>
      <w:numFmt w:val="lowerLetter"/>
      <w:lvlText w:val="%2."/>
      <w:lvlJc w:val="left"/>
      <w:pPr>
        <w:ind w:left="1440" w:hanging="360"/>
      </w:pPr>
    </w:lvl>
    <w:lvl w:ilvl="2" w:tplc="BC2A330E">
      <w:start w:val="1"/>
      <w:numFmt w:val="lowerRoman"/>
      <w:lvlText w:val="%3."/>
      <w:lvlJc w:val="right"/>
      <w:pPr>
        <w:ind w:left="2160" w:hanging="180"/>
      </w:pPr>
    </w:lvl>
    <w:lvl w:ilvl="3" w:tplc="0AD85EA2">
      <w:start w:val="1"/>
      <w:numFmt w:val="decimal"/>
      <w:lvlText w:val="%4."/>
      <w:lvlJc w:val="left"/>
      <w:pPr>
        <w:ind w:left="2880" w:hanging="360"/>
      </w:pPr>
    </w:lvl>
    <w:lvl w:ilvl="4" w:tplc="EFE821FA">
      <w:start w:val="1"/>
      <w:numFmt w:val="lowerLetter"/>
      <w:lvlText w:val="%5."/>
      <w:lvlJc w:val="left"/>
      <w:pPr>
        <w:ind w:left="3600" w:hanging="360"/>
      </w:pPr>
    </w:lvl>
    <w:lvl w:ilvl="5" w:tplc="EF6A7952">
      <w:start w:val="1"/>
      <w:numFmt w:val="lowerRoman"/>
      <w:lvlText w:val="%6."/>
      <w:lvlJc w:val="right"/>
      <w:pPr>
        <w:ind w:left="4320" w:hanging="180"/>
      </w:pPr>
    </w:lvl>
    <w:lvl w:ilvl="6" w:tplc="AA54EB3A">
      <w:start w:val="1"/>
      <w:numFmt w:val="decimal"/>
      <w:lvlText w:val="%7."/>
      <w:lvlJc w:val="left"/>
      <w:pPr>
        <w:ind w:left="5040" w:hanging="360"/>
      </w:pPr>
    </w:lvl>
    <w:lvl w:ilvl="7" w:tplc="A3E27F76">
      <w:start w:val="1"/>
      <w:numFmt w:val="lowerLetter"/>
      <w:lvlText w:val="%8."/>
      <w:lvlJc w:val="left"/>
      <w:pPr>
        <w:ind w:left="5760" w:hanging="360"/>
      </w:pPr>
    </w:lvl>
    <w:lvl w:ilvl="8" w:tplc="715AFDE4">
      <w:start w:val="1"/>
      <w:numFmt w:val="lowerRoman"/>
      <w:lvlText w:val="%9."/>
      <w:lvlJc w:val="right"/>
      <w:pPr>
        <w:ind w:left="6480" w:hanging="180"/>
      </w:pPr>
    </w:lvl>
  </w:abstractNum>
  <w:abstractNum w:abstractNumId="106" w15:restartNumberingAfterBreak="0">
    <w:nsid w:val="74EFE3A3"/>
    <w:multiLevelType w:val="hybridMultilevel"/>
    <w:tmpl w:val="FFFFFFFF"/>
    <w:lvl w:ilvl="0" w:tplc="D40AFDD8">
      <w:start w:val="1"/>
      <w:numFmt w:val="bullet"/>
      <w:lvlText w:val="-"/>
      <w:lvlJc w:val="left"/>
      <w:pPr>
        <w:ind w:left="720" w:hanging="360"/>
      </w:pPr>
      <w:rPr>
        <w:rFonts w:ascii="Calibri" w:hAnsi="Calibri" w:hint="default"/>
      </w:rPr>
    </w:lvl>
    <w:lvl w:ilvl="1" w:tplc="D1B00D96">
      <w:start w:val="1"/>
      <w:numFmt w:val="bullet"/>
      <w:lvlText w:val="o"/>
      <w:lvlJc w:val="left"/>
      <w:pPr>
        <w:ind w:left="1440" w:hanging="360"/>
      </w:pPr>
      <w:rPr>
        <w:rFonts w:ascii="Courier New" w:hAnsi="Courier New" w:hint="default"/>
      </w:rPr>
    </w:lvl>
    <w:lvl w:ilvl="2" w:tplc="A9468258">
      <w:start w:val="1"/>
      <w:numFmt w:val="bullet"/>
      <w:lvlText w:val=""/>
      <w:lvlJc w:val="left"/>
      <w:pPr>
        <w:ind w:left="2160" w:hanging="360"/>
      </w:pPr>
      <w:rPr>
        <w:rFonts w:ascii="Wingdings" w:hAnsi="Wingdings" w:hint="default"/>
      </w:rPr>
    </w:lvl>
    <w:lvl w:ilvl="3" w:tplc="017AF1BE">
      <w:start w:val="1"/>
      <w:numFmt w:val="bullet"/>
      <w:lvlText w:val=""/>
      <w:lvlJc w:val="left"/>
      <w:pPr>
        <w:ind w:left="2880" w:hanging="360"/>
      </w:pPr>
      <w:rPr>
        <w:rFonts w:ascii="Symbol" w:hAnsi="Symbol" w:hint="default"/>
      </w:rPr>
    </w:lvl>
    <w:lvl w:ilvl="4" w:tplc="C460106C">
      <w:start w:val="1"/>
      <w:numFmt w:val="bullet"/>
      <w:lvlText w:val="o"/>
      <w:lvlJc w:val="left"/>
      <w:pPr>
        <w:ind w:left="3600" w:hanging="360"/>
      </w:pPr>
      <w:rPr>
        <w:rFonts w:ascii="Courier New" w:hAnsi="Courier New" w:hint="default"/>
      </w:rPr>
    </w:lvl>
    <w:lvl w:ilvl="5" w:tplc="7AF2F49E">
      <w:start w:val="1"/>
      <w:numFmt w:val="bullet"/>
      <w:lvlText w:val=""/>
      <w:lvlJc w:val="left"/>
      <w:pPr>
        <w:ind w:left="4320" w:hanging="360"/>
      </w:pPr>
      <w:rPr>
        <w:rFonts w:ascii="Wingdings" w:hAnsi="Wingdings" w:hint="default"/>
      </w:rPr>
    </w:lvl>
    <w:lvl w:ilvl="6" w:tplc="0A64F4B2">
      <w:start w:val="1"/>
      <w:numFmt w:val="bullet"/>
      <w:lvlText w:val=""/>
      <w:lvlJc w:val="left"/>
      <w:pPr>
        <w:ind w:left="5040" w:hanging="360"/>
      </w:pPr>
      <w:rPr>
        <w:rFonts w:ascii="Symbol" w:hAnsi="Symbol" w:hint="default"/>
      </w:rPr>
    </w:lvl>
    <w:lvl w:ilvl="7" w:tplc="1B526E5E">
      <w:start w:val="1"/>
      <w:numFmt w:val="bullet"/>
      <w:lvlText w:val="o"/>
      <w:lvlJc w:val="left"/>
      <w:pPr>
        <w:ind w:left="5760" w:hanging="360"/>
      </w:pPr>
      <w:rPr>
        <w:rFonts w:ascii="Courier New" w:hAnsi="Courier New" w:hint="default"/>
      </w:rPr>
    </w:lvl>
    <w:lvl w:ilvl="8" w:tplc="A08E0D68">
      <w:start w:val="1"/>
      <w:numFmt w:val="bullet"/>
      <w:lvlText w:val=""/>
      <w:lvlJc w:val="left"/>
      <w:pPr>
        <w:ind w:left="6480" w:hanging="360"/>
      </w:pPr>
      <w:rPr>
        <w:rFonts w:ascii="Wingdings" w:hAnsi="Wingdings" w:hint="default"/>
      </w:rPr>
    </w:lvl>
  </w:abstractNum>
  <w:abstractNum w:abstractNumId="107" w15:restartNumberingAfterBreak="0">
    <w:nsid w:val="760233E5"/>
    <w:multiLevelType w:val="hybridMultilevel"/>
    <w:tmpl w:val="FFFFFFFF"/>
    <w:lvl w:ilvl="0" w:tplc="7C04136C">
      <w:start w:val="4"/>
      <w:numFmt w:val="decimal"/>
      <w:lvlText w:val="%1."/>
      <w:lvlJc w:val="left"/>
      <w:pPr>
        <w:ind w:left="720" w:hanging="360"/>
      </w:pPr>
      <w:rPr>
        <w:rFonts w:ascii="Arial" w:hAnsi="Arial" w:hint="default"/>
      </w:rPr>
    </w:lvl>
    <w:lvl w:ilvl="1" w:tplc="62AA8E5E">
      <w:start w:val="1"/>
      <w:numFmt w:val="lowerLetter"/>
      <w:lvlText w:val="%2."/>
      <w:lvlJc w:val="left"/>
      <w:pPr>
        <w:ind w:left="1440" w:hanging="360"/>
      </w:pPr>
    </w:lvl>
    <w:lvl w:ilvl="2" w:tplc="1632CA88">
      <w:start w:val="1"/>
      <w:numFmt w:val="lowerRoman"/>
      <w:lvlText w:val="%3."/>
      <w:lvlJc w:val="right"/>
      <w:pPr>
        <w:ind w:left="2160" w:hanging="180"/>
      </w:pPr>
    </w:lvl>
    <w:lvl w:ilvl="3" w:tplc="5394B2C6">
      <w:start w:val="1"/>
      <w:numFmt w:val="decimal"/>
      <w:lvlText w:val="%4."/>
      <w:lvlJc w:val="left"/>
      <w:pPr>
        <w:ind w:left="2880" w:hanging="360"/>
      </w:pPr>
    </w:lvl>
    <w:lvl w:ilvl="4" w:tplc="C2E20A78">
      <w:start w:val="1"/>
      <w:numFmt w:val="lowerLetter"/>
      <w:lvlText w:val="%5."/>
      <w:lvlJc w:val="left"/>
      <w:pPr>
        <w:ind w:left="3600" w:hanging="360"/>
      </w:pPr>
    </w:lvl>
    <w:lvl w:ilvl="5" w:tplc="EEDE72C8">
      <w:start w:val="1"/>
      <w:numFmt w:val="lowerRoman"/>
      <w:lvlText w:val="%6."/>
      <w:lvlJc w:val="right"/>
      <w:pPr>
        <w:ind w:left="4320" w:hanging="180"/>
      </w:pPr>
    </w:lvl>
    <w:lvl w:ilvl="6" w:tplc="F2F8A98C">
      <w:start w:val="1"/>
      <w:numFmt w:val="decimal"/>
      <w:lvlText w:val="%7."/>
      <w:lvlJc w:val="left"/>
      <w:pPr>
        <w:ind w:left="5040" w:hanging="360"/>
      </w:pPr>
    </w:lvl>
    <w:lvl w:ilvl="7" w:tplc="015C6054">
      <w:start w:val="1"/>
      <w:numFmt w:val="lowerLetter"/>
      <w:lvlText w:val="%8."/>
      <w:lvlJc w:val="left"/>
      <w:pPr>
        <w:ind w:left="5760" w:hanging="360"/>
      </w:pPr>
    </w:lvl>
    <w:lvl w:ilvl="8" w:tplc="E7A68F56">
      <w:start w:val="1"/>
      <w:numFmt w:val="lowerRoman"/>
      <w:lvlText w:val="%9."/>
      <w:lvlJc w:val="right"/>
      <w:pPr>
        <w:ind w:left="6480" w:hanging="180"/>
      </w:pPr>
    </w:lvl>
  </w:abstractNum>
  <w:abstractNum w:abstractNumId="108" w15:restartNumberingAfterBreak="0">
    <w:nsid w:val="76D06977"/>
    <w:multiLevelType w:val="hybridMultilevel"/>
    <w:tmpl w:val="42E4798A"/>
    <w:lvl w:ilvl="0" w:tplc="991C3E1E">
      <w:start w:val="1"/>
      <w:numFmt w:val="bullet"/>
      <w:lvlText w:val="-"/>
      <w:lvlJc w:val="left"/>
      <w:pPr>
        <w:ind w:left="1080" w:hanging="720"/>
      </w:pPr>
      <w:rPr>
        <w:rFonts w:ascii="Calibri" w:hAnsi="Calibri" w:hint="default"/>
      </w:rPr>
    </w:lvl>
    <w:lvl w:ilvl="1" w:tplc="548ABFEE">
      <w:start w:val="1"/>
      <w:numFmt w:val="decimal"/>
      <w:lvlText w:val="%2."/>
      <w:lvlJc w:val="left"/>
      <w:pPr>
        <w:ind w:left="1440" w:hanging="360"/>
      </w:pPr>
      <w:rPr>
        <w:rFonts w:hint="default"/>
      </w:rPr>
    </w:lvl>
    <w:lvl w:ilvl="2" w:tplc="450EA25E">
      <w:start w:val="1"/>
      <w:numFmt w:val="lowerRoman"/>
      <w:lvlText w:val="(%3)"/>
      <w:lvlJc w:val="left"/>
      <w:pPr>
        <w:ind w:left="2700" w:hanging="72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9" w15:restartNumberingAfterBreak="0">
    <w:nsid w:val="775F47F8"/>
    <w:multiLevelType w:val="hybridMultilevel"/>
    <w:tmpl w:val="6E3A0784"/>
    <w:lvl w:ilvl="0" w:tplc="991C3E1E">
      <w:start w:val="1"/>
      <w:numFmt w:val="bullet"/>
      <w:lvlText w:val="-"/>
      <w:lvlJc w:val="left"/>
      <w:pPr>
        <w:ind w:left="720" w:hanging="360"/>
      </w:pPr>
      <w:rPr>
        <w:rFonts w:ascii="Calibri" w:hAnsi="Calibr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0" w15:restartNumberingAfterBreak="0">
    <w:nsid w:val="779C80A7"/>
    <w:multiLevelType w:val="hybridMultilevel"/>
    <w:tmpl w:val="FFFFFFFF"/>
    <w:lvl w:ilvl="0" w:tplc="54163D2E">
      <w:start w:val="1"/>
      <w:numFmt w:val="bullet"/>
      <w:lvlText w:val=""/>
      <w:lvlJc w:val="left"/>
      <w:pPr>
        <w:ind w:left="720" w:hanging="360"/>
      </w:pPr>
      <w:rPr>
        <w:rFonts w:ascii="Times New Roman félkövér" w:hAnsi="Times New Roman félkövér" w:hint="default"/>
      </w:rPr>
    </w:lvl>
    <w:lvl w:ilvl="1" w:tplc="59C8D084">
      <w:start w:val="1"/>
      <w:numFmt w:val="bullet"/>
      <w:lvlText w:val="o"/>
      <w:lvlJc w:val="left"/>
      <w:pPr>
        <w:ind w:left="1440" w:hanging="360"/>
      </w:pPr>
      <w:rPr>
        <w:rFonts w:ascii="@MS Mincho" w:hAnsi="@MS Mincho" w:hint="default"/>
      </w:rPr>
    </w:lvl>
    <w:lvl w:ilvl="2" w:tplc="F878DE84">
      <w:start w:val="1"/>
      <w:numFmt w:val="bullet"/>
      <w:lvlText w:val=""/>
      <w:lvlJc w:val="left"/>
      <w:pPr>
        <w:ind w:left="2160" w:hanging="360"/>
      </w:pPr>
      <w:rPr>
        <w:rFonts w:ascii="MS Mincho" w:hAnsi="MS Mincho" w:hint="default"/>
      </w:rPr>
    </w:lvl>
    <w:lvl w:ilvl="3" w:tplc="02A253C2">
      <w:start w:val="1"/>
      <w:numFmt w:val="bullet"/>
      <w:lvlText w:val=""/>
      <w:lvlJc w:val="left"/>
      <w:pPr>
        <w:ind w:left="2880" w:hanging="360"/>
      </w:pPr>
      <w:rPr>
        <w:rFonts w:ascii="Times New Roman félkövér" w:hAnsi="Times New Roman félkövér" w:hint="default"/>
      </w:rPr>
    </w:lvl>
    <w:lvl w:ilvl="4" w:tplc="9AFC300C">
      <w:start w:val="1"/>
      <w:numFmt w:val="bullet"/>
      <w:lvlText w:val="o"/>
      <w:lvlJc w:val="left"/>
      <w:pPr>
        <w:ind w:left="3600" w:hanging="360"/>
      </w:pPr>
      <w:rPr>
        <w:rFonts w:ascii="@MS Mincho" w:hAnsi="@MS Mincho" w:hint="default"/>
      </w:rPr>
    </w:lvl>
    <w:lvl w:ilvl="5" w:tplc="C7EC5E7C">
      <w:start w:val="1"/>
      <w:numFmt w:val="bullet"/>
      <w:lvlText w:val=""/>
      <w:lvlJc w:val="left"/>
      <w:pPr>
        <w:ind w:left="4320" w:hanging="360"/>
      </w:pPr>
      <w:rPr>
        <w:rFonts w:ascii="MS Mincho" w:hAnsi="MS Mincho" w:hint="default"/>
      </w:rPr>
    </w:lvl>
    <w:lvl w:ilvl="6" w:tplc="3A4CF30A">
      <w:start w:val="1"/>
      <w:numFmt w:val="bullet"/>
      <w:lvlText w:val=""/>
      <w:lvlJc w:val="left"/>
      <w:pPr>
        <w:ind w:left="5040" w:hanging="360"/>
      </w:pPr>
      <w:rPr>
        <w:rFonts w:ascii="Times New Roman félkövér" w:hAnsi="Times New Roman félkövér" w:hint="default"/>
      </w:rPr>
    </w:lvl>
    <w:lvl w:ilvl="7" w:tplc="541E8A4E">
      <w:start w:val="1"/>
      <w:numFmt w:val="bullet"/>
      <w:lvlText w:val="o"/>
      <w:lvlJc w:val="left"/>
      <w:pPr>
        <w:ind w:left="5760" w:hanging="360"/>
      </w:pPr>
      <w:rPr>
        <w:rFonts w:ascii="@MS Mincho" w:hAnsi="@MS Mincho" w:hint="default"/>
      </w:rPr>
    </w:lvl>
    <w:lvl w:ilvl="8" w:tplc="4D926666">
      <w:start w:val="1"/>
      <w:numFmt w:val="bullet"/>
      <w:lvlText w:val=""/>
      <w:lvlJc w:val="left"/>
      <w:pPr>
        <w:ind w:left="6480" w:hanging="360"/>
      </w:pPr>
      <w:rPr>
        <w:rFonts w:ascii="MS Mincho" w:hAnsi="MS Mincho" w:hint="default"/>
      </w:rPr>
    </w:lvl>
  </w:abstractNum>
  <w:abstractNum w:abstractNumId="111" w15:restartNumberingAfterBreak="0">
    <w:nsid w:val="78262A7E"/>
    <w:multiLevelType w:val="hybridMultilevel"/>
    <w:tmpl w:val="9CA2A382"/>
    <w:lvl w:ilvl="0" w:tplc="991C3E1E">
      <w:start w:val="1"/>
      <w:numFmt w:val="bullet"/>
      <w:lvlText w:val="-"/>
      <w:lvlJc w:val="left"/>
      <w:pPr>
        <w:ind w:left="720" w:hanging="360"/>
      </w:pPr>
      <w:rPr>
        <w:rFonts w:ascii="Calibri" w:hAnsi="Calibr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2" w15:restartNumberingAfterBreak="0">
    <w:nsid w:val="793F767C"/>
    <w:multiLevelType w:val="hybridMultilevel"/>
    <w:tmpl w:val="FFFFFFFF"/>
    <w:lvl w:ilvl="0" w:tplc="B324EFFE">
      <w:start w:val="1"/>
      <w:numFmt w:val="bullet"/>
      <w:lvlText w:val=""/>
      <w:lvlJc w:val="left"/>
      <w:pPr>
        <w:ind w:left="720" w:hanging="360"/>
      </w:pPr>
      <w:rPr>
        <w:rFonts w:ascii="Symbol" w:hAnsi="Symbol" w:hint="default"/>
      </w:rPr>
    </w:lvl>
    <w:lvl w:ilvl="1" w:tplc="756C3CEE">
      <w:start w:val="1"/>
      <w:numFmt w:val="bullet"/>
      <w:lvlText w:val="o"/>
      <w:lvlJc w:val="left"/>
      <w:pPr>
        <w:ind w:left="1440" w:hanging="360"/>
      </w:pPr>
      <w:rPr>
        <w:rFonts w:ascii="Courier New" w:hAnsi="Courier New" w:hint="default"/>
      </w:rPr>
    </w:lvl>
    <w:lvl w:ilvl="2" w:tplc="01FEDD98">
      <w:start w:val="1"/>
      <w:numFmt w:val="bullet"/>
      <w:lvlText w:val=""/>
      <w:lvlJc w:val="left"/>
      <w:pPr>
        <w:ind w:left="2160" w:hanging="360"/>
      </w:pPr>
      <w:rPr>
        <w:rFonts w:ascii="Wingdings" w:hAnsi="Wingdings" w:hint="default"/>
      </w:rPr>
    </w:lvl>
    <w:lvl w:ilvl="3" w:tplc="A0069A78">
      <w:start w:val="1"/>
      <w:numFmt w:val="bullet"/>
      <w:lvlText w:val=""/>
      <w:lvlJc w:val="left"/>
      <w:pPr>
        <w:ind w:left="2880" w:hanging="360"/>
      </w:pPr>
      <w:rPr>
        <w:rFonts w:ascii="Symbol" w:hAnsi="Symbol" w:hint="default"/>
      </w:rPr>
    </w:lvl>
    <w:lvl w:ilvl="4" w:tplc="732A6CD8">
      <w:start w:val="1"/>
      <w:numFmt w:val="bullet"/>
      <w:lvlText w:val="o"/>
      <w:lvlJc w:val="left"/>
      <w:pPr>
        <w:ind w:left="3600" w:hanging="360"/>
      </w:pPr>
      <w:rPr>
        <w:rFonts w:ascii="Courier New" w:hAnsi="Courier New" w:hint="default"/>
      </w:rPr>
    </w:lvl>
    <w:lvl w:ilvl="5" w:tplc="113801C8">
      <w:start w:val="1"/>
      <w:numFmt w:val="bullet"/>
      <w:lvlText w:val=""/>
      <w:lvlJc w:val="left"/>
      <w:pPr>
        <w:ind w:left="4320" w:hanging="360"/>
      </w:pPr>
      <w:rPr>
        <w:rFonts w:ascii="Wingdings" w:hAnsi="Wingdings" w:hint="default"/>
      </w:rPr>
    </w:lvl>
    <w:lvl w:ilvl="6" w:tplc="A3DEF026">
      <w:start w:val="1"/>
      <w:numFmt w:val="bullet"/>
      <w:lvlText w:val=""/>
      <w:lvlJc w:val="left"/>
      <w:pPr>
        <w:ind w:left="5040" w:hanging="360"/>
      </w:pPr>
      <w:rPr>
        <w:rFonts w:ascii="Symbol" w:hAnsi="Symbol" w:hint="default"/>
      </w:rPr>
    </w:lvl>
    <w:lvl w:ilvl="7" w:tplc="71180BE6">
      <w:start w:val="1"/>
      <w:numFmt w:val="bullet"/>
      <w:lvlText w:val="o"/>
      <w:lvlJc w:val="left"/>
      <w:pPr>
        <w:ind w:left="5760" w:hanging="360"/>
      </w:pPr>
      <w:rPr>
        <w:rFonts w:ascii="Courier New" w:hAnsi="Courier New" w:hint="default"/>
      </w:rPr>
    </w:lvl>
    <w:lvl w:ilvl="8" w:tplc="D84EC670">
      <w:start w:val="1"/>
      <w:numFmt w:val="bullet"/>
      <w:lvlText w:val=""/>
      <w:lvlJc w:val="left"/>
      <w:pPr>
        <w:ind w:left="6480" w:hanging="360"/>
      </w:pPr>
      <w:rPr>
        <w:rFonts w:ascii="Wingdings" w:hAnsi="Wingdings" w:hint="default"/>
      </w:rPr>
    </w:lvl>
  </w:abstractNum>
  <w:abstractNum w:abstractNumId="113" w15:restartNumberingAfterBreak="0">
    <w:nsid w:val="7AE7528F"/>
    <w:multiLevelType w:val="hybridMultilevel"/>
    <w:tmpl w:val="DE7489B4"/>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11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15" w15:restartNumberingAfterBreak="0">
    <w:nsid w:val="7E3501D0"/>
    <w:multiLevelType w:val="hybridMultilevel"/>
    <w:tmpl w:val="6ADE2398"/>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5E2960"/>
    <w:multiLevelType w:val="hybridMultilevel"/>
    <w:tmpl w:val="071658B8"/>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17" w15:restartNumberingAfterBreak="0">
    <w:nsid w:val="7EC4DE57"/>
    <w:multiLevelType w:val="hybridMultilevel"/>
    <w:tmpl w:val="FFFFFFFF"/>
    <w:lvl w:ilvl="0" w:tplc="D4F209E8">
      <w:start w:val="1"/>
      <w:numFmt w:val="decimal"/>
      <w:lvlText w:val="%1."/>
      <w:lvlJc w:val="left"/>
      <w:pPr>
        <w:ind w:left="720" w:hanging="360"/>
      </w:pPr>
    </w:lvl>
    <w:lvl w:ilvl="1" w:tplc="62467640">
      <w:start w:val="1"/>
      <w:numFmt w:val="lowerLetter"/>
      <w:lvlText w:val="%2."/>
      <w:lvlJc w:val="left"/>
      <w:pPr>
        <w:ind w:left="1440" w:hanging="360"/>
      </w:pPr>
    </w:lvl>
    <w:lvl w:ilvl="2" w:tplc="F086DE0E">
      <w:start w:val="1"/>
      <w:numFmt w:val="lowerRoman"/>
      <w:lvlText w:val="%3."/>
      <w:lvlJc w:val="right"/>
      <w:pPr>
        <w:ind w:left="2160" w:hanging="180"/>
      </w:pPr>
    </w:lvl>
    <w:lvl w:ilvl="3" w:tplc="7512D428">
      <w:start w:val="1"/>
      <w:numFmt w:val="decimal"/>
      <w:lvlText w:val="%4."/>
      <w:lvlJc w:val="left"/>
      <w:pPr>
        <w:ind w:left="2880" w:hanging="360"/>
      </w:pPr>
    </w:lvl>
    <w:lvl w:ilvl="4" w:tplc="A4003B70">
      <w:start w:val="1"/>
      <w:numFmt w:val="lowerLetter"/>
      <w:lvlText w:val="%5."/>
      <w:lvlJc w:val="left"/>
      <w:pPr>
        <w:ind w:left="3600" w:hanging="360"/>
      </w:pPr>
    </w:lvl>
    <w:lvl w:ilvl="5" w:tplc="ADD0A6B6">
      <w:start w:val="1"/>
      <w:numFmt w:val="lowerRoman"/>
      <w:lvlText w:val="%6."/>
      <w:lvlJc w:val="right"/>
      <w:pPr>
        <w:ind w:left="4320" w:hanging="180"/>
      </w:pPr>
    </w:lvl>
    <w:lvl w:ilvl="6" w:tplc="3F4220BC">
      <w:start w:val="1"/>
      <w:numFmt w:val="decimal"/>
      <w:lvlText w:val="%7."/>
      <w:lvlJc w:val="left"/>
      <w:pPr>
        <w:ind w:left="5040" w:hanging="360"/>
      </w:pPr>
    </w:lvl>
    <w:lvl w:ilvl="7" w:tplc="1968FFC4">
      <w:start w:val="1"/>
      <w:numFmt w:val="lowerLetter"/>
      <w:lvlText w:val="%8."/>
      <w:lvlJc w:val="left"/>
      <w:pPr>
        <w:ind w:left="5760" w:hanging="360"/>
      </w:pPr>
    </w:lvl>
    <w:lvl w:ilvl="8" w:tplc="9730985E">
      <w:start w:val="1"/>
      <w:numFmt w:val="lowerRoman"/>
      <w:lvlText w:val="%9."/>
      <w:lvlJc w:val="right"/>
      <w:pPr>
        <w:ind w:left="6480" w:hanging="180"/>
      </w:pPr>
    </w:lvl>
  </w:abstractNum>
  <w:num w:numId="1">
    <w:abstractNumId w:val="80"/>
  </w:num>
  <w:num w:numId="2">
    <w:abstractNumId w:val="52"/>
  </w:num>
  <w:num w:numId="3">
    <w:abstractNumId w:val="90"/>
  </w:num>
  <w:num w:numId="4">
    <w:abstractNumId w:val="38"/>
  </w:num>
  <w:num w:numId="5">
    <w:abstractNumId w:val="53"/>
  </w:num>
  <w:num w:numId="6">
    <w:abstractNumId w:val="29"/>
  </w:num>
  <w:num w:numId="7">
    <w:abstractNumId w:val="85"/>
  </w:num>
  <w:num w:numId="8">
    <w:abstractNumId w:val="26"/>
  </w:num>
  <w:num w:numId="9">
    <w:abstractNumId w:val="59"/>
  </w:num>
  <w:num w:numId="10">
    <w:abstractNumId w:val="76"/>
  </w:num>
  <w:num w:numId="11">
    <w:abstractNumId w:val="79"/>
  </w:num>
  <w:num w:numId="12">
    <w:abstractNumId w:val="37"/>
  </w:num>
  <w:num w:numId="13">
    <w:abstractNumId w:val="73"/>
  </w:num>
  <w:num w:numId="14">
    <w:abstractNumId w:val="114"/>
  </w:num>
  <w:num w:numId="15">
    <w:abstractNumId w:val="3"/>
  </w:num>
  <w:num w:numId="16">
    <w:abstractNumId w:val="2"/>
  </w:num>
  <w:num w:numId="17">
    <w:abstractNumId w:val="1"/>
  </w:num>
  <w:num w:numId="18">
    <w:abstractNumId w:val="0"/>
  </w:num>
  <w:num w:numId="19">
    <w:abstractNumId w:val="49"/>
  </w:num>
  <w:num w:numId="20">
    <w:abstractNumId w:val="13"/>
  </w:num>
  <w:num w:numId="21">
    <w:abstractNumId w:val="51"/>
  </w:num>
  <w:num w:numId="22">
    <w:abstractNumId w:val="11"/>
  </w:num>
  <w:num w:numId="23">
    <w:abstractNumId w:val="27"/>
  </w:num>
  <w:num w:numId="24">
    <w:abstractNumId w:val="84"/>
  </w:num>
  <w:num w:numId="25">
    <w:abstractNumId w:val="89"/>
  </w:num>
  <w:num w:numId="26">
    <w:abstractNumId w:val="45"/>
  </w:num>
  <w:num w:numId="27">
    <w:abstractNumId w:val="28"/>
  </w:num>
  <w:num w:numId="28">
    <w:abstractNumId w:val="115"/>
  </w:num>
  <w:num w:numId="29">
    <w:abstractNumId w:val="25"/>
  </w:num>
  <w:num w:numId="30">
    <w:abstractNumId w:val="64"/>
  </w:num>
  <w:num w:numId="31">
    <w:abstractNumId w:val="99"/>
  </w:num>
  <w:num w:numId="32">
    <w:abstractNumId w:val="5"/>
  </w:num>
  <w:num w:numId="33">
    <w:abstractNumId w:val="95"/>
  </w:num>
  <w:num w:numId="34">
    <w:abstractNumId w:val="92"/>
  </w:num>
  <w:num w:numId="35">
    <w:abstractNumId w:val="91"/>
  </w:num>
  <w:num w:numId="36">
    <w:abstractNumId w:val="88"/>
  </w:num>
  <w:num w:numId="37">
    <w:abstractNumId w:val="43"/>
  </w:num>
  <w:num w:numId="38">
    <w:abstractNumId w:val="34"/>
  </w:num>
  <w:num w:numId="39">
    <w:abstractNumId w:val="93"/>
  </w:num>
  <w:num w:numId="40">
    <w:abstractNumId w:val="62"/>
  </w:num>
  <w:num w:numId="41">
    <w:abstractNumId w:val="111"/>
  </w:num>
  <w:num w:numId="42">
    <w:abstractNumId w:val="101"/>
  </w:num>
  <w:num w:numId="43">
    <w:abstractNumId w:val="19"/>
  </w:num>
  <w:num w:numId="44">
    <w:abstractNumId w:val="109"/>
  </w:num>
  <w:num w:numId="45">
    <w:abstractNumId w:val="10"/>
  </w:num>
  <w:num w:numId="46">
    <w:abstractNumId w:val="108"/>
  </w:num>
  <w:num w:numId="47">
    <w:abstractNumId w:val="46"/>
  </w:num>
  <w:num w:numId="48">
    <w:abstractNumId w:val="50"/>
  </w:num>
  <w:num w:numId="49">
    <w:abstractNumId w:val="54"/>
  </w:num>
  <w:num w:numId="50">
    <w:abstractNumId w:val="60"/>
  </w:num>
  <w:num w:numId="51">
    <w:abstractNumId w:val="75"/>
  </w:num>
  <w:num w:numId="52">
    <w:abstractNumId w:val="6"/>
  </w:num>
  <w:num w:numId="53">
    <w:abstractNumId w:val="4"/>
  </w:num>
  <w:num w:numId="54">
    <w:abstractNumId w:val="22"/>
  </w:num>
  <w:num w:numId="55">
    <w:abstractNumId w:val="98"/>
  </w:num>
  <w:num w:numId="56">
    <w:abstractNumId w:val="97"/>
  </w:num>
  <w:num w:numId="57">
    <w:abstractNumId w:val="55"/>
  </w:num>
  <w:num w:numId="58">
    <w:abstractNumId w:val="58"/>
  </w:num>
  <w:num w:numId="59">
    <w:abstractNumId w:val="35"/>
  </w:num>
  <w:num w:numId="60">
    <w:abstractNumId w:val="41"/>
  </w:num>
  <w:num w:numId="61">
    <w:abstractNumId w:val="74"/>
  </w:num>
  <w:num w:numId="62">
    <w:abstractNumId w:val="96"/>
  </w:num>
  <w:num w:numId="63">
    <w:abstractNumId w:val="66"/>
  </w:num>
  <w:num w:numId="64">
    <w:abstractNumId w:val="67"/>
  </w:num>
  <w:num w:numId="65">
    <w:abstractNumId w:val="56"/>
  </w:num>
  <w:num w:numId="66">
    <w:abstractNumId w:val="42"/>
  </w:num>
  <w:num w:numId="67">
    <w:abstractNumId w:val="40"/>
  </w:num>
  <w:num w:numId="68">
    <w:abstractNumId w:val="23"/>
  </w:num>
  <w:num w:numId="69">
    <w:abstractNumId w:val="94"/>
  </w:num>
  <w:num w:numId="70">
    <w:abstractNumId w:val="17"/>
  </w:num>
  <w:num w:numId="71">
    <w:abstractNumId w:val="33"/>
  </w:num>
  <w:num w:numId="72">
    <w:abstractNumId w:val="87"/>
  </w:num>
  <w:num w:numId="73">
    <w:abstractNumId w:val="16"/>
  </w:num>
  <w:num w:numId="74">
    <w:abstractNumId w:val="103"/>
  </w:num>
  <w:num w:numId="75">
    <w:abstractNumId w:val="81"/>
  </w:num>
  <w:num w:numId="76">
    <w:abstractNumId w:val="12"/>
  </w:num>
  <w:num w:numId="77">
    <w:abstractNumId w:val="36"/>
  </w:num>
  <w:num w:numId="78">
    <w:abstractNumId w:val="15"/>
  </w:num>
  <w:num w:numId="79">
    <w:abstractNumId w:val="24"/>
  </w:num>
  <w:num w:numId="80">
    <w:abstractNumId w:val="20"/>
  </w:num>
  <w:num w:numId="81">
    <w:abstractNumId w:val="48"/>
  </w:num>
  <w:num w:numId="82">
    <w:abstractNumId w:val="8"/>
  </w:num>
  <w:num w:numId="83">
    <w:abstractNumId w:val="39"/>
  </w:num>
  <w:num w:numId="84">
    <w:abstractNumId w:val="116"/>
  </w:num>
  <w:num w:numId="85">
    <w:abstractNumId w:val="77"/>
  </w:num>
  <w:num w:numId="86">
    <w:abstractNumId w:val="44"/>
  </w:num>
  <w:num w:numId="87">
    <w:abstractNumId w:val="113"/>
  </w:num>
  <w:num w:numId="88">
    <w:abstractNumId w:val="9"/>
  </w:num>
  <w:num w:numId="89">
    <w:abstractNumId w:val="57"/>
  </w:num>
  <w:num w:numId="90">
    <w:abstractNumId w:val="110"/>
  </w:num>
  <w:num w:numId="91">
    <w:abstractNumId w:val="78"/>
  </w:num>
  <w:num w:numId="92">
    <w:abstractNumId w:val="65"/>
  </w:num>
  <w:num w:numId="93">
    <w:abstractNumId w:val="31"/>
  </w:num>
  <w:num w:numId="94">
    <w:abstractNumId w:val="63"/>
  </w:num>
  <w:num w:numId="95">
    <w:abstractNumId w:val="102"/>
  </w:num>
  <w:num w:numId="96">
    <w:abstractNumId w:val="30"/>
  </w:num>
  <w:num w:numId="97">
    <w:abstractNumId w:val="117"/>
  </w:num>
  <w:num w:numId="98">
    <w:abstractNumId w:val="86"/>
  </w:num>
  <w:num w:numId="99">
    <w:abstractNumId w:val="21"/>
  </w:num>
  <w:num w:numId="100">
    <w:abstractNumId w:val="7"/>
  </w:num>
  <w:num w:numId="101">
    <w:abstractNumId w:val="104"/>
  </w:num>
  <w:num w:numId="102">
    <w:abstractNumId w:val="71"/>
  </w:num>
  <w:num w:numId="103">
    <w:abstractNumId w:val="82"/>
  </w:num>
  <w:num w:numId="104">
    <w:abstractNumId w:val="107"/>
  </w:num>
  <w:num w:numId="105">
    <w:abstractNumId w:val="100"/>
  </w:num>
  <w:num w:numId="106">
    <w:abstractNumId w:val="18"/>
  </w:num>
  <w:num w:numId="107">
    <w:abstractNumId w:val="83"/>
  </w:num>
  <w:num w:numId="108">
    <w:abstractNumId w:val="70"/>
  </w:num>
  <w:num w:numId="109">
    <w:abstractNumId w:val="106"/>
  </w:num>
  <w:num w:numId="110">
    <w:abstractNumId w:val="32"/>
  </w:num>
  <w:num w:numId="111">
    <w:abstractNumId w:val="68"/>
  </w:num>
  <w:num w:numId="112">
    <w:abstractNumId w:val="72"/>
  </w:num>
  <w:num w:numId="113">
    <w:abstractNumId w:val="112"/>
  </w:num>
  <w:num w:numId="114">
    <w:abstractNumId w:val="47"/>
  </w:num>
  <w:num w:numId="115">
    <w:abstractNumId w:val="14"/>
  </w:num>
  <w:num w:numId="116">
    <w:abstractNumId w:val="69"/>
  </w:num>
  <w:num w:numId="117">
    <w:abstractNumId w:val="105"/>
  </w:num>
  <w:num w:numId="118">
    <w:abstractNumId w:val="6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oNotTrackFormatting/>
  <w:documentProtection w:edit="trackedChanges"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true"/>
    <w:docVar w:name="DocStatus" w:val="Green"/>
    <w:docVar w:name="DocuWriteMetaData" w:val="&lt;metadataset docuwriteversion=&quot;4.5.2&quot; technicalblockguid=&quot;465543694134879200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07-07&lt;/text&gt;_x000d__x000a_  &lt;/metadata&gt;_x000d__x000a_  &lt;metadata key=&quot;md_Prefix&quot;&gt;_x000d__x000a_    &lt;text&gt;&lt;/text&gt;_x000d__x000a_  &lt;/metadata&gt;_x000d__x000a_  &lt;metadata key=&quot;md_DocumentNumber&quot;&gt;_x000d__x000a_    &lt;text&gt;10149&lt;/text&gt;_x000d__x000a_  &lt;/metadata&gt;_x000d__x000a_  &lt;metadata key=&quot;md_YearDocumentNumber&quot;&gt;_x000d__x000a_    &lt;text&gt;2021&lt;/text&gt;_x000d__x000a_  &lt;/metadata&gt;_x000d__x000a_  &lt;metadata key=&quot;md_Suffixes&quot;&gt;_x000d__x000a_    &lt;text&gt;ADD 1 REV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636&lt;/text&gt;_x000d__x000a_      &lt;text&gt;CADREFIN 331&lt;/text&gt;_x000d__x000a_      &lt;text&gt;UEM 171&lt;/text&gt;_x000d__x000a_      &lt;text&gt;FIN 51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1/0154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VISED ANNEX to the Council Implementing Decision on the approval of the assessment of the recovery and resilience plan for Portugal&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amp;gt;&amp;lt;Run xml:lang=&quot;fr-be&quot; xml:space=&quot;preserve&quot;&amp;gt;REVISED &amp;lt;/Run&amp;gt;ANNEX to the Council Implementing Decision on the approval of the assessment of the recovery and resilience plan for &amp;lt;Run xml:lang=&quot;fr-be&quot;&amp;gt;Portugal&amp;lt;/Run&amp;gt;&amp;lt;/Paragraph&amp;gt;&amp;lt;/FlowDocument&amp;gt;&lt;/xaml&gt;_x000d__x000a_  &lt;/metadata&gt;_x000d__x000a_  &lt;metadata key=&quot;md_SubjectFootnote&quot; /&gt;_x000d__x000a_  &lt;metadata key=&quot;md_DG&quot;&gt;_x000d__x000a_    &lt;text&gt;ECOMP 1A&lt;/text&gt;_x000d__x000a_  &lt;/metadata&gt;_x000d__x000a_  &lt;metadata key=&quot;md_Initials&quot;&gt;_x000d__x000a_    &lt;text&gt;FDC/sr&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Normal"/>
    <w:docVar w:name="LW_ACCOMPAGNANT.CP" w:val="till"/>
    <w:docVar w:name="LW_ANNEX_NBR_FIRST" w:val="1"/>
    <w:docVar w:name="LW_ANNEX_NBR_LAST" w:val="1"/>
    <w:docVar w:name="LW_ANNEX_UNIQUE" w:val="1"/>
    <w:docVar w:name="LW_CORRIGENDUM" w:val="&lt;UNUSED&gt;"/>
    <w:docVar w:name="LW_COVERPAGE_EXISTS" w:val="True"/>
    <w:docVar w:name="LW_COVERPAGE_GUID" w:val="C06D72F2-7499-4C64-92F7-1C72437E4060"/>
    <w:docVar w:name="LW_COVERPAGE_TYPE" w:val="1"/>
    <w:docVar w:name="LW_CROSSREFERENCE" w:val="{SWD(2023) 318 final}"/>
    <w:docVar w:name="LW_DocType" w:val="NORMAL"/>
    <w:docVar w:name="LW_EMISSION" w:val="22.9.2023"/>
    <w:docVar w:name="LW_EMISSION_ISODATE" w:val="2023-09-22"/>
    <w:docVar w:name="LW_EMISSION_LOCATION" w:val="BRX"/>
    <w:docVar w:name="LW_EMISSION_PREFIX" w:val="Bryssel den "/>
    <w:docVar w:name="LW_EMISSION_SUFFIX" w:val=" "/>
    <w:docVar w:name="LW_ID_DOCTYPE_NONLW" w:val="CP-036"/>
    <w:docVar w:name="LW_LANGUE" w:val="SV"/>
    <w:docVar w:name="LW_LEVEL_OF_SENSITIVITY" w:val="Standard treatment"/>
    <w:docVar w:name="LW_NOM.INST" w:val="EUROPEISKA KOMMISSIONEN"/>
    <w:docVar w:name="LW_NOM.INST_JOINTDOC" w:val="&lt;EMPTY&gt;"/>
    <w:docVar w:name="LW_OBJETACTEPRINCIPAL.CP" w:val="&lt;FMT:Bold&gt;om ändring av genomförandebeslut (EU) ST 10149/2021 och ST 10149/2021 ADD 1 av den 6 juli 2021 om godkännande av bedömningen av Portugals återhämtnings- och resiliensplan&lt;/FMT&gt;_x000b__x000b_"/>
    <w:docVar w:name="LW_PART_NBR" w:val="1"/>
    <w:docVar w:name="LW_PART_NBR_TOTAL" w:val="1"/>
    <w:docVar w:name="LW_REF.INST.NEW" w:val="COM"/>
    <w:docVar w:name="LW_REF.INST.NEW_ADOPTED" w:val="final"/>
    <w:docVar w:name="LW_REF.INST.NEW_TEXT" w:val="(2023) 5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BILAGA_x000b_"/>
    <w:docVar w:name="LW_TYPEACTEPRINCIPAL.CP" w:val="Förslag till RÅDETS GENOMFÖRANDEBESLUT_x000b_"/>
    <w:docVar w:name="LwApiVersions" w:val="LW4CoDe 1.23.2.0; LW 8.0, Build 20211117"/>
  </w:docVars>
  <w:rsids>
    <w:rsidRoot w:val="007C40E9"/>
    <w:rsid w:val="0000008D"/>
    <w:rsid w:val="000000F3"/>
    <w:rsid w:val="00000323"/>
    <w:rsid w:val="00000529"/>
    <w:rsid w:val="00000576"/>
    <w:rsid w:val="000005FF"/>
    <w:rsid w:val="0000064E"/>
    <w:rsid w:val="0000080C"/>
    <w:rsid w:val="00000B7F"/>
    <w:rsid w:val="00000CCC"/>
    <w:rsid w:val="00000F6D"/>
    <w:rsid w:val="00001142"/>
    <w:rsid w:val="0000116B"/>
    <w:rsid w:val="00001258"/>
    <w:rsid w:val="000012F4"/>
    <w:rsid w:val="000013F2"/>
    <w:rsid w:val="000017E6"/>
    <w:rsid w:val="000018CD"/>
    <w:rsid w:val="00001A21"/>
    <w:rsid w:val="00001A89"/>
    <w:rsid w:val="00001CE9"/>
    <w:rsid w:val="00001FC9"/>
    <w:rsid w:val="000022F5"/>
    <w:rsid w:val="00002316"/>
    <w:rsid w:val="00002337"/>
    <w:rsid w:val="00002741"/>
    <w:rsid w:val="000028A2"/>
    <w:rsid w:val="000028FF"/>
    <w:rsid w:val="00002959"/>
    <w:rsid w:val="00002AB9"/>
    <w:rsid w:val="00002C7B"/>
    <w:rsid w:val="00002C97"/>
    <w:rsid w:val="00002E5B"/>
    <w:rsid w:val="00002F2C"/>
    <w:rsid w:val="00002F5B"/>
    <w:rsid w:val="000032C5"/>
    <w:rsid w:val="00003796"/>
    <w:rsid w:val="00003874"/>
    <w:rsid w:val="00003B17"/>
    <w:rsid w:val="00003B4B"/>
    <w:rsid w:val="00003C25"/>
    <w:rsid w:val="00003F3B"/>
    <w:rsid w:val="00003FE2"/>
    <w:rsid w:val="00003FFC"/>
    <w:rsid w:val="000042A7"/>
    <w:rsid w:val="0000438B"/>
    <w:rsid w:val="00004412"/>
    <w:rsid w:val="000044DE"/>
    <w:rsid w:val="0000482A"/>
    <w:rsid w:val="00004B18"/>
    <w:rsid w:val="00004FD8"/>
    <w:rsid w:val="000050B9"/>
    <w:rsid w:val="000052CD"/>
    <w:rsid w:val="000053ED"/>
    <w:rsid w:val="000054BD"/>
    <w:rsid w:val="0000568D"/>
    <w:rsid w:val="00005986"/>
    <w:rsid w:val="00005999"/>
    <w:rsid w:val="00005A0C"/>
    <w:rsid w:val="00005D5F"/>
    <w:rsid w:val="00005F39"/>
    <w:rsid w:val="00005FB6"/>
    <w:rsid w:val="00006158"/>
    <w:rsid w:val="000062DE"/>
    <w:rsid w:val="000062DF"/>
    <w:rsid w:val="000065B4"/>
    <w:rsid w:val="0000698A"/>
    <w:rsid w:val="00006C1A"/>
    <w:rsid w:val="00006E3C"/>
    <w:rsid w:val="00006F8A"/>
    <w:rsid w:val="00007332"/>
    <w:rsid w:val="00007373"/>
    <w:rsid w:val="000073D5"/>
    <w:rsid w:val="0000755D"/>
    <w:rsid w:val="00007596"/>
    <w:rsid w:val="0000780B"/>
    <w:rsid w:val="00007C47"/>
    <w:rsid w:val="00007C62"/>
    <w:rsid w:val="00007F4E"/>
    <w:rsid w:val="00007FCE"/>
    <w:rsid w:val="00010248"/>
    <w:rsid w:val="000102FE"/>
    <w:rsid w:val="000103B1"/>
    <w:rsid w:val="000104AF"/>
    <w:rsid w:val="00010611"/>
    <w:rsid w:val="00010933"/>
    <w:rsid w:val="00010A55"/>
    <w:rsid w:val="00010F64"/>
    <w:rsid w:val="00010F99"/>
    <w:rsid w:val="00011021"/>
    <w:rsid w:val="00011253"/>
    <w:rsid w:val="0001160D"/>
    <w:rsid w:val="000116CA"/>
    <w:rsid w:val="00011BDB"/>
    <w:rsid w:val="00011F18"/>
    <w:rsid w:val="00011F94"/>
    <w:rsid w:val="000120CC"/>
    <w:rsid w:val="000126BC"/>
    <w:rsid w:val="0001273B"/>
    <w:rsid w:val="0001279B"/>
    <w:rsid w:val="000129ED"/>
    <w:rsid w:val="00012A6B"/>
    <w:rsid w:val="00012A7E"/>
    <w:rsid w:val="00012BF1"/>
    <w:rsid w:val="00012D15"/>
    <w:rsid w:val="00012DAD"/>
    <w:rsid w:val="00012DBA"/>
    <w:rsid w:val="00012E77"/>
    <w:rsid w:val="000139A8"/>
    <w:rsid w:val="00013BEA"/>
    <w:rsid w:val="00013DDC"/>
    <w:rsid w:val="00013FC3"/>
    <w:rsid w:val="000141A4"/>
    <w:rsid w:val="000142FD"/>
    <w:rsid w:val="0001434E"/>
    <w:rsid w:val="000143B3"/>
    <w:rsid w:val="000143D8"/>
    <w:rsid w:val="00014454"/>
    <w:rsid w:val="00014B22"/>
    <w:rsid w:val="00014E11"/>
    <w:rsid w:val="000150DC"/>
    <w:rsid w:val="000151C2"/>
    <w:rsid w:val="0001520F"/>
    <w:rsid w:val="00015504"/>
    <w:rsid w:val="000155EB"/>
    <w:rsid w:val="000156C2"/>
    <w:rsid w:val="00015848"/>
    <w:rsid w:val="000159B2"/>
    <w:rsid w:val="00015B23"/>
    <w:rsid w:val="00015F0B"/>
    <w:rsid w:val="00015F77"/>
    <w:rsid w:val="0001602C"/>
    <w:rsid w:val="00016058"/>
    <w:rsid w:val="000161D9"/>
    <w:rsid w:val="00016237"/>
    <w:rsid w:val="000162B9"/>
    <w:rsid w:val="000162BA"/>
    <w:rsid w:val="000163A1"/>
    <w:rsid w:val="000165A4"/>
    <w:rsid w:val="000166C7"/>
    <w:rsid w:val="0001684A"/>
    <w:rsid w:val="00016A1C"/>
    <w:rsid w:val="00016BD5"/>
    <w:rsid w:val="00016E25"/>
    <w:rsid w:val="00016E8B"/>
    <w:rsid w:val="00017178"/>
    <w:rsid w:val="00017186"/>
    <w:rsid w:val="000174C2"/>
    <w:rsid w:val="00017531"/>
    <w:rsid w:val="000175AB"/>
    <w:rsid w:val="000176AD"/>
    <w:rsid w:val="000177CB"/>
    <w:rsid w:val="0001782F"/>
    <w:rsid w:val="00017831"/>
    <w:rsid w:val="00017A10"/>
    <w:rsid w:val="00017E46"/>
    <w:rsid w:val="00020052"/>
    <w:rsid w:val="0002037E"/>
    <w:rsid w:val="00020594"/>
    <w:rsid w:val="000206B9"/>
    <w:rsid w:val="0002082E"/>
    <w:rsid w:val="000209A5"/>
    <w:rsid w:val="000209B0"/>
    <w:rsid w:val="00020A61"/>
    <w:rsid w:val="00020A8F"/>
    <w:rsid w:val="00020B0F"/>
    <w:rsid w:val="00020EBA"/>
    <w:rsid w:val="00021016"/>
    <w:rsid w:val="0002101C"/>
    <w:rsid w:val="0002134D"/>
    <w:rsid w:val="00021A62"/>
    <w:rsid w:val="00021BE8"/>
    <w:rsid w:val="00021F53"/>
    <w:rsid w:val="0002235D"/>
    <w:rsid w:val="00022425"/>
    <w:rsid w:val="0002274E"/>
    <w:rsid w:val="0002276F"/>
    <w:rsid w:val="0002294E"/>
    <w:rsid w:val="0002296D"/>
    <w:rsid w:val="000229DA"/>
    <w:rsid w:val="00022B95"/>
    <w:rsid w:val="00022CED"/>
    <w:rsid w:val="00022EAA"/>
    <w:rsid w:val="00023183"/>
    <w:rsid w:val="000239E6"/>
    <w:rsid w:val="00023DE2"/>
    <w:rsid w:val="00024228"/>
    <w:rsid w:val="000244AC"/>
    <w:rsid w:val="000245BC"/>
    <w:rsid w:val="000245D1"/>
    <w:rsid w:val="000247EC"/>
    <w:rsid w:val="000248C2"/>
    <w:rsid w:val="00024AC2"/>
    <w:rsid w:val="00024C45"/>
    <w:rsid w:val="00024CFC"/>
    <w:rsid w:val="0002515F"/>
    <w:rsid w:val="000252D5"/>
    <w:rsid w:val="0002561B"/>
    <w:rsid w:val="00025657"/>
    <w:rsid w:val="0002590D"/>
    <w:rsid w:val="0002592B"/>
    <w:rsid w:val="00025A76"/>
    <w:rsid w:val="00025BD0"/>
    <w:rsid w:val="00025F02"/>
    <w:rsid w:val="00025F3C"/>
    <w:rsid w:val="0002636A"/>
    <w:rsid w:val="00026389"/>
    <w:rsid w:val="000263C6"/>
    <w:rsid w:val="000265CF"/>
    <w:rsid w:val="00026A33"/>
    <w:rsid w:val="00026C22"/>
    <w:rsid w:val="00026C64"/>
    <w:rsid w:val="00026C9A"/>
    <w:rsid w:val="0002712C"/>
    <w:rsid w:val="00027334"/>
    <w:rsid w:val="000273F4"/>
    <w:rsid w:val="00027476"/>
    <w:rsid w:val="0002754A"/>
    <w:rsid w:val="0002783C"/>
    <w:rsid w:val="000278F2"/>
    <w:rsid w:val="00027A5D"/>
    <w:rsid w:val="00027CAF"/>
    <w:rsid w:val="00027E1A"/>
    <w:rsid w:val="00027F14"/>
    <w:rsid w:val="000300AA"/>
    <w:rsid w:val="00030797"/>
    <w:rsid w:val="00030830"/>
    <w:rsid w:val="00030993"/>
    <w:rsid w:val="000309C1"/>
    <w:rsid w:val="00030A32"/>
    <w:rsid w:val="00030DA3"/>
    <w:rsid w:val="00031175"/>
    <w:rsid w:val="0003127E"/>
    <w:rsid w:val="000312CA"/>
    <w:rsid w:val="00031472"/>
    <w:rsid w:val="0003164A"/>
    <w:rsid w:val="0003191A"/>
    <w:rsid w:val="00031962"/>
    <w:rsid w:val="00031B5A"/>
    <w:rsid w:val="00031C47"/>
    <w:rsid w:val="00031D07"/>
    <w:rsid w:val="00032124"/>
    <w:rsid w:val="0003225D"/>
    <w:rsid w:val="00032335"/>
    <w:rsid w:val="00032B36"/>
    <w:rsid w:val="00032CA7"/>
    <w:rsid w:val="00032DB5"/>
    <w:rsid w:val="00032E9D"/>
    <w:rsid w:val="00032EE4"/>
    <w:rsid w:val="0003306E"/>
    <w:rsid w:val="00033234"/>
    <w:rsid w:val="0003335C"/>
    <w:rsid w:val="00033373"/>
    <w:rsid w:val="000335CA"/>
    <w:rsid w:val="000336B3"/>
    <w:rsid w:val="00033A00"/>
    <w:rsid w:val="00033A0D"/>
    <w:rsid w:val="00033DB2"/>
    <w:rsid w:val="00033EE3"/>
    <w:rsid w:val="0003449C"/>
    <w:rsid w:val="000344B0"/>
    <w:rsid w:val="000345DC"/>
    <w:rsid w:val="00034AE0"/>
    <w:rsid w:val="00034C14"/>
    <w:rsid w:val="00035116"/>
    <w:rsid w:val="00035230"/>
    <w:rsid w:val="00035587"/>
    <w:rsid w:val="00035940"/>
    <w:rsid w:val="00035B66"/>
    <w:rsid w:val="00035C66"/>
    <w:rsid w:val="00035FA6"/>
    <w:rsid w:val="0003601E"/>
    <w:rsid w:val="000365E2"/>
    <w:rsid w:val="00036893"/>
    <w:rsid w:val="00036C14"/>
    <w:rsid w:val="00037239"/>
    <w:rsid w:val="00037286"/>
    <w:rsid w:val="00037322"/>
    <w:rsid w:val="0003775E"/>
    <w:rsid w:val="000378E7"/>
    <w:rsid w:val="00037D94"/>
    <w:rsid w:val="00037E65"/>
    <w:rsid w:val="000401F5"/>
    <w:rsid w:val="0004034C"/>
    <w:rsid w:val="000404C8"/>
    <w:rsid w:val="000404E1"/>
    <w:rsid w:val="00040500"/>
    <w:rsid w:val="000405A6"/>
    <w:rsid w:val="000409CB"/>
    <w:rsid w:val="00040A25"/>
    <w:rsid w:val="00041384"/>
    <w:rsid w:val="000419FF"/>
    <w:rsid w:val="00041D91"/>
    <w:rsid w:val="00041DE6"/>
    <w:rsid w:val="000421E6"/>
    <w:rsid w:val="0004235E"/>
    <w:rsid w:val="000423D9"/>
    <w:rsid w:val="00042D28"/>
    <w:rsid w:val="00043129"/>
    <w:rsid w:val="000432C2"/>
    <w:rsid w:val="00043783"/>
    <w:rsid w:val="00043BF1"/>
    <w:rsid w:val="00043E76"/>
    <w:rsid w:val="00043EE0"/>
    <w:rsid w:val="00043F66"/>
    <w:rsid w:val="0004409A"/>
    <w:rsid w:val="0004425F"/>
    <w:rsid w:val="00044841"/>
    <w:rsid w:val="0004486D"/>
    <w:rsid w:val="00044AAF"/>
    <w:rsid w:val="00044ABA"/>
    <w:rsid w:val="00044C45"/>
    <w:rsid w:val="00044CF5"/>
    <w:rsid w:val="00044F87"/>
    <w:rsid w:val="0004511C"/>
    <w:rsid w:val="00045136"/>
    <w:rsid w:val="00045359"/>
    <w:rsid w:val="0004552F"/>
    <w:rsid w:val="000455CD"/>
    <w:rsid w:val="000459BC"/>
    <w:rsid w:val="00045E5C"/>
    <w:rsid w:val="000462AC"/>
    <w:rsid w:val="000466F4"/>
    <w:rsid w:val="00046806"/>
    <w:rsid w:val="00046929"/>
    <w:rsid w:val="000469FA"/>
    <w:rsid w:val="00046AAC"/>
    <w:rsid w:val="00046B3F"/>
    <w:rsid w:val="00046BBE"/>
    <w:rsid w:val="00046CF0"/>
    <w:rsid w:val="00046DB4"/>
    <w:rsid w:val="00046E7B"/>
    <w:rsid w:val="000476E1"/>
    <w:rsid w:val="00047C3A"/>
    <w:rsid w:val="00047CF7"/>
    <w:rsid w:val="0005027F"/>
    <w:rsid w:val="00050287"/>
    <w:rsid w:val="00050546"/>
    <w:rsid w:val="000506CE"/>
    <w:rsid w:val="00050705"/>
    <w:rsid w:val="00050712"/>
    <w:rsid w:val="00050935"/>
    <w:rsid w:val="00050B2A"/>
    <w:rsid w:val="00050B5C"/>
    <w:rsid w:val="00050CAD"/>
    <w:rsid w:val="00050E8B"/>
    <w:rsid w:val="000512F2"/>
    <w:rsid w:val="00051544"/>
    <w:rsid w:val="0005160B"/>
    <w:rsid w:val="00051A70"/>
    <w:rsid w:val="00051B2F"/>
    <w:rsid w:val="00051B5A"/>
    <w:rsid w:val="00051C0A"/>
    <w:rsid w:val="00051D8D"/>
    <w:rsid w:val="00051E2D"/>
    <w:rsid w:val="00051F8A"/>
    <w:rsid w:val="00051FE3"/>
    <w:rsid w:val="00052208"/>
    <w:rsid w:val="00052752"/>
    <w:rsid w:val="00052867"/>
    <w:rsid w:val="00052898"/>
    <w:rsid w:val="00052CBF"/>
    <w:rsid w:val="00052F48"/>
    <w:rsid w:val="000531BD"/>
    <w:rsid w:val="000531DB"/>
    <w:rsid w:val="0005329F"/>
    <w:rsid w:val="00053646"/>
    <w:rsid w:val="00053725"/>
    <w:rsid w:val="000538CE"/>
    <w:rsid w:val="00053A55"/>
    <w:rsid w:val="00053AB3"/>
    <w:rsid w:val="00053AC9"/>
    <w:rsid w:val="00053C04"/>
    <w:rsid w:val="00053F51"/>
    <w:rsid w:val="00054067"/>
    <w:rsid w:val="00054186"/>
    <w:rsid w:val="00054320"/>
    <w:rsid w:val="000543D1"/>
    <w:rsid w:val="000543EE"/>
    <w:rsid w:val="000545ED"/>
    <w:rsid w:val="00054682"/>
    <w:rsid w:val="0005476B"/>
    <w:rsid w:val="00054AD7"/>
    <w:rsid w:val="00054BC9"/>
    <w:rsid w:val="00054D49"/>
    <w:rsid w:val="00054D5F"/>
    <w:rsid w:val="00054EBF"/>
    <w:rsid w:val="00054FDB"/>
    <w:rsid w:val="0005503B"/>
    <w:rsid w:val="00055834"/>
    <w:rsid w:val="00055E73"/>
    <w:rsid w:val="000564B1"/>
    <w:rsid w:val="000565BB"/>
    <w:rsid w:val="00056771"/>
    <w:rsid w:val="000568E5"/>
    <w:rsid w:val="00056CFC"/>
    <w:rsid w:val="00056DB8"/>
    <w:rsid w:val="00056E01"/>
    <w:rsid w:val="00056E8F"/>
    <w:rsid w:val="00056FA2"/>
    <w:rsid w:val="00057027"/>
    <w:rsid w:val="00057069"/>
    <w:rsid w:val="000570D7"/>
    <w:rsid w:val="00057161"/>
    <w:rsid w:val="000575C1"/>
    <w:rsid w:val="00057683"/>
    <w:rsid w:val="000578EA"/>
    <w:rsid w:val="000578EF"/>
    <w:rsid w:val="00057D64"/>
    <w:rsid w:val="00057DF4"/>
    <w:rsid w:val="000600AC"/>
    <w:rsid w:val="000600BE"/>
    <w:rsid w:val="0006027B"/>
    <w:rsid w:val="000603A3"/>
    <w:rsid w:val="000605EC"/>
    <w:rsid w:val="000605FB"/>
    <w:rsid w:val="00060610"/>
    <w:rsid w:val="00060682"/>
    <w:rsid w:val="000606D8"/>
    <w:rsid w:val="00060AB3"/>
    <w:rsid w:val="00060ADF"/>
    <w:rsid w:val="00060DD8"/>
    <w:rsid w:val="00060DDD"/>
    <w:rsid w:val="000614A6"/>
    <w:rsid w:val="00061621"/>
    <w:rsid w:val="0006171B"/>
    <w:rsid w:val="00061922"/>
    <w:rsid w:val="00061AF4"/>
    <w:rsid w:val="00061C49"/>
    <w:rsid w:val="00061CA2"/>
    <w:rsid w:val="0006201A"/>
    <w:rsid w:val="000620D0"/>
    <w:rsid w:val="000623C6"/>
    <w:rsid w:val="000624DF"/>
    <w:rsid w:val="00062845"/>
    <w:rsid w:val="00062A35"/>
    <w:rsid w:val="00062B47"/>
    <w:rsid w:val="00062DF0"/>
    <w:rsid w:val="00062F37"/>
    <w:rsid w:val="00062F89"/>
    <w:rsid w:val="00062F9C"/>
    <w:rsid w:val="0006301D"/>
    <w:rsid w:val="000631FE"/>
    <w:rsid w:val="00063572"/>
    <w:rsid w:val="0006361B"/>
    <w:rsid w:val="000637D1"/>
    <w:rsid w:val="00063ECB"/>
    <w:rsid w:val="00064078"/>
    <w:rsid w:val="00064098"/>
    <w:rsid w:val="00064269"/>
    <w:rsid w:val="0006443D"/>
    <w:rsid w:val="00064557"/>
    <w:rsid w:val="0006461E"/>
    <w:rsid w:val="00064829"/>
    <w:rsid w:val="000648FB"/>
    <w:rsid w:val="00064BBA"/>
    <w:rsid w:val="00064E24"/>
    <w:rsid w:val="00064F9F"/>
    <w:rsid w:val="000651B6"/>
    <w:rsid w:val="000653CE"/>
    <w:rsid w:val="000654C9"/>
    <w:rsid w:val="00065710"/>
    <w:rsid w:val="00065C38"/>
    <w:rsid w:val="000661A4"/>
    <w:rsid w:val="00066501"/>
    <w:rsid w:val="00066574"/>
    <w:rsid w:val="00066998"/>
    <w:rsid w:val="00066B30"/>
    <w:rsid w:val="00066BBC"/>
    <w:rsid w:val="00066C0E"/>
    <w:rsid w:val="00066ECD"/>
    <w:rsid w:val="00066ED3"/>
    <w:rsid w:val="00067180"/>
    <w:rsid w:val="000673B3"/>
    <w:rsid w:val="0006750F"/>
    <w:rsid w:val="00067597"/>
    <w:rsid w:val="00067EA8"/>
    <w:rsid w:val="00067F71"/>
    <w:rsid w:val="00070447"/>
    <w:rsid w:val="00070C41"/>
    <w:rsid w:val="00070C75"/>
    <w:rsid w:val="00070C76"/>
    <w:rsid w:val="000710EB"/>
    <w:rsid w:val="0007125B"/>
    <w:rsid w:val="00071539"/>
    <w:rsid w:val="000715B5"/>
    <w:rsid w:val="00071806"/>
    <w:rsid w:val="0007191E"/>
    <w:rsid w:val="0007198C"/>
    <w:rsid w:val="000719B3"/>
    <w:rsid w:val="000719BC"/>
    <w:rsid w:val="000719DD"/>
    <w:rsid w:val="00071B8E"/>
    <w:rsid w:val="00071BBF"/>
    <w:rsid w:val="00071C48"/>
    <w:rsid w:val="00072405"/>
    <w:rsid w:val="000724C1"/>
    <w:rsid w:val="0007259E"/>
    <w:rsid w:val="000727CC"/>
    <w:rsid w:val="0007293A"/>
    <w:rsid w:val="00072AAD"/>
    <w:rsid w:val="00072B01"/>
    <w:rsid w:val="00072D67"/>
    <w:rsid w:val="00072DEE"/>
    <w:rsid w:val="00072E4A"/>
    <w:rsid w:val="0007330F"/>
    <w:rsid w:val="00073C88"/>
    <w:rsid w:val="00073D1E"/>
    <w:rsid w:val="00073E34"/>
    <w:rsid w:val="00073F5A"/>
    <w:rsid w:val="00073F62"/>
    <w:rsid w:val="00073FA7"/>
    <w:rsid w:val="0007437F"/>
    <w:rsid w:val="00074444"/>
    <w:rsid w:val="000747D7"/>
    <w:rsid w:val="00074E9A"/>
    <w:rsid w:val="00074F29"/>
    <w:rsid w:val="00074F6A"/>
    <w:rsid w:val="00074F8E"/>
    <w:rsid w:val="00075040"/>
    <w:rsid w:val="0007535B"/>
    <w:rsid w:val="0007591D"/>
    <w:rsid w:val="00075D71"/>
    <w:rsid w:val="00076018"/>
    <w:rsid w:val="000760F3"/>
    <w:rsid w:val="00076316"/>
    <w:rsid w:val="00076378"/>
    <w:rsid w:val="00076409"/>
    <w:rsid w:val="00076486"/>
    <w:rsid w:val="00076728"/>
    <w:rsid w:val="00076B57"/>
    <w:rsid w:val="00076C54"/>
    <w:rsid w:val="00076F37"/>
    <w:rsid w:val="00077411"/>
    <w:rsid w:val="000776D0"/>
    <w:rsid w:val="00077A66"/>
    <w:rsid w:val="00077B54"/>
    <w:rsid w:val="00077C0F"/>
    <w:rsid w:val="00077D82"/>
    <w:rsid w:val="00077DCB"/>
    <w:rsid w:val="00077FBC"/>
    <w:rsid w:val="000801DF"/>
    <w:rsid w:val="00080639"/>
    <w:rsid w:val="0008063A"/>
    <w:rsid w:val="00080959"/>
    <w:rsid w:val="00080C21"/>
    <w:rsid w:val="00080EF9"/>
    <w:rsid w:val="00081170"/>
    <w:rsid w:val="00081398"/>
    <w:rsid w:val="00081695"/>
    <w:rsid w:val="000818F7"/>
    <w:rsid w:val="00081D8E"/>
    <w:rsid w:val="000820B9"/>
    <w:rsid w:val="0008241F"/>
    <w:rsid w:val="00082469"/>
    <w:rsid w:val="00082679"/>
    <w:rsid w:val="0008277E"/>
    <w:rsid w:val="00082816"/>
    <w:rsid w:val="00082A44"/>
    <w:rsid w:val="00082B45"/>
    <w:rsid w:val="00082B4A"/>
    <w:rsid w:val="00082C33"/>
    <w:rsid w:val="000832C9"/>
    <w:rsid w:val="000832FD"/>
    <w:rsid w:val="000833E3"/>
    <w:rsid w:val="00083486"/>
    <w:rsid w:val="000834C3"/>
    <w:rsid w:val="00083602"/>
    <w:rsid w:val="0008361A"/>
    <w:rsid w:val="0008392A"/>
    <w:rsid w:val="00083A9A"/>
    <w:rsid w:val="00083E05"/>
    <w:rsid w:val="00084028"/>
    <w:rsid w:val="00084115"/>
    <w:rsid w:val="00084459"/>
    <w:rsid w:val="000844DF"/>
    <w:rsid w:val="000844F1"/>
    <w:rsid w:val="00084551"/>
    <w:rsid w:val="0008469D"/>
    <w:rsid w:val="0008471E"/>
    <w:rsid w:val="00084962"/>
    <w:rsid w:val="00084C26"/>
    <w:rsid w:val="00084C9F"/>
    <w:rsid w:val="00084FFA"/>
    <w:rsid w:val="00085053"/>
    <w:rsid w:val="0008509A"/>
    <w:rsid w:val="0008534D"/>
    <w:rsid w:val="000853B1"/>
    <w:rsid w:val="00085495"/>
    <w:rsid w:val="00085844"/>
    <w:rsid w:val="0008590A"/>
    <w:rsid w:val="000860AE"/>
    <w:rsid w:val="000864BE"/>
    <w:rsid w:val="00086630"/>
    <w:rsid w:val="000866A8"/>
    <w:rsid w:val="0008691F"/>
    <w:rsid w:val="00086D26"/>
    <w:rsid w:val="00086E2D"/>
    <w:rsid w:val="00086EED"/>
    <w:rsid w:val="00086FFD"/>
    <w:rsid w:val="000874F1"/>
    <w:rsid w:val="000876A8"/>
    <w:rsid w:val="00087B08"/>
    <w:rsid w:val="00087B54"/>
    <w:rsid w:val="00087FF2"/>
    <w:rsid w:val="000903E5"/>
    <w:rsid w:val="0009053D"/>
    <w:rsid w:val="000905CA"/>
    <w:rsid w:val="00090906"/>
    <w:rsid w:val="00090ED6"/>
    <w:rsid w:val="00091024"/>
    <w:rsid w:val="00091456"/>
    <w:rsid w:val="00091503"/>
    <w:rsid w:val="00091AC8"/>
    <w:rsid w:val="00091B62"/>
    <w:rsid w:val="00091B84"/>
    <w:rsid w:val="00091C05"/>
    <w:rsid w:val="00091F1C"/>
    <w:rsid w:val="00091FEE"/>
    <w:rsid w:val="000925E6"/>
    <w:rsid w:val="000928CE"/>
    <w:rsid w:val="00092ADF"/>
    <w:rsid w:val="00092BF5"/>
    <w:rsid w:val="00092C29"/>
    <w:rsid w:val="0009305B"/>
    <w:rsid w:val="00093130"/>
    <w:rsid w:val="00093219"/>
    <w:rsid w:val="0009322E"/>
    <w:rsid w:val="0009355C"/>
    <w:rsid w:val="000935D7"/>
    <w:rsid w:val="000936EC"/>
    <w:rsid w:val="000937C2"/>
    <w:rsid w:val="000938FC"/>
    <w:rsid w:val="0009395E"/>
    <w:rsid w:val="00093B66"/>
    <w:rsid w:val="00093BC0"/>
    <w:rsid w:val="00093C08"/>
    <w:rsid w:val="00093D01"/>
    <w:rsid w:val="000940D1"/>
    <w:rsid w:val="0009444F"/>
    <w:rsid w:val="00094616"/>
    <w:rsid w:val="00094C75"/>
    <w:rsid w:val="00094F14"/>
    <w:rsid w:val="00094FAD"/>
    <w:rsid w:val="00094FD9"/>
    <w:rsid w:val="00095003"/>
    <w:rsid w:val="000952E9"/>
    <w:rsid w:val="00095304"/>
    <w:rsid w:val="00095536"/>
    <w:rsid w:val="000959BF"/>
    <w:rsid w:val="00095A22"/>
    <w:rsid w:val="00095B44"/>
    <w:rsid w:val="00095BF7"/>
    <w:rsid w:val="00095D00"/>
    <w:rsid w:val="00096105"/>
    <w:rsid w:val="0009678E"/>
    <w:rsid w:val="0009681E"/>
    <w:rsid w:val="00096A6F"/>
    <w:rsid w:val="00096CA7"/>
    <w:rsid w:val="00096E63"/>
    <w:rsid w:val="00096F5E"/>
    <w:rsid w:val="00096F60"/>
    <w:rsid w:val="0009799D"/>
    <w:rsid w:val="00097A12"/>
    <w:rsid w:val="00097C91"/>
    <w:rsid w:val="00097DD2"/>
    <w:rsid w:val="00097FDA"/>
    <w:rsid w:val="000A0565"/>
    <w:rsid w:val="000A0810"/>
    <w:rsid w:val="000A092D"/>
    <w:rsid w:val="000A0ECE"/>
    <w:rsid w:val="000A0F8A"/>
    <w:rsid w:val="000A114E"/>
    <w:rsid w:val="000A1278"/>
    <w:rsid w:val="000A1841"/>
    <w:rsid w:val="000A19CA"/>
    <w:rsid w:val="000A1A2D"/>
    <w:rsid w:val="000A1B9A"/>
    <w:rsid w:val="000A1D84"/>
    <w:rsid w:val="000A1E0A"/>
    <w:rsid w:val="000A1E79"/>
    <w:rsid w:val="000A1ED0"/>
    <w:rsid w:val="000A201A"/>
    <w:rsid w:val="000A2200"/>
    <w:rsid w:val="000A2379"/>
    <w:rsid w:val="000A23A2"/>
    <w:rsid w:val="000A2751"/>
    <w:rsid w:val="000A2A07"/>
    <w:rsid w:val="000A2B7E"/>
    <w:rsid w:val="000A2BB7"/>
    <w:rsid w:val="000A2BF5"/>
    <w:rsid w:val="000A2C41"/>
    <w:rsid w:val="000A2CB3"/>
    <w:rsid w:val="000A2CBB"/>
    <w:rsid w:val="000A2DB2"/>
    <w:rsid w:val="000A3285"/>
    <w:rsid w:val="000A358B"/>
    <w:rsid w:val="000A37EB"/>
    <w:rsid w:val="000A3DD0"/>
    <w:rsid w:val="000A3F07"/>
    <w:rsid w:val="000A4094"/>
    <w:rsid w:val="000A40E2"/>
    <w:rsid w:val="000A4137"/>
    <w:rsid w:val="000A4182"/>
    <w:rsid w:val="000A42B8"/>
    <w:rsid w:val="000A445C"/>
    <w:rsid w:val="000A45B1"/>
    <w:rsid w:val="000A45EB"/>
    <w:rsid w:val="000A4654"/>
    <w:rsid w:val="000A4690"/>
    <w:rsid w:val="000A493B"/>
    <w:rsid w:val="000A4E90"/>
    <w:rsid w:val="000A50E5"/>
    <w:rsid w:val="000A5130"/>
    <w:rsid w:val="000A5500"/>
    <w:rsid w:val="000A5586"/>
    <w:rsid w:val="000A5745"/>
    <w:rsid w:val="000A5861"/>
    <w:rsid w:val="000A5DF4"/>
    <w:rsid w:val="000A5E45"/>
    <w:rsid w:val="000A5E57"/>
    <w:rsid w:val="000A6110"/>
    <w:rsid w:val="000A63C8"/>
    <w:rsid w:val="000A6513"/>
    <w:rsid w:val="000A66D2"/>
    <w:rsid w:val="000A692E"/>
    <w:rsid w:val="000A6C57"/>
    <w:rsid w:val="000A6CCF"/>
    <w:rsid w:val="000A6D10"/>
    <w:rsid w:val="000A6D92"/>
    <w:rsid w:val="000A6FFE"/>
    <w:rsid w:val="000A707B"/>
    <w:rsid w:val="000A7165"/>
    <w:rsid w:val="000A734B"/>
    <w:rsid w:val="000A7757"/>
    <w:rsid w:val="000A77B4"/>
    <w:rsid w:val="000A77F5"/>
    <w:rsid w:val="000A7BD6"/>
    <w:rsid w:val="000A7E75"/>
    <w:rsid w:val="000A7E84"/>
    <w:rsid w:val="000A7EC7"/>
    <w:rsid w:val="000B0089"/>
    <w:rsid w:val="000B0254"/>
    <w:rsid w:val="000B0328"/>
    <w:rsid w:val="000B0516"/>
    <w:rsid w:val="000B06AC"/>
    <w:rsid w:val="000B06AF"/>
    <w:rsid w:val="000B09CE"/>
    <w:rsid w:val="000B0A73"/>
    <w:rsid w:val="000B0BDD"/>
    <w:rsid w:val="000B0CAD"/>
    <w:rsid w:val="000B1030"/>
    <w:rsid w:val="000B123B"/>
    <w:rsid w:val="000B13A3"/>
    <w:rsid w:val="000B13CA"/>
    <w:rsid w:val="000B14BA"/>
    <w:rsid w:val="000B179A"/>
    <w:rsid w:val="000B1988"/>
    <w:rsid w:val="000B1B59"/>
    <w:rsid w:val="000B1D80"/>
    <w:rsid w:val="000B1EBB"/>
    <w:rsid w:val="000B204C"/>
    <w:rsid w:val="000B2266"/>
    <w:rsid w:val="000B242D"/>
    <w:rsid w:val="000B26E2"/>
    <w:rsid w:val="000B2828"/>
    <w:rsid w:val="000B28DA"/>
    <w:rsid w:val="000B2A7D"/>
    <w:rsid w:val="000B30F9"/>
    <w:rsid w:val="000B314B"/>
    <w:rsid w:val="000B3279"/>
    <w:rsid w:val="000B34AC"/>
    <w:rsid w:val="000B379B"/>
    <w:rsid w:val="000B37A3"/>
    <w:rsid w:val="000B37EB"/>
    <w:rsid w:val="000B38D1"/>
    <w:rsid w:val="000B3B7D"/>
    <w:rsid w:val="000B3C5D"/>
    <w:rsid w:val="000B3EC7"/>
    <w:rsid w:val="000B3FE8"/>
    <w:rsid w:val="000B4077"/>
    <w:rsid w:val="000B43FB"/>
    <w:rsid w:val="000B454F"/>
    <w:rsid w:val="000B45A4"/>
    <w:rsid w:val="000B45C2"/>
    <w:rsid w:val="000B4707"/>
    <w:rsid w:val="000B4875"/>
    <w:rsid w:val="000B48C8"/>
    <w:rsid w:val="000B4937"/>
    <w:rsid w:val="000B4ACF"/>
    <w:rsid w:val="000B4D66"/>
    <w:rsid w:val="000B5093"/>
    <w:rsid w:val="000B514A"/>
    <w:rsid w:val="000B5189"/>
    <w:rsid w:val="000B51D6"/>
    <w:rsid w:val="000B52D9"/>
    <w:rsid w:val="000B5488"/>
    <w:rsid w:val="000B54B0"/>
    <w:rsid w:val="000B54C0"/>
    <w:rsid w:val="000B56CE"/>
    <w:rsid w:val="000B5719"/>
    <w:rsid w:val="000B5B13"/>
    <w:rsid w:val="000B5E37"/>
    <w:rsid w:val="000B5E5B"/>
    <w:rsid w:val="000B5EEC"/>
    <w:rsid w:val="000B636D"/>
    <w:rsid w:val="000B643D"/>
    <w:rsid w:val="000B653E"/>
    <w:rsid w:val="000B657D"/>
    <w:rsid w:val="000B65F3"/>
    <w:rsid w:val="000B68AC"/>
    <w:rsid w:val="000B6A9D"/>
    <w:rsid w:val="000B7258"/>
    <w:rsid w:val="000B73EF"/>
    <w:rsid w:val="000B7485"/>
    <w:rsid w:val="000B79C4"/>
    <w:rsid w:val="000B7BDF"/>
    <w:rsid w:val="000C02A1"/>
    <w:rsid w:val="000C0558"/>
    <w:rsid w:val="000C0786"/>
    <w:rsid w:val="000C0A6F"/>
    <w:rsid w:val="000C0BD4"/>
    <w:rsid w:val="000C10F3"/>
    <w:rsid w:val="000C1117"/>
    <w:rsid w:val="000C1211"/>
    <w:rsid w:val="000C1261"/>
    <w:rsid w:val="000C1285"/>
    <w:rsid w:val="000C1F5D"/>
    <w:rsid w:val="000C211E"/>
    <w:rsid w:val="000C232A"/>
    <w:rsid w:val="000C239B"/>
    <w:rsid w:val="000C2626"/>
    <w:rsid w:val="000C26FA"/>
    <w:rsid w:val="000C2A2D"/>
    <w:rsid w:val="000C2D8B"/>
    <w:rsid w:val="000C2DCB"/>
    <w:rsid w:val="000C2E33"/>
    <w:rsid w:val="000C2E88"/>
    <w:rsid w:val="000C2EB7"/>
    <w:rsid w:val="000C300C"/>
    <w:rsid w:val="000C300E"/>
    <w:rsid w:val="000C30BE"/>
    <w:rsid w:val="000C326A"/>
    <w:rsid w:val="000C34A5"/>
    <w:rsid w:val="000C3794"/>
    <w:rsid w:val="000C3A19"/>
    <w:rsid w:val="000C3CE5"/>
    <w:rsid w:val="000C3D21"/>
    <w:rsid w:val="000C3D5B"/>
    <w:rsid w:val="000C4089"/>
    <w:rsid w:val="000C4095"/>
    <w:rsid w:val="000C449E"/>
    <w:rsid w:val="000C457B"/>
    <w:rsid w:val="000C46D4"/>
    <w:rsid w:val="000C4831"/>
    <w:rsid w:val="000C496E"/>
    <w:rsid w:val="000C49B7"/>
    <w:rsid w:val="000C4A41"/>
    <w:rsid w:val="000C4A6E"/>
    <w:rsid w:val="000C4BF5"/>
    <w:rsid w:val="000C50F4"/>
    <w:rsid w:val="000C5245"/>
    <w:rsid w:val="000C52D4"/>
    <w:rsid w:val="000C531D"/>
    <w:rsid w:val="000C5350"/>
    <w:rsid w:val="000C54D5"/>
    <w:rsid w:val="000C54DC"/>
    <w:rsid w:val="000C5504"/>
    <w:rsid w:val="000C55C5"/>
    <w:rsid w:val="000C56A4"/>
    <w:rsid w:val="000C585E"/>
    <w:rsid w:val="000C5A45"/>
    <w:rsid w:val="000C5A79"/>
    <w:rsid w:val="000C5ADA"/>
    <w:rsid w:val="000C5B23"/>
    <w:rsid w:val="000C5DBB"/>
    <w:rsid w:val="000C61AC"/>
    <w:rsid w:val="000C6203"/>
    <w:rsid w:val="000C6220"/>
    <w:rsid w:val="000C63A6"/>
    <w:rsid w:val="000C6C86"/>
    <w:rsid w:val="000C735F"/>
    <w:rsid w:val="000C73EA"/>
    <w:rsid w:val="000C7420"/>
    <w:rsid w:val="000C74D4"/>
    <w:rsid w:val="000C76E0"/>
    <w:rsid w:val="000C7B7B"/>
    <w:rsid w:val="000C7BDB"/>
    <w:rsid w:val="000D024B"/>
    <w:rsid w:val="000D054F"/>
    <w:rsid w:val="000D05C9"/>
    <w:rsid w:val="000D0BC0"/>
    <w:rsid w:val="000D117B"/>
    <w:rsid w:val="000D15AA"/>
    <w:rsid w:val="000D16CA"/>
    <w:rsid w:val="000D176C"/>
    <w:rsid w:val="000D1BC5"/>
    <w:rsid w:val="000D1C28"/>
    <w:rsid w:val="000D1E5E"/>
    <w:rsid w:val="000D2040"/>
    <w:rsid w:val="000D2063"/>
    <w:rsid w:val="000D20F8"/>
    <w:rsid w:val="000D228B"/>
    <w:rsid w:val="000D290A"/>
    <w:rsid w:val="000D2AC8"/>
    <w:rsid w:val="000D2B3B"/>
    <w:rsid w:val="000D2D81"/>
    <w:rsid w:val="000D2D9E"/>
    <w:rsid w:val="000D2E69"/>
    <w:rsid w:val="000D2FCA"/>
    <w:rsid w:val="000D30C9"/>
    <w:rsid w:val="000D32A8"/>
    <w:rsid w:val="000D3EC8"/>
    <w:rsid w:val="000D400B"/>
    <w:rsid w:val="000D44A1"/>
    <w:rsid w:val="000D46B1"/>
    <w:rsid w:val="000D477C"/>
    <w:rsid w:val="000D49A0"/>
    <w:rsid w:val="000D4A6B"/>
    <w:rsid w:val="000D4B6F"/>
    <w:rsid w:val="000D4B95"/>
    <w:rsid w:val="000D4DE9"/>
    <w:rsid w:val="000D4F77"/>
    <w:rsid w:val="000D5129"/>
    <w:rsid w:val="000D5214"/>
    <w:rsid w:val="000D5353"/>
    <w:rsid w:val="000D53CF"/>
    <w:rsid w:val="000D54AD"/>
    <w:rsid w:val="000D55D6"/>
    <w:rsid w:val="000D5602"/>
    <w:rsid w:val="000D5A01"/>
    <w:rsid w:val="000D5AA2"/>
    <w:rsid w:val="000D5C65"/>
    <w:rsid w:val="000D5C9D"/>
    <w:rsid w:val="000D5F96"/>
    <w:rsid w:val="000D66AB"/>
    <w:rsid w:val="000D697B"/>
    <w:rsid w:val="000D69C7"/>
    <w:rsid w:val="000D6F90"/>
    <w:rsid w:val="000D71F1"/>
    <w:rsid w:val="000D7321"/>
    <w:rsid w:val="000D7518"/>
    <w:rsid w:val="000D7595"/>
    <w:rsid w:val="000D77B0"/>
    <w:rsid w:val="000D77EF"/>
    <w:rsid w:val="000D780B"/>
    <w:rsid w:val="000D785C"/>
    <w:rsid w:val="000D7929"/>
    <w:rsid w:val="000D79C5"/>
    <w:rsid w:val="000D7ACC"/>
    <w:rsid w:val="000D7CEB"/>
    <w:rsid w:val="000D7FE9"/>
    <w:rsid w:val="000E01D5"/>
    <w:rsid w:val="000E026F"/>
    <w:rsid w:val="000E0674"/>
    <w:rsid w:val="000E0945"/>
    <w:rsid w:val="000E0A40"/>
    <w:rsid w:val="000E0BA9"/>
    <w:rsid w:val="000E0EE0"/>
    <w:rsid w:val="000E0F7A"/>
    <w:rsid w:val="000E1233"/>
    <w:rsid w:val="000E1329"/>
    <w:rsid w:val="000E13B8"/>
    <w:rsid w:val="000E15BA"/>
    <w:rsid w:val="000E1863"/>
    <w:rsid w:val="000E195B"/>
    <w:rsid w:val="000E1A10"/>
    <w:rsid w:val="000E1E9D"/>
    <w:rsid w:val="000E226F"/>
    <w:rsid w:val="000E233C"/>
    <w:rsid w:val="000E2400"/>
    <w:rsid w:val="000E2F42"/>
    <w:rsid w:val="000E3267"/>
    <w:rsid w:val="000E32F8"/>
    <w:rsid w:val="000E331A"/>
    <w:rsid w:val="000E35AE"/>
    <w:rsid w:val="000E3FAA"/>
    <w:rsid w:val="000E41C8"/>
    <w:rsid w:val="000E43B6"/>
    <w:rsid w:val="000E43BF"/>
    <w:rsid w:val="000E43C1"/>
    <w:rsid w:val="000E448A"/>
    <w:rsid w:val="000E45E5"/>
    <w:rsid w:val="000E46C0"/>
    <w:rsid w:val="000E47BA"/>
    <w:rsid w:val="000E4802"/>
    <w:rsid w:val="000E4817"/>
    <w:rsid w:val="000E4B3C"/>
    <w:rsid w:val="000E4BEA"/>
    <w:rsid w:val="000E4EB6"/>
    <w:rsid w:val="000E5120"/>
    <w:rsid w:val="000E52E2"/>
    <w:rsid w:val="000E5345"/>
    <w:rsid w:val="000E5412"/>
    <w:rsid w:val="000E541D"/>
    <w:rsid w:val="000E5476"/>
    <w:rsid w:val="000E5644"/>
    <w:rsid w:val="000E5907"/>
    <w:rsid w:val="000E5C1B"/>
    <w:rsid w:val="000E5CBE"/>
    <w:rsid w:val="000E6006"/>
    <w:rsid w:val="000E62EE"/>
    <w:rsid w:val="000E678D"/>
    <w:rsid w:val="000E6844"/>
    <w:rsid w:val="000E695F"/>
    <w:rsid w:val="000E69F2"/>
    <w:rsid w:val="000E6BC5"/>
    <w:rsid w:val="000E6F44"/>
    <w:rsid w:val="000E6F5C"/>
    <w:rsid w:val="000E7025"/>
    <w:rsid w:val="000E7066"/>
    <w:rsid w:val="000E7387"/>
    <w:rsid w:val="000E7445"/>
    <w:rsid w:val="000E749E"/>
    <w:rsid w:val="000E7868"/>
    <w:rsid w:val="000E7970"/>
    <w:rsid w:val="000E7CCA"/>
    <w:rsid w:val="000E7F59"/>
    <w:rsid w:val="000E7F7F"/>
    <w:rsid w:val="000E7FCB"/>
    <w:rsid w:val="000F0466"/>
    <w:rsid w:val="000F0681"/>
    <w:rsid w:val="000F09AF"/>
    <w:rsid w:val="000F0C95"/>
    <w:rsid w:val="000F0DAB"/>
    <w:rsid w:val="000F0DC7"/>
    <w:rsid w:val="000F11DF"/>
    <w:rsid w:val="000F1409"/>
    <w:rsid w:val="000F174E"/>
    <w:rsid w:val="000F1821"/>
    <w:rsid w:val="000F1BA0"/>
    <w:rsid w:val="000F1D84"/>
    <w:rsid w:val="000F1E9E"/>
    <w:rsid w:val="000F2069"/>
    <w:rsid w:val="000F2210"/>
    <w:rsid w:val="000F228C"/>
    <w:rsid w:val="000F24B0"/>
    <w:rsid w:val="000F2B2C"/>
    <w:rsid w:val="000F2B78"/>
    <w:rsid w:val="000F2C34"/>
    <w:rsid w:val="000F2ECB"/>
    <w:rsid w:val="000F33CE"/>
    <w:rsid w:val="000F349A"/>
    <w:rsid w:val="000F3515"/>
    <w:rsid w:val="000F35BA"/>
    <w:rsid w:val="000F3613"/>
    <w:rsid w:val="000F387B"/>
    <w:rsid w:val="000F3C48"/>
    <w:rsid w:val="000F3CC8"/>
    <w:rsid w:val="000F3DA8"/>
    <w:rsid w:val="000F3F93"/>
    <w:rsid w:val="000F4055"/>
    <w:rsid w:val="000F4312"/>
    <w:rsid w:val="000F45AD"/>
    <w:rsid w:val="000F464F"/>
    <w:rsid w:val="000F49A6"/>
    <w:rsid w:val="000F513C"/>
    <w:rsid w:val="000F530A"/>
    <w:rsid w:val="000F56A7"/>
    <w:rsid w:val="000F5A19"/>
    <w:rsid w:val="000F5C0B"/>
    <w:rsid w:val="000F60A6"/>
    <w:rsid w:val="000F61BB"/>
    <w:rsid w:val="000F64D6"/>
    <w:rsid w:val="000F65EE"/>
    <w:rsid w:val="000F66B1"/>
    <w:rsid w:val="000F676F"/>
    <w:rsid w:val="000F6951"/>
    <w:rsid w:val="000F6D23"/>
    <w:rsid w:val="000F6F5B"/>
    <w:rsid w:val="000F708C"/>
    <w:rsid w:val="000F717B"/>
    <w:rsid w:val="000F74CC"/>
    <w:rsid w:val="000F7743"/>
    <w:rsid w:val="000F788C"/>
    <w:rsid w:val="000F78CC"/>
    <w:rsid w:val="000F79D5"/>
    <w:rsid w:val="000F7FC8"/>
    <w:rsid w:val="0010014F"/>
    <w:rsid w:val="0010016F"/>
    <w:rsid w:val="00100303"/>
    <w:rsid w:val="001003EE"/>
    <w:rsid w:val="001003F7"/>
    <w:rsid w:val="00100592"/>
    <w:rsid w:val="00100630"/>
    <w:rsid w:val="001006E4"/>
    <w:rsid w:val="001008A2"/>
    <w:rsid w:val="00100BFD"/>
    <w:rsid w:val="00100C79"/>
    <w:rsid w:val="00100DBB"/>
    <w:rsid w:val="00100F6B"/>
    <w:rsid w:val="00101142"/>
    <w:rsid w:val="001012D5"/>
    <w:rsid w:val="00101324"/>
    <w:rsid w:val="0010147F"/>
    <w:rsid w:val="0010194F"/>
    <w:rsid w:val="001019F4"/>
    <w:rsid w:val="00101A7B"/>
    <w:rsid w:val="00101D60"/>
    <w:rsid w:val="00101FFA"/>
    <w:rsid w:val="00102163"/>
    <w:rsid w:val="001021B7"/>
    <w:rsid w:val="0010224E"/>
    <w:rsid w:val="001023C1"/>
    <w:rsid w:val="001025FE"/>
    <w:rsid w:val="001028A4"/>
    <w:rsid w:val="00102A3E"/>
    <w:rsid w:val="00102AF1"/>
    <w:rsid w:val="00102B7D"/>
    <w:rsid w:val="00102BCC"/>
    <w:rsid w:val="00102D3C"/>
    <w:rsid w:val="00102F62"/>
    <w:rsid w:val="001033C9"/>
    <w:rsid w:val="00103481"/>
    <w:rsid w:val="001034C4"/>
    <w:rsid w:val="00103510"/>
    <w:rsid w:val="00103567"/>
    <w:rsid w:val="00103583"/>
    <w:rsid w:val="00103609"/>
    <w:rsid w:val="00103614"/>
    <w:rsid w:val="001036C0"/>
    <w:rsid w:val="0010398C"/>
    <w:rsid w:val="00103A74"/>
    <w:rsid w:val="00103C10"/>
    <w:rsid w:val="00103D36"/>
    <w:rsid w:val="00103ED5"/>
    <w:rsid w:val="00104372"/>
    <w:rsid w:val="001044DD"/>
    <w:rsid w:val="001045F3"/>
    <w:rsid w:val="0010469B"/>
    <w:rsid w:val="001048AA"/>
    <w:rsid w:val="00104B39"/>
    <w:rsid w:val="00104BC2"/>
    <w:rsid w:val="00104D8D"/>
    <w:rsid w:val="00104DAB"/>
    <w:rsid w:val="0010500C"/>
    <w:rsid w:val="001051A5"/>
    <w:rsid w:val="001053D4"/>
    <w:rsid w:val="0010543D"/>
    <w:rsid w:val="0010569D"/>
    <w:rsid w:val="001057D0"/>
    <w:rsid w:val="00105948"/>
    <w:rsid w:val="00105B33"/>
    <w:rsid w:val="00105F4D"/>
    <w:rsid w:val="00105F5F"/>
    <w:rsid w:val="00105FB9"/>
    <w:rsid w:val="00106113"/>
    <w:rsid w:val="00106164"/>
    <w:rsid w:val="00106176"/>
    <w:rsid w:val="001061BD"/>
    <w:rsid w:val="001064DF"/>
    <w:rsid w:val="001068CB"/>
    <w:rsid w:val="00106AAA"/>
    <w:rsid w:val="00106B22"/>
    <w:rsid w:val="00106D68"/>
    <w:rsid w:val="00107916"/>
    <w:rsid w:val="00107D39"/>
    <w:rsid w:val="00107EA0"/>
    <w:rsid w:val="00110096"/>
    <w:rsid w:val="001100FA"/>
    <w:rsid w:val="001101EB"/>
    <w:rsid w:val="0011034E"/>
    <w:rsid w:val="001109FF"/>
    <w:rsid w:val="00110C5C"/>
    <w:rsid w:val="00110C77"/>
    <w:rsid w:val="00110D17"/>
    <w:rsid w:val="00110F39"/>
    <w:rsid w:val="0011104A"/>
    <w:rsid w:val="0011119F"/>
    <w:rsid w:val="00111285"/>
    <w:rsid w:val="001113EE"/>
    <w:rsid w:val="001114D1"/>
    <w:rsid w:val="001117EC"/>
    <w:rsid w:val="00111A73"/>
    <w:rsid w:val="00112130"/>
    <w:rsid w:val="00112285"/>
    <w:rsid w:val="001124E5"/>
    <w:rsid w:val="00112625"/>
    <w:rsid w:val="0011266D"/>
    <w:rsid w:val="001126D7"/>
    <w:rsid w:val="001128FA"/>
    <w:rsid w:val="00112A3C"/>
    <w:rsid w:val="00112A46"/>
    <w:rsid w:val="00112AD2"/>
    <w:rsid w:val="00112D72"/>
    <w:rsid w:val="00112DCA"/>
    <w:rsid w:val="00112E6E"/>
    <w:rsid w:val="001131A9"/>
    <w:rsid w:val="001132CB"/>
    <w:rsid w:val="00113618"/>
    <w:rsid w:val="00113636"/>
    <w:rsid w:val="0011381B"/>
    <w:rsid w:val="00113ABB"/>
    <w:rsid w:val="00113B08"/>
    <w:rsid w:val="00113E72"/>
    <w:rsid w:val="00113F64"/>
    <w:rsid w:val="00114403"/>
    <w:rsid w:val="00114410"/>
    <w:rsid w:val="001149A3"/>
    <w:rsid w:val="00114E15"/>
    <w:rsid w:val="00115104"/>
    <w:rsid w:val="001151AB"/>
    <w:rsid w:val="00115491"/>
    <w:rsid w:val="00115676"/>
    <w:rsid w:val="001156BE"/>
    <w:rsid w:val="001156F0"/>
    <w:rsid w:val="00115839"/>
    <w:rsid w:val="001158A5"/>
    <w:rsid w:val="0011592B"/>
    <w:rsid w:val="001159AB"/>
    <w:rsid w:val="00115A9B"/>
    <w:rsid w:val="00115DE6"/>
    <w:rsid w:val="00115DF6"/>
    <w:rsid w:val="001163F5"/>
    <w:rsid w:val="001164ED"/>
    <w:rsid w:val="001166AE"/>
    <w:rsid w:val="00116CA0"/>
    <w:rsid w:val="00116E2B"/>
    <w:rsid w:val="00116FAF"/>
    <w:rsid w:val="0011725E"/>
    <w:rsid w:val="0011769F"/>
    <w:rsid w:val="001176D9"/>
    <w:rsid w:val="001178FD"/>
    <w:rsid w:val="00117B32"/>
    <w:rsid w:val="00117C75"/>
    <w:rsid w:val="00117FB9"/>
    <w:rsid w:val="00117FD2"/>
    <w:rsid w:val="001201DC"/>
    <w:rsid w:val="00120200"/>
    <w:rsid w:val="001203E4"/>
    <w:rsid w:val="00120496"/>
    <w:rsid w:val="00120924"/>
    <w:rsid w:val="0012094D"/>
    <w:rsid w:val="0012097E"/>
    <w:rsid w:val="00120BCB"/>
    <w:rsid w:val="00120CF7"/>
    <w:rsid w:val="00120E81"/>
    <w:rsid w:val="00120EA0"/>
    <w:rsid w:val="0012106B"/>
    <w:rsid w:val="00121383"/>
    <w:rsid w:val="001218BA"/>
    <w:rsid w:val="001218E3"/>
    <w:rsid w:val="00121F05"/>
    <w:rsid w:val="001220D5"/>
    <w:rsid w:val="0012210E"/>
    <w:rsid w:val="0012212F"/>
    <w:rsid w:val="00122621"/>
    <w:rsid w:val="00122720"/>
    <w:rsid w:val="00122976"/>
    <w:rsid w:val="00122C43"/>
    <w:rsid w:val="00122DA3"/>
    <w:rsid w:val="00122E66"/>
    <w:rsid w:val="00122E7A"/>
    <w:rsid w:val="00122EAA"/>
    <w:rsid w:val="0012331D"/>
    <w:rsid w:val="0012335A"/>
    <w:rsid w:val="0012340D"/>
    <w:rsid w:val="001234B4"/>
    <w:rsid w:val="00123513"/>
    <w:rsid w:val="0012360B"/>
    <w:rsid w:val="001236F1"/>
    <w:rsid w:val="0012377D"/>
    <w:rsid w:val="00123984"/>
    <w:rsid w:val="00123B1A"/>
    <w:rsid w:val="00123CAE"/>
    <w:rsid w:val="00123CB5"/>
    <w:rsid w:val="00123F80"/>
    <w:rsid w:val="001241B5"/>
    <w:rsid w:val="00124233"/>
    <w:rsid w:val="0012424A"/>
    <w:rsid w:val="0012466D"/>
    <w:rsid w:val="00124A5B"/>
    <w:rsid w:val="00124AB1"/>
    <w:rsid w:val="00124ED5"/>
    <w:rsid w:val="001250EF"/>
    <w:rsid w:val="00125436"/>
    <w:rsid w:val="00125560"/>
    <w:rsid w:val="0012564F"/>
    <w:rsid w:val="00125871"/>
    <w:rsid w:val="00125987"/>
    <w:rsid w:val="001259FB"/>
    <w:rsid w:val="00125ADE"/>
    <w:rsid w:val="00125D7C"/>
    <w:rsid w:val="00125F15"/>
    <w:rsid w:val="00126092"/>
    <w:rsid w:val="00126155"/>
    <w:rsid w:val="001264FA"/>
    <w:rsid w:val="001266A7"/>
    <w:rsid w:val="0012679E"/>
    <w:rsid w:val="00126863"/>
    <w:rsid w:val="0012692A"/>
    <w:rsid w:val="00126A2E"/>
    <w:rsid w:val="00126C95"/>
    <w:rsid w:val="00126CEB"/>
    <w:rsid w:val="00126D8C"/>
    <w:rsid w:val="00126E15"/>
    <w:rsid w:val="00126EC5"/>
    <w:rsid w:val="001270BD"/>
    <w:rsid w:val="0012719F"/>
    <w:rsid w:val="00127226"/>
    <w:rsid w:val="001273EA"/>
    <w:rsid w:val="0012790D"/>
    <w:rsid w:val="00127981"/>
    <w:rsid w:val="00127B2C"/>
    <w:rsid w:val="001306B1"/>
    <w:rsid w:val="00130773"/>
    <w:rsid w:val="001307CC"/>
    <w:rsid w:val="0013107C"/>
    <w:rsid w:val="0013126A"/>
    <w:rsid w:val="00131546"/>
    <w:rsid w:val="00131646"/>
    <w:rsid w:val="00131875"/>
    <w:rsid w:val="00131A90"/>
    <w:rsid w:val="00131C63"/>
    <w:rsid w:val="001320FE"/>
    <w:rsid w:val="001323A5"/>
    <w:rsid w:val="00132CDF"/>
    <w:rsid w:val="00132D61"/>
    <w:rsid w:val="001331A9"/>
    <w:rsid w:val="001331FF"/>
    <w:rsid w:val="00133275"/>
    <w:rsid w:val="001334D0"/>
    <w:rsid w:val="001335AE"/>
    <w:rsid w:val="0013367B"/>
    <w:rsid w:val="001336F9"/>
    <w:rsid w:val="00133712"/>
    <w:rsid w:val="0013380C"/>
    <w:rsid w:val="001338B6"/>
    <w:rsid w:val="00133964"/>
    <w:rsid w:val="00133A6D"/>
    <w:rsid w:val="00133CB6"/>
    <w:rsid w:val="00133D23"/>
    <w:rsid w:val="00133E45"/>
    <w:rsid w:val="0013418E"/>
    <w:rsid w:val="00134283"/>
    <w:rsid w:val="00134410"/>
    <w:rsid w:val="00134505"/>
    <w:rsid w:val="001346C2"/>
    <w:rsid w:val="00134883"/>
    <w:rsid w:val="00134953"/>
    <w:rsid w:val="001349D8"/>
    <w:rsid w:val="00134FC9"/>
    <w:rsid w:val="00135345"/>
    <w:rsid w:val="0013542F"/>
    <w:rsid w:val="00135532"/>
    <w:rsid w:val="001355C1"/>
    <w:rsid w:val="00135776"/>
    <w:rsid w:val="001357D2"/>
    <w:rsid w:val="00135993"/>
    <w:rsid w:val="00135A2E"/>
    <w:rsid w:val="00135AAF"/>
    <w:rsid w:val="00135C23"/>
    <w:rsid w:val="00135D99"/>
    <w:rsid w:val="00136391"/>
    <w:rsid w:val="001367AB"/>
    <w:rsid w:val="0013689E"/>
    <w:rsid w:val="001368A3"/>
    <w:rsid w:val="00136B9D"/>
    <w:rsid w:val="00136DC1"/>
    <w:rsid w:val="00136EF5"/>
    <w:rsid w:val="00136FE5"/>
    <w:rsid w:val="001370D4"/>
    <w:rsid w:val="0013727D"/>
    <w:rsid w:val="0013757D"/>
    <w:rsid w:val="0013764E"/>
    <w:rsid w:val="0013785E"/>
    <w:rsid w:val="00137ADB"/>
    <w:rsid w:val="00137B36"/>
    <w:rsid w:val="00137B85"/>
    <w:rsid w:val="00140094"/>
    <w:rsid w:val="001402C9"/>
    <w:rsid w:val="001402D6"/>
    <w:rsid w:val="001407BE"/>
    <w:rsid w:val="001407C0"/>
    <w:rsid w:val="001408C4"/>
    <w:rsid w:val="00140933"/>
    <w:rsid w:val="00140D79"/>
    <w:rsid w:val="00140E0F"/>
    <w:rsid w:val="00140F2E"/>
    <w:rsid w:val="0014110A"/>
    <w:rsid w:val="0014113E"/>
    <w:rsid w:val="00141661"/>
    <w:rsid w:val="00141673"/>
    <w:rsid w:val="0014179D"/>
    <w:rsid w:val="00141842"/>
    <w:rsid w:val="00141E65"/>
    <w:rsid w:val="00141F91"/>
    <w:rsid w:val="00142100"/>
    <w:rsid w:val="00142306"/>
    <w:rsid w:val="001423FC"/>
    <w:rsid w:val="00142AE8"/>
    <w:rsid w:val="00142C1B"/>
    <w:rsid w:val="00142C3F"/>
    <w:rsid w:val="00142CB7"/>
    <w:rsid w:val="00142D02"/>
    <w:rsid w:val="00142E09"/>
    <w:rsid w:val="00142FCD"/>
    <w:rsid w:val="0014344C"/>
    <w:rsid w:val="0014353F"/>
    <w:rsid w:val="001435E3"/>
    <w:rsid w:val="00143AF8"/>
    <w:rsid w:val="00144047"/>
    <w:rsid w:val="00144523"/>
    <w:rsid w:val="00144835"/>
    <w:rsid w:val="00144A57"/>
    <w:rsid w:val="00144C2A"/>
    <w:rsid w:val="00144E67"/>
    <w:rsid w:val="00145088"/>
    <w:rsid w:val="0014510D"/>
    <w:rsid w:val="00145249"/>
    <w:rsid w:val="00145331"/>
    <w:rsid w:val="001456DF"/>
    <w:rsid w:val="001457FA"/>
    <w:rsid w:val="001459D0"/>
    <w:rsid w:val="0014600F"/>
    <w:rsid w:val="00146062"/>
    <w:rsid w:val="00146086"/>
    <w:rsid w:val="001460CC"/>
    <w:rsid w:val="00146110"/>
    <w:rsid w:val="001464C9"/>
    <w:rsid w:val="001465FF"/>
    <w:rsid w:val="00146AED"/>
    <w:rsid w:val="00146BEF"/>
    <w:rsid w:val="00146E1B"/>
    <w:rsid w:val="001473C1"/>
    <w:rsid w:val="0014780E"/>
    <w:rsid w:val="00147B60"/>
    <w:rsid w:val="00147DD8"/>
    <w:rsid w:val="00147ECC"/>
    <w:rsid w:val="0015023C"/>
    <w:rsid w:val="001505EB"/>
    <w:rsid w:val="001507DE"/>
    <w:rsid w:val="0015089D"/>
    <w:rsid w:val="00150D09"/>
    <w:rsid w:val="00150E56"/>
    <w:rsid w:val="00150E93"/>
    <w:rsid w:val="00150F8A"/>
    <w:rsid w:val="00150FF0"/>
    <w:rsid w:val="00151328"/>
    <w:rsid w:val="001513AE"/>
    <w:rsid w:val="001513E2"/>
    <w:rsid w:val="001514CC"/>
    <w:rsid w:val="00151562"/>
    <w:rsid w:val="00151861"/>
    <w:rsid w:val="0015188A"/>
    <w:rsid w:val="001519B0"/>
    <w:rsid w:val="00151B37"/>
    <w:rsid w:val="00151CC6"/>
    <w:rsid w:val="0015205C"/>
    <w:rsid w:val="00152063"/>
    <w:rsid w:val="0015228C"/>
    <w:rsid w:val="001522FA"/>
    <w:rsid w:val="001524CE"/>
    <w:rsid w:val="0015253F"/>
    <w:rsid w:val="001525BC"/>
    <w:rsid w:val="001525C3"/>
    <w:rsid w:val="00152604"/>
    <w:rsid w:val="001526CD"/>
    <w:rsid w:val="00152D74"/>
    <w:rsid w:val="00152D8C"/>
    <w:rsid w:val="00152E18"/>
    <w:rsid w:val="001530BA"/>
    <w:rsid w:val="00153340"/>
    <w:rsid w:val="00153816"/>
    <w:rsid w:val="00153A31"/>
    <w:rsid w:val="00153AA0"/>
    <w:rsid w:val="00153D43"/>
    <w:rsid w:val="0015410A"/>
    <w:rsid w:val="0015419B"/>
    <w:rsid w:val="001546DB"/>
    <w:rsid w:val="001547C5"/>
    <w:rsid w:val="001548B2"/>
    <w:rsid w:val="001548C1"/>
    <w:rsid w:val="00154909"/>
    <w:rsid w:val="001549E5"/>
    <w:rsid w:val="00154A75"/>
    <w:rsid w:val="00154AF1"/>
    <w:rsid w:val="00154E38"/>
    <w:rsid w:val="00154ED5"/>
    <w:rsid w:val="0015514E"/>
    <w:rsid w:val="00155226"/>
    <w:rsid w:val="001552EE"/>
    <w:rsid w:val="001552F0"/>
    <w:rsid w:val="00155385"/>
    <w:rsid w:val="001555C5"/>
    <w:rsid w:val="0015593D"/>
    <w:rsid w:val="00155AD1"/>
    <w:rsid w:val="00155B9C"/>
    <w:rsid w:val="00155F87"/>
    <w:rsid w:val="001563AC"/>
    <w:rsid w:val="00156469"/>
    <w:rsid w:val="00156606"/>
    <w:rsid w:val="00156896"/>
    <w:rsid w:val="00156988"/>
    <w:rsid w:val="00156D18"/>
    <w:rsid w:val="00156F9D"/>
    <w:rsid w:val="001573F9"/>
    <w:rsid w:val="0015740C"/>
    <w:rsid w:val="00157615"/>
    <w:rsid w:val="00157C6C"/>
    <w:rsid w:val="0016073E"/>
    <w:rsid w:val="00160802"/>
    <w:rsid w:val="00160A0F"/>
    <w:rsid w:val="00160B31"/>
    <w:rsid w:val="00160C4C"/>
    <w:rsid w:val="00160C8E"/>
    <w:rsid w:val="00160C97"/>
    <w:rsid w:val="00160C9E"/>
    <w:rsid w:val="00160CBB"/>
    <w:rsid w:val="001610BE"/>
    <w:rsid w:val="001610FB"/>
    <w:rsid w:val="001611DE"/>
    <w:rsid w:val="001613FB"/>
    <w:rsid w:val="0016147F"/>
    <w:rsid w:val="00161488"/>
    <w:rsid w:val="001614E1"/>
    <w:rsid w:val="0016163B"/>
    <w:rsid w:val="0016164D"/>
    <w:rsid w:val="0016167F"/>
    <w:rsid w:val="0016191F"/>
    <w:rsid w:val="0016195A"/>
    <w:rsid w:val="00161AD2"/>
    <w:rsid w:val="001621E0"/>
    <w:rsid w:val="0016237B"/>
    <w:rsid w:val="001626B7"/>
    <w:rsid w:val="001627A9"/>
    <w:rsid w:val="001627D5"/>
    <w:rsid w:val="001629E0"/>
    <w:rsid w:val="00162EE0"/>
    <w:rsid w:val="00163138"/>
    <w:rsid w:val="0016324A"/>
    <w:rsid w:val="001635C5"/>
    <w:rsid w:val="00163639"/>
    <w:rsid w:val="0016369C"/>
    <w:rsid w:val="001637CA"/>
    <w:rsid w:val="001638DD"/>
    <w:rsid w:val="001638F7"/>
    <w:rsid w:val="00163C88"/>
    <w:rsid w:val="00163FD4"/>
    <w:rsid w:val="0016411F"/>
    <w:rsid w:val="00164697"/>
    <w:rsid w:val="001647D0"/>
    <w:rsid w:val="00164BCE"/>
    <w:rsid w:val="00164D4F"/>
    <w:rsid w:val="00164EA4"/>
    <w:rsid w:val="00164EC1"/>
    <w:rsid w:val="00165784"/>
    <w:rsid w:val="001658BC"/>
    <w:rsid w:val="001658FC"/>
    <w:rsid w:val="001659C2"/>
    <w:rsid w:val="00165BBF"/>
    <w:rsid w:val="00165BED"/>
    <w:rsid w:val="00165C5C"/>
    <w:rsid w:val="00165CD1"/>
    <w:rsid w:val="0016619C"/>
    <w:rsid w:val="0016629F"/>
    <w:rsid w:val="00166456"/>
    <w:rsid w:val="001666B9"/>
    <w:rsid w:val="00166803"/>
    <w:rsid w:val="0016681C"/>
    <w:rsid w:val="00166BBF"/>
    <w:rsid w:val="001670C5"/>
    <w:rsid w:val="0016766F"/>
    <w:rsid w:val="001676B2"/>
    <w:rsid w:val="00167EDA"/>
    <w:rsid w:val="00170061"/>
    <w:rsid w:val="00170494"/>
    <w:rsid w:val="0017060D"/>
    <w:rsid w:val="001707B2"/>
    <w:rsid w:val="001707D4"/>
    <w:rsid w:val="001709E6"/>
    <w:rsid w:val="00170A30"/>
    <w:rsid w:val="00170B0F"/>
    <w:rsid w:val="00170E70"/>
    <w:rsid w:val="001710C0"/>
    <w:rsid w:val="00171242"/>
    <w:rsid w:val="00171380"/>
    <w:rsid w:val="001714DE"/>
    <w:rsid w:val="0017170C"/>
    <w:rsid w:val="001717F9"/>
    <w:rsid w:val="00171A12"/>
    <w:rsid w:val="00171C06"/>
    <w:rsid w:val="00171C71"/>
    <w:rsid w:val="00171E47"/>
    <w:rsid w:val="0017207C"/>
    <w:rsid w:val="001729F1"/>
    <w:rsid w:val="00172BBE"/>
    <w:rsid w:val="00172C04"/>
    <w:rsid w:val="00172CA3"/>
    <w:rsid w:val="00172CF6"/>
    <w:rsid w:val="00172D14"/>
    <w:rsid w:val="00172D64"/>
    <w:rsid w:val="00172EAD"/>
    <w:rsid w:val="00172F0E"/>
    <w:rsid w:val="00172F62"/>
    <w:rsid w:val="00173130"/>
    <w:rsid w:val="00173480"/>
    <w:rsid w:val="0017359A"/>
    <w:rsid w:val="001736AD"/>
    <w:rsid w:val="00173906"/>
    <w:rsid w:val="00173EC4"/>
    <w:rsid w:val="001740CB"/>
    <w:rsid w:val="0017463A"/>
    <w:rsid w:val="001747BA"/>
    <w:rsid w:val="00174A2F"/>
    <w:rsid w:val="00174D72"/>
    <w:rsid w:val="00174D8E"/>
    <w:rsid w:val="00175341"/>
    <w:rsid w:val="001757BE"/>
    <w:rsid w:val="001757D8"/>
    <w:rsid w:val="001758A1"/>
    <w:rsid w:val="00175AB4"/>
    <w:rsid w:val="00175D63"/>
    <w:rsid w:val="00175DE2"/>
    <w:rsid w:val="00176329"/>
    <w:rsid w:val="0017635D"/>
    <w:rsid w:val="00176437"/>
    <w:rsid w:val="0017678A"/>
    <w:rsid w:val="00176B5C"/>
    <w:rsid w:val="00176BCC"/>
    <w:rsid w:val="00176BFC"/>
    <w:rsid w:val="00176D5C"/>
    <w:rsid w:val="00177119"/>
    <w:rsid w:val="0017716C"/>
    <w:rsid w:val="00177362"/>
    <w:rsid w:val="0017737A"/>
    <w:rsid w:val="001773BF"/>
    <w:rsid w:val="00177434"/>
    <w:rsid w:val="001778F2"/>
    <w:rsid w:val="00177BB7"/>
    <w:rsid w:val="00177D47"/>
    <w:rsid w:val="00177E76"/>
    <w:rsid w:val="00177F4A"/>
    <w:rsid w:val="001800E3"/>
    <w:rsid w:val="001801DC"/>
    <w:rsid w:val="001804F7"/>
    <w:rsid w:val="00180808"/>
    <w:rsid w:val="00180876"/>
    <w:rsid w:val="00180A88"/>
    <w:rsid w:val="00180BEA"/>
    <w:rsid w:val="00180CD6"/>
    <w:rsid w:val="00180CF4"/>
    <w:rsid w:val="00180EB3"/>
    <w:rsid w:val="00180F2B"/>
    <w:rsid w:val="00181249"/>
    <w:rsid w:val="00181325"/>
    <w:rsid w:val="00181397"/>
    <w:rsid w:val="0018146E"/>
    <w:rsid w:val="00181633"/>
    <w:rsid w:val="00181828"/>
    <w:rsid w:val="00181C2F"/>
    <w:rsid w:val="00181F2D"/>
    <w:rsid w:val="00181F4C"/>
    <w:rsid w:val="0018254E"/>
    <w:rsid w:val="0018258D"/>
    <w:rsid w:val="00182677"/>
    <w:rsid w:val="001828E4"/>
    <w:rsid w:val="00182B15"/>
    <w:rsid w:val="00182CF9"/>
    <w:rsid w:val="001832B5"/>
    <w:rsid w:val="00183323"/>
    <w:rsid w:val="001833E9"/>
    <w:rsid w:val="001833EF"/>
    <w:rsid w:val="0018356D"/>
    <w:rsid w:val="001835BB"/>
    <w:rsid w:val="00183682"/>
    <w:rsid w:val="001836E2"/>
    <w:rsid w:val="0018373D"/>
    <w:rsid w:val="00183859"/>
    <w:rsid w:val="001839F0"/>
    <w:rsid w:val="00183A15"/>
    <w:rsid w:val="00183A48"/>
    <w:rsid w:val="00183A78"/>
    <w:rsid w:val="00183B40"/>
    <w:rsid w:val="00183BA9"/>
    <w:rsid w:val="00183D30"/>
    <w:rsid w:val="00183D58"/>
    <w:rsid w:val="00183DEA"/>
    <w:rsid w:val="00183E5D"/>
    <w:rsid w:val="00184373"/>
    <w:rsid w:val="001846D5"/>
    <w:rsid w:val="0018477B"/>
    <w:rsid w:val="00184AB8"/>
    <w:rsid w:val="00184BF9"/>
    <w:rsid w:val="00184D52"/>
    <w:rsid w:val="0018504E"/>
    <w:rsid w:val="001854DC"/>
    <w:rsid w:val="00185684"/>
    <w:rsid w:val="00185F02"/>
    <w:rsid w:val="001864C8"/>
    <w:rsid w:val="00186537"/>
    <w:rsid w:val="001865C7"/>
    <w:rsid w:val="00186BCB"/>
    <w:rsid w:val="00186DC4"/>
    <w:rsid w:val="00186F22"/>
    <w:rsid w:val="001870D8"/>
    <w:rsid w:val="0018715E"/>
    <w:rsid w:val="0018723F"/>
    <w:rsid w:val="0018782A"/>
    <w:rsid w:val="00187A5C"/>
    <w:rsid w:val="00187CB8"/>
    <w:rsid w:val="00187D0D"/>
    <w:rsid w:val="00187F20"/>
    <w:rsid w:val="00190001"/>
    <w:rsid w:val="0019008C"/>
    <w:rsid w:val="00190127"/>
    <w:rsid w:val="001904D2"/>
    <w:rsid w:val="00190770"/>
    <w:rsid w:val="0019088B"/>
    <w:rsid w:val="00190C35"/>
    <w:rsid w:val="00190C5F"/>
    <w:rsid w:val="00190CAF"/>
    <w:rsid w:val="00190CBF"/>
    <w:rsid w:val="00190FA2"/>
    <w:rsid w:val="00191020"/>
    <w:rsid w:val="0019111F"/>
    <w:rsid w:val="00191294"/>
    <w:rsid w:val="001913B2"/>
    <w:rsid w:val="001916DD"/>
    <w:rsid w:val="00191A2C"/>
    <w:rsid w:val="00191B69"/>
    <w:rsid w:val="00191D86"/>
    <w:rsid w:val="00191D88"/>
    <w:rsid w:val="001920E3"/>
    <w:rsid w:val="001922C8"/>
    <w:rsid w:val="001925DE"/>
    <w:rsid w:val="0019269A"/>
    <w:rsid w:val="00192826"/>
    <w:rsid w:val="001929A7"/>
    <w:rsid w:val="001929CF"/>
    <w:rsid w:val="00192B7B"/>
    <w:rsid w:val="00192D31"/>
    <w:rsid w:val="00192D38"/>
    <w:rsid w:val="0019300E"/>
    <w:rsid w:val="001931BB"/>
    <w:rsid w:val="00193280"/>
    <w:rsid w:val="001932A3"/>
    <w:rsid w:val="00193327"/>
    <w:rsid w:val="001936A8"/>
    <w:rsid w:val="001936E7"/>
    <w:rsid w:val="00193889"/>
    <w:rsid w:val="00193980"/>
    <w:rsid w:val="00193B20"/>
    <w:rsid w:val="00193C0E"/>
    <w:rsid w:val="00193C1E"/>
    <w:rsid w:val="00193C5D"/>
    <w:rsid w:val="00193D30"/>
    <w:rsid w:val="00193EE6"/>
    <w:rsid w:val="00193F44"/>
    <w:rsid w:val="001943E3"/>
    <w:rsid w:val="0019441A"/>
    <w:rsid w:val="0019441F"/>
    <w:rsid w:val="00194566"/>
    <w:rsid w:val="00194860"/>
    <w:rsid w:val="00194E57"/>
    <w:rsid w:val="00194FD1"/>
    <w:rsid w:val="00195114"/>
    <w:rsid w:val="00195205"/>
    <w:rsid w:val="00195317"/>
    <w:rsid w:val="001954F7"/>
    <w:rsid w:val="0019566D"/>
    <w:rsid w:val="001956CB"/>
    <w:rsid w:val="00195CCF"/>
    <w:rsid w:val="00195FB5"/>
    <w:rsid w:val="001960C8"/>
    <w:rsid w:val="0019616E"/>
    <w:rsid w:val="001963DB"/>
    <w:rsid w:val="001963F4"/>
    <w:rsid w:val="00196570"/>
    <w:rsid w:val="00196689"/>
    <w:rsid w:val="00196ADB"/>
    <w:rsid w:val="00196C33"/>
    <w:rsid w:val="00196D36"/>
    <w:rsid w:val="00196F75"/>
    <w:rsid w:val="0019713C"/>
    <w:rsid w:val="00197309"/>
    <w:rsid w:val="001974D1"/>
    <w:rsid w:val="0019790F"/>
    <w:rsid w:val="00197AF2"/>
    <w:rsid w:val="001A008D"/>
    <w:rsid w:val="001A02D2"/>
    <w:rsid w:val="001A064C"/>
    <w:rsid w:val="001A07A4"/>
    <w:rsid w:val="001A07AB"/>
    <w:rsid w:val="001A07F6"/>
    <w:rsid w:val="001A089B"/>
    <w:rsid w:val="001A095D"/>
    <w:rsid w:val="001A0AD4"/>
    <w:rsid w:val="001A0D26"/>
    <w:rsid w:val="001A130F"/>
    <w:rsid w:val="001A136A"/>
    <w:rsid w:val="001A137A"/>
    <w:rsid w:val="001A1380"/>
    <w:rsid w:val="001A13FC"/>
    <w:rsid w:val="001A14A1"/>
    <w:rsid w:val="001A17B2"/>
    <w:rsid w:val="001A1835"/>
    <w:rsid w:val="001A18C7"/>
    <w:rsid w:val="001A19DC"/>
    <w:rsid w:val="001A1F33"/>
    <w:rsid w:val="001A1FB7"/>
    <w:rsid w:val="001A2077"/>
    <w:rsid w:val="001A214E"/>
    <w:rsid w:val="001A21E8"/>
    <w:rsid w:val="001A2223"/>
    <w:rsid w:val="001A2263"/>
    <w:rsid w:val="001A23AC"/>
    <w:rsid w:val="001A246F"/>
    <w:rsid w:val="001A259B"/>
    <w:rsid w:val="001A2611"/>
    <w:rsid w:val="001A28CF"/>
    <w:rsid w:val="001A28D7"/>
    <w:rsid w:val="001A2D2E"/>
    <w:rsid w:val="001A2E3D"/>
    <w:rsid w:val="001A3148"/>
    <w:rsid w:val="001A3497"/>
    <w:rsid w:val="001A35F8"/>
    <w:rsid w:val="001A374F"/>
    <w:rsid w:val="001A3986"/>
    <w:rsid w:val="001A3C7F"/>
    <w:rsid w:val="001A418D"/>
    <w:rsid w:val="001A41C7"/>
    <w:rsid w:val="001A4259"/>
    <w:rsid w:val="001A4307"/>
    <w:rsid w:val="001A4426"/>
    <w:rsid w:val="001A468E"/>
    <w:rsid w:val="001A478D"/>
    <w:rsid w:val="001A489B"/>
    <w:rsid w:val="001A4A29"/>
    <w:rsid w:val="001A4A9A"/>
    <w:rsid w:val="001A4CC9"/>
    <w:rsid w:val="001A4DB2"/>
    <w:rsid w:val="001A4FF3"/>
    <w:rsid w:val="001A504E"/>
    <w:rsid w:val="001A5137"/>
    <w:rsid w:val="001A51F8"/>
    <w:rsid w:val="001A5366"/>
    <w:rsid w:val="001A55A8"/>
    <w:rsid w:val="001A56DB"/>
    <w:rsid w:val="001A5B86"/>
    <w:rsid w:val="001A5C2F"/>
    <w:rsid w:val="001A5D50"/>
    <w:rsid w:val="001A5F4D"/>
    <w:rsid w:val="001A641C"/>
    <w:rsid w:val="001A65AC"/>
    <w:rsid w:val="001A68D2"/>
    <w:rsid w:val="001A6A44"/>
    <w:rsid w:val="001A6AFA"/>
    <w:rsid w:val="001A6DA9"/>
    <w:rsid w:val="001A7198"/>
    <w:rsid w:val="001A71CA"/>
    <w:rsid w:val="001A7211"/>
    <w:rsid w:val="001A7232"/>
    <w:rsid w:val="001A7488"/>
    <w:rsid w:val="001A77D2"/>
    <w:rsid w:val="001A79E8"/>
    <w:rsid w:val="001A7B3A"/>
    <w:rsid w:val="001A7C06"/>
    <w:rsid w:val="001A7C6A"/>
    <w:rsid w:val="001B016F"/>
    <w:rsid w:val="001B035D"/>
    <w:rsid w:val="001B04DC"/>
    <w:rsid w:val="001B051A"/>
    <w:rsid w:val="001B0556"/>
    <w:rsid w:val="001B0830"/>
    <w:rsid w:val="001B087B"/>
    <w:rsid w:val="001B0A3F"/>
    <w:rsid w:val="001B0B1F"/>
    <w:rsid w:val="001B0C8F"/>
    <w:rsid w:val="001B0D67"/>
    <w:rsid w:val="001B0DE3"/>
    <w:rsid w:val="001B1106"/>
    <w:rsid w:val="001B1842"/>
    <w:rsid w:val="001B1A79"/>
    <w:rsid w:val="001B1C40"/>
    <w:rsid w:val="001B1DDF"/>
    <w:rsid w:val="001B2061"/>
    <w:rsid w:val="001B2194"/>
    <w:rsid w:val="001B2362"/>
    <w:rsid w:val="001B23B4"/>
    <w:rsid w:val="001B23E7"/>
    <w:rsid w:val="001B244B"/>
    <w:rsid w:val="001B2953"/>
    <w:rsid w:val="001B29B6"/>
    <w:rsid w:val="001B2AAA"/>
    <w:rsid w:val="001B2AFE"/>
    <w:rsid w:val="001B2DBF"/>
    <w:rsid w:val="001B2E9D"/>
    <w:rsid w:val="001B320F"/>
    <w:rsid w:val="001B32D2"/>
    <w:rsid w:val="001B33E1"/>
    <w:rsid w:val="001B3584"/>
    <w:rsid w:val="001B37CF"/>
    <w:rsid w:val="001B3AE3"/>
    <w:rsid w:val="001B3EF2"/>
    <w:rsid w:val="001B426C"/>
    <w:rsid w:val="001B428E"/>
    <w:rsid w:val="001B46B8"/>
    <w:rsid w:val="001B4C56"/>
    <w:rsid w:val="001B4DD7"/>
    <w:rsid w:val="001B4F21"/>
    <w:rsid w:val="001B507C"/>
    <w:rsid w:val="001B50B5"/>
    <w:rsid w:val="001B50C6"/>
    <w:rsid w:val="001B50F3"/>
    <w:rsid w:val="001B584C"/>
    <w:rsid w:val="001B6071"/>
    <w:rsid w:val="001B621A"/>
    <w:rsid w:val="001B657D"/>
    <w:rsid w:val="001B65D7"/>
    <w:rsid w:val="001B71CF"/>
    <w:rsid w:val="001B749D"/>
    <w:rsid w:val="001B76CD"/>
    <w:rsid w:val="001B777E"/>
    <w:rsid w:val="001B77AD"/>
    <w:rsid w:val="001B7B32"/>
    <w:rsid w:val="001B7D69"/>
    <w:rsid w:val="001B7D95"/>
    <w:rsid w:val="001C0181"/>
    <w:rsid w:val="001C02E2"/>
    <w:rsid w:val="001C03FB"/>
    <w:rsid w:val="001C1298"/>
    <w:rsid w:val="001C13A9"/>
    <w:rsid w:val="001C178F"/>
    <w:rsid w:val="001C1A09"/>
    <w:rsid w:val="001C1B5E"/>
    <w:rsid w:val="001C1C72"/>
    <w:rsid w:val="001C1CBD"/>
    <w:rsid w:val="001C1FF2"/>
    <w:rsid w:val="001C21E2"/>
    <w:rsid w:val="001C2723"/>
    <w:rsid w:val="001C2A19"/>
    <w:rsid w:val="001C2B95"/>
    <w:rsid w:val="001C2CAC"/>
    <w:rsid w:val="001C2E25"/>
    <w:rsid w:val="001C2EA3"/>
    <w:rsid w:val="001C2F28"/>
    <w:rsid w:val="001C329C"/>
    <w:rsid w:val="001C330D"/>
    <w:rsid w:val="001C3645"/>
    <w:rsid w:val="001C36D8"/>
    <w:rsid w:val="001C3DCE"/>
    <w:rsid w:val="001C3ECD"/>
    <w:rsid w:val="001C417F"/>
    <w:rsid w:val="001C4476"/>
    <w:rsid w:val="001C44A7"/>
    <w:rsid w:val="001C45EA"/>
    <w:rsid w:val="001C466B"/>
    <w:rsid w:val="001C48E5"/>
    <w:rsid w:val="001C4B7F"/>
    <w:rsid w:val="001C4FB5"/>
    <w:rsid w:val="001C4FD4"/>
    <w:rsid w:val="001C516D"/>
    <w:rsid w:val="001C53C9"/>
    <w:rsid w:val="001C548F"/>
    <w:rsid w:val="001C5588"/>
    <w:rsid w:val="001C59DF"/>
    <w:rsid w:val="001C5A48"/>
    <w:rsid w:val="001C5D02"/>
    <w:rsid w:val="001C5E08"/>
    <w:rsid w:val="001C5FCA"/>
    <w:rsid w:val="001C615F"/>
    <w:rsid w:val="001C6196"/>
    <w:rsid w:val="001C61F0"/>
    <w:rsid w:val="001C62A0"/>
    <w:rsid w:val="001C635B"/>
    <w:rsid w:val="001C6ADA"/>
    <w:rsid w:val="001C70B4"/>
    <w:rsid w:val="001C712A"/>
    <w:rsid w:val="001C73DB"/>
    <w:rsid w:val="001C7404"/>
    <w:rsid w:val="001C789B"/>
    <w:rsid w:val="001C791B"/>
    <w:rsid w:val="001C79A6"/>
    <w:rsid w:val="001C7C44"/>
    <w:rsid w:val="001C7EE4"/>
    <w:rsid w:val="001D01DC"/>
    <w:rsid w:val="001D025E"/>
    <w:rsid w:val="001D02B8"/>
    <w:rsid w:val="001D05AF"/>
    <w:rsid w:val="001D06C1"/>
    <w:rsid w:val="001D0897"/>
    <w:rsid w:val="001D08B0"/>
    <w:rsid w:val="001D08ED"/>
    <w:rsid w:val="001D0ACF"/>
    <w:rsid w:val="001D0B7E"/>
    <w:rsid w:val="001D10C8"/>
    <w:rsid w:val="001D135B"/>
    <w:rsid w:val="001D1691"/>
    <w:rsid w:val="001D193F"/>
    <w:rsid w:val="001D1A2C"/>
    <w:rsid w:val="001D1B28"/>
    <w:rsid w:val="001D1D60"/>
    <w:rsid w:val="001D1D77"/>
    <w:rsid w:val="001D2041"/>
    <w:rsid w:val="001D23A4"/>
    <w:rsid w:val="001D2964"/>
    <w:rsid w:val="001D2A29"/>
    <w:rsid w:val="001D2A31"/>
    <w:rsid w:val="001D2C05"/>
    <w:rsid w:val="001D3383"/>
    <w:rsid w:val="001D34D5"/>
    <w:rsid w:val="001D3539"/>
    <w:rsid w:val="001D363D"/>
    <w:rsid w:val="001D3964"/>
    <w:rsid w:val="001D3CB8"/>
    <w:rsid w:val="001D3D5F"/>
    <w:rsid w:val="001D3E9C"/>
    <w:rsid w:val="001D41DE"/>
    <w:rsid w:val="001D429A"/>
    <w:rsid w:val="001D42D6"/>
    <w:rsid w:val="001D436E"/>
    <w:rsid w:val="001D4414"/>
    <w:rsid w:val="001D446B"/>
    <w:rsid w:val="001D4484"/>
    <w:rsid w:val="001D4569"/>
    <w:rsid w:val="001D4670"/>
    <w:rsid w:val="001D475C"/>
    <w:rsid w:val="001D4CCD"/>
    <w:rsid w:val="001D4F25"/>
    <w:rsid w:val="001D517E"/>
    <w:rsid w:val="001D523F"/>
    <w:rsid w:val="001D52E8"/>
    <w:rsid w:val="001D530A"/>
    <w:rsid w:val="001D5834"/>
    <w:rsid w:val="001D595A"/>
    <w:rsid w:val="001D5B62"/>
    <w:rsid w:val="001D5C4F"/>
    <w:rsid w:val="001D5CCE"/>
    <w:rsid w:val="001D605E"/>
    <w:rsid w:val="001D60E6"/>
    <w:rsid w:val="001D664B"/>
    <w:rsid w:val="001D6701"/>
    <w:rsid w:val="001D67DA"/>
    <w:rsid w:val="001D6993"/>
    <w:rsid w:val="001D6B97"/>
    <w:rsid w:val="001D6E26"/>
    <w:rsid w:val="001D6EC8"/>
    <w:rsid w:val="001D7264"/>
    <w:rsid w:val="001D7286"/>
    <w:rsid w:val="001D7584"/>
    <w:rsid w:val="001D7873"/>
    <w:rsid w:val="001D794B"/>
    <w:rsid w:val="001D7C38"/>
    <w:rsid w:val="001D7C63"/>
    <w:rsid w:val="001D7C7D"/>
    <w:rsid w:val="001D7CE7"/>
    <w:rsid w:val="001D7FC8"/>
    <w:rsid w:val="001E0216"/>
    <w:rsid w:val="001E037F"/>
    <w:rsid w:val="001E03EB"/>
    <w:rsid w:val="001E0806"/>
    <w:rsid w:val="001E0827"/>
    <w:rsid w:val="001E0926"/>
    <w:rsid w:val="001E0C83"/>
    <w:rsid w:val="001E0EB6"/>
    <w:rsid w:val="001E0EC2"/>
    <w:rsid w:val="001E1393"/>
    <w:rsid w:val="001E157C"/>
    <w:rsid w:val="001E15FF"/>
    <w:rsid w:val="001E16C5"/>
    <w:rsid w:val="001E1709"/>
    <w:rsid w:val="001E1A29"/>
    <w:rsid w:val="001E1BB4"/>
    <w:rsid w:val="001E1F13"/>
    <w:rsid w:val="001E2254"/>
    <w:rsid w:val="001E241E"/>
    <w:rsid w:val="001E243D"/>
    <w:rsid w:val="001E25E7"/>
    <w:rsid w:val="001E29E5"/>
    <w:rsid w:val="001E32A5"/>
    <w:rsid w:val="001E330C"/>
    <w:rsid w:val="001E343D"/>
    <w:rsid w:val="001E34E0"/>
    <w:rsid w:val="001E361E"/>
    <w:rsid w:val="001E3625"/>
    <w:rsid w:val="001E3F36"/>
    <w:rsid w:val="001E3F61"/>
    <w:rsid w:val="001E4404"/>
    <w:rsid w:val="001E45DC"/>
    <w:rsid w:val="001E47D1"/>
    <w:rsid w:val="001E47D9"/>
    <w:rsid w:val="001E47FA"/>
    <w:rsid w:val="001E48D7"/>
    <w:rsid w:val="001E4AE8"/>
    <w:rsid w:val="001E4C6B"/>
    <w:rsid w:val="001E5410"/>
    <w:rsid w:val="001E5479"/>
    <w:rsid w:val="001E5777"/>
    <w:rsid w:val="001E5C89"/>
    <w:rsid w:val="001E5C8F"/>
    <w:rsid w:val="001E5CAA"/>
    <w:rsid w:val="001E5E90"/>
    <w:rsid w:val="001E6276"/>
    <w:rsid w:val="001E6395"/>
    <w:rsid w:val="001E651B"/>
    <w:rsid w:val="001E69C1"/>
    <w:rsid w:val="001E6A95"/>
    <w:rsid w:val="001E6C07"/>
    <w:rsid w:val="001E6D45"/>
    <w:rsid w:val="001E70BF"/>
    <w:rsid w:val="001E70FC"/>
    <w:rsid w:val="001E73BF"/>
    <w:rsid w:val="001E7415"/>
    <w:rsid w:val="001E77C9"/>
    <w:rsid w:val="001E7AF3"/>
    <w:rsid w:val="001E7CFD"/>
    <w:rsid w:val="001E7DC9"/>
    <w:rsid w:val="001E7E77"/>
    <w:rsid w:val="001E7EDE"/>
    <w:rsid w:val="001E7FB6"/>
    <w:rsid w:val="001F04DC"/>
    <w:rsid w:val="001F0511"/>
    <w:rsid w:val="001F05B7"/>
    <w:rsid w:val="001F0809"/>
    <w:rsid w:val="001F0E2B"/>
    <w:rsid w:val="001F0E88"/>
    <w:rsid w:val="001F0F0F"/>
    <w:rsid w:val="001F10F7"/>
    <w:rsid w:val="001F1316"/>
    <w:rsid w:val="001F1750"/>
    <w:rsid w:val="001F1AD4"/>
    <w:rsid w:val="001F1D04"/>
    <w:rsid w:val="001F1D4D"/>
    <w:rsid w:val="001F1FF4"/>
    <w:rsid w:val="001F2250"/>
    <w:rsid w:val="001F23D7"/>
    <w:rsid w:val="001F250B"/>
    <w:rsid w:val="001F2987"/>
    <w:rsid w:val="001F2B19"/>
    <w:rsid w:val="001F2B8A"/>
    <w:rsid w:val="001F2C04"/>
    <w:rsid w:val="001F2F53"/>
    <w:rsid w:val="001F3070"/>
    <w:rsid w:val="001F31F8"/>
    <w:rsid w:val="001F3291"/>
    <w:rsid w:val="001F32F9"/>
    <w:rsid w:val="001F37D6"/>
    <w:rsid w:val="001F3DFD"/>
    <w:rsid w:val="001F3EF2"/>
    <w:rsid w:val="001F3F95"/>
    <w:rsid w:val="001F403E"/>
    <w:rsid w:val="001F411F"/>
    <w:rsid w:val="001F4492"/>
    <w:rsid w:val="001F470B"/>
    <w:rsid w:val="001F4723"/>
    <w:rsid w:val="001F47A6"/>
    <w:rsid w:val="001F47F1"/>
    <w:rsid w:val="001F4805"/>
    <w:rsid w:val="001F4A2A"/>
    <w:rsid w:val="001F4A3F"/>
    <w:rsid w:val="001F4E3E"/>
    <w:rsid w:val="001F5002"/>
    <w:rsid w:val="001F512E"/>
    <w:rsid w:val="001F51F8"/>
    <w:rsid w:val="001F5231"/>
    <w:rsid w:val="001F531C"/>
    <w:rsid w:val="001F570C"/>
    <w:rsid w:val="001F5CD7"/>
    <w:rsid w:val="001F5D2D"/>
    <w:rsid w:val="001F5D44"/>
    <w:rsid w:val="001F5F8D"/>
    <w:rsid w:val="001F5FA6"/>
    <w:rsid w:val="001F61DC"/>
    <w:rsid w:val="001F62DC"/>
    <w:rsid w:val="001F648B"/>
    <w:rsid w:val="001F64AE"/>
    <w:rsid w:val="001F64F9"/>
    <w:rsid w:val="001F67FA"/>
    <w:rsid w:val="001F6AFF"/>
    <w:rsid w:val="001F6C3E"/>
    <w:rsid w:val="001F6E33"/>
    <w:rsid w:val="001F6F92"/>
    <w:rsid w:val="001F73D1"/>
    <w:rsid w:val="001F76D9"/>
    <w:rsid w:val="001F78BA"/>
    <w:rsid w:val="001F7989"/>
    <w:rsid w:val="001F798F"/>
    <w:rsid w:val="001F7D5C"/>
    <w:rsid w:val="001F7E39"/>
    <w:rsid w:val="001F7E82"/>
    <w:rsid w:val="001F7FF7"/>
    <w:rsid w:val="001FC45A"/>
    <w:rsid w:val="00200173"/>
    <w:rsid w:val="00200373"/>
    <w:rsid w:val="002004C7"/>
    <w:rsid w:val="00200548"/>
    <w:rsid w:val="00200621"/>
    <w:rsid w:val="00200B02"/>
    <w:rsid w:val="00200D5E"/>
    <w:rsid w:val="00200D79"/>
    <w:rsid w:val="00201164"/>
    <w:rsid w:val="002015D1"/>
    <w:rsid w:val="0020177C"/>
    <w:rsid w:val="0020188E"/>
    <w:rsid w:val="00201900"/>
    <w:rsid w:val="00201A09"/>
    <w:rsid w:val="00201BA0"/>
    <w:rsid w:val="00201EE5"/>
    <w:rsid w:val="002021E9"/>
    <w:rsid w:val="002022D3"/>
    <w:rsid w:val="0020242D"/>
    <w:rsid w:val="002024BC"/>
    <w:rsid w:val="002029CB"/>
    <w:rsid w:val="00202A3F"/>
    <w:rsid w:val="00202A7A"/>
    <w:rsid w:val="00202D2A"/>
    <w:rsid w:val="00202E11"/>
    <w:rsid w:val="00202E45"/>
    <w:rsid w:val="0020321C"/>
    <w:rsid w:val="0020340B"/>
    <w:rsid w:val="00203414"/>
    <w:rsid w:val="00203513"/>
    <w:rsid w:val="00203639"/>
    <w:rsid w:val="002036D3"/>
    <w:rsid w:val="00203714"/>
    <w:rsid w:val="00203967"/>
    <w:rsid w:val="00203BFD"/>
    <w:rsid w:val="00203CDB"/>
    <w:rsid w:val="00203D10"/>
    <w:rsid w:val="00203EE1"/>
    <w:rsid w:val="00204062"/>
    <w:rsid w:val="0020406A"/>
    <w:rsid w:val="0020407F"/>
    <w:rsid w:val="002040CB"/>
    <w:rsid w:val="002043B8"/>
    <w:rsid w:val="002044AC"/>
    <w:rsid w:val="00204699"/>
    <w:rsid w:val="00204A7A"/>
    <w:rsid w:val="00204C39"/>
    <w:rsid w:val="00204C63"/>
    <w:rsid w:val="00204CF0"/>
    <w:rsid w:val="00204D38"/>
    <w:rsid w:val="00204DBB"/>
    <w:rsid w:val="00204FFD"/>
    <w:rsid w:val="002053BA"/>
    <w:rsid w:val="0020554D"/>
    <w:rsid w:val="00205C44"/>
    <w:rsid w:val="00205FCF"/>
    <w:rsid w:val="00206112"/>
    <w:rsid w:val="0020613A"/>
    <w:rsid w:val="00206201"/>
    <w:rsid w:val="00206506"/>
    <w:rsid w:val="00206555"/>
    <w:rsid w:val="002067D4"/>
    <w:rsid w:val="00206906"/>
    <w:rsid w:val="0020697F"/>
    <w:rsid w:val="00206C6D"/>
    <w:rsid w:val="00206D1A"/>
    <w:rsid w:val="00206DF2"/>
    <w:rsid w:val="002071C9"/>
    <w:rsid w:val="00207361"/>
    <w:rsid w:val="0020741E"/>
    <w:rsid w:val="00207561"/>
    <w:rsid w:val="00207568"/>
    <w:rsid w:val="00207633"/>
    <w:rsid w:val="00207968"/>
    <w:rsid w:val="00207E72"/>
    <w:rsid w:val="00207EA6"/>
    <w:rsid w:val="002102C1"/>
    <w:rsid w:val="00210442"/>
    <w:rsid w:val="002106FA"/>
    <w:rsid w:val="00210B97"/>
    <w:rsid w:val="00210CFA"/>
    <w:rsid w:val="00210F64"/>
    <w:rsid w:val="002110CF"/>
    <w:rsid w:val="002110F7"/>
    <w:rsid w:val="0021136F"/>
    <w:rsid w:val="00211390"/>
    <w:rsid w:val="00211787"/>
    <w:rsid w:val="00211959"/>
    <w:rsid w:val="00211D2F"/>
    <w:rsid w:val="00211D49"/>
    <w:rsid w:val="00211FAA"/>
    <w:rsid w:val="0021209F"/>
    <w:rsid w:val="00212211"/>
    <w:rsid w:val="002122DC"/>
    <w:rsid w:val="002124D1"/>
    <w:rsid w:val="002127D9"/>
    <w:rsid w:val="00212833"/>
    <w:rsid w:val="00212A68"/>
    <w:rsid w:val="00212AA8"/>
    <w:rsid w:val="002133E6"/>
    <w:rsid w:val="002134B9"/>
    <w:rsid w:val="00213560"/>
    <w:rsid w:val="002136E4"/>
    <w:rsid w:val="00213947"/>
    <w:rsid w:val="00213ED7"/>
    <w:rsid w:val="00214552"/>
    <w:rsid w:val="00214686"/>
    <w:rsid w:val="002147B8"/>
    <w:rsid w:val="00214A65"/>
    <w:rsid w:val="00214ADC"/>
    <w:rsid w:val="00214B16"/>
    <w:rsid w:val="00214C9D"/>
    <w:rsid w:val="00214DF1"/>
    <w:rsid w:val="00214FA1"/>
    <w:rsid w:val="00214FF6"/>
    <w:rsid w:val="002150F7"/>
    <w:rsid w:val="0021512C"/>
    <w:rsid w:val="0021531F"/>
    <w:rsid w:val="00215525"/>
    <w:rsid w:val="0021556B"/>
    <w:rsid w:val="0021564C"/>
    <w:rsid w:val="002156D0"/>
    <w:rsid w:val="00215BA5"/>
    <w:rsid w:val="00215E91"/>
    <w:rsid w:val="00215F86"/>
    <w:rsid w:val="00216312"/>
    <w:rsid w:val="00216407"/>
    <w:rsid w:val="0021645F"/>
    <w:rsid w:val="00216679"/>
    <w:rsid w:val="00216948"/>
    <w:rsid w:val="002169B0"/>
    <w:rsid w:val="00216C6A"/>
    <w:rsid w:val="00217100"/>
    <w:rsid w:val="00217517"/>
    <w:rsid w:val="00217743"/>
    <w:rsid w:val="00217A78"/>
    <w:rsid w:val="00217AA1"/>
    <w:rsid w:val="00217B78"/>
    <w:rsid w:val="00217CC3"/>
    <w:rsid w:val="00217D88"/>
    <w:rsid w:val="00220482"/>
    <w:rsid w:val="00220597"/>
    <w:rsid w:val="00220FB8"/>
    <w:rsid w:val="0022102C"/>
    <w:rsid w:val="0022119E"/>
    <w:rsid w:val="00221274"/>
    <w:rsid w:val="00221332"/>
    <w:rsid w:val="00221409"/>
    <w:rsid w:val="00221581"/>
    <w:rsid w:val="002215F4"/>
    <w:rsid w:val="0022167D"/>
    <w:rsid w:val="00221822"/>
    <w:rsid w:val="00221991"/>
    <w:rsid w:val="00221A66"/>
    <w:rsid w:val="00221A9A"/>
    <w:rsid w:val="00221CB7"/>
    <w:rsid w:val="00222001"/>
    <w:rsid w:val="00222130"/>
    <w:rsid w:val="002223EB"/>
    <w:rsid w:val="0022256E"/>
    <w:rsid w:val="002226D6"/>
    <w:rsid w:val="002227A6"/>
    <w:rsid w:val="0022284F"/>
    <w:rsid w:val="00222B71"/>
    <w:rsid w:val="00222BBD"/>
    <w:rsid w:val="00222C13"/>
    <w:rsid w:val="00222C66"/>
    <w:rsid w:val="00222DF5"/>
    <w:rsid w:val="00222FF4"/>
    <w:rsid w:val="002233F2"/>
    <w:rsid w:val="0022353C"/>
    <w:rsid w:val="00223639"/>
    <w:rsid w:val="002238A8"/>
    <w:rsid w:val="0022391C"/>
    <w:rsid w:val="00223B10"/>
    <w:rsid w:val="00223C10"/>
    <w:rsid w:val="00223E0D"/>
    <w:rsid w:val="00224165"/>
    <w:rsid w:val="00224181"/>
    <w:rsid w:val="0022421E"/>
    <w:rsid w:val="00224263"/>
    <w:rsid w:val="0022436F"/>
    <w:rsid w:val="002246E0"/>
    <w:rsid w:val="0022475D"/>
    <w:rsid w:val="0022485B"/>
    <w:rsid w:val="00224878"/>
    <w:rsid w:val="00224A64"/>
    <w:rsid w:val="00224EE4"/>
    <w:rsid w:val="002250CC"/>
    <w:rsid w:val="002253AA"/>
    <w:rsid w:val="0022547A"/>
    <w:rsid w:val="0022556B"/>
    <w:rsid w:val="002257D4"/>
    <w:rsid w:val="0022582E"/>
    <w:rsid w:val="00225CAF"/>
    <w:rsid w:val="00225DD4"/>
    <w:rsid w:val="00225FF8"/>
    <w:rsid w:val="002263BD"/>
    <w:rsid w:val="0022643A"/>
    <w:rsid w:val="002264AA"/>
    <w:rsid w:val="00226891"/>
    <w:rsid w:val="00226A19"/>
    <w:rsid w:val="00226C26"/>
    <w:rsid w:val="00227115"/>
    <w:rsid w:val="00227264"/>
    <w:rsid w:val="00227C23"/>
    <w:rsid w:val="00227DDF"/>
    <w:rsid w:val="00230763"/>
    <w:rsid w:val="00230978"/>
    <w:rsid w:val="00230ADB"/>
    <w:rsid w:val="00230B76"/>
    <w:rsid w:val="00230C45"/>
    <w:rsid w:val="00230CEF"/>
    <w:rsid w:val="00230F95"/>
    <w:rsid w:val="00231049"/>
    <w:rsid w:val="0023108D"/>
    <w:rsid w:val="002311ED"/>
    <w:rsid w:val="0023122A"/>
    <w:rsid w:val="002312B1"/>
    <w:rsid w:val="002312C2"/>
    <w:rsid w:val="0023140D"/>
    <w:rsid w:val="00231471"/>
    <w:rsid w:val="00231B05"/>
    <w:rsid w:val="00231FC1"/>
    <w:rsid w:val="00232185"/>
    <w:rsid w:val="002321FD"/>
    <w:rsid w:val="0023225E"/>
    <w:rsid w:val="00232428"/>
    <w:rsid w:val="0023259F"/>
    <w:rsid w:val="002325B4"/>
    <w:rsid w:val="002326E9"/>
    <w:rsid w:val="002327DD"/>
    <w:rsid w:val="00232B37"/>
    <w:rsid w:val="00232BF3"/>
    <w:rsid w:val="00232E22"/>
    <w:rsid w:val="00232F9D"/>
    <w:rsid w:val="00233154"/>
    <w:rsid w:val="0023318A"/>
    <w:rsid w:val="002332F0"/>
    <w:rsid w:val="00233384"/>
    <w:rsid w:val="00233849"/>
    <w:rsid w:val="002340E8"/>
    <w:rsid w:val="002341B4"/>
    <w:rsid w:val="002341C0"/>
    <w:rsid w:val="002341C4"/>
    <w:rsid w:val="0023445A"/>
    <w:rsid w:val="0023464E"/>
    <w:rsid w:val="00234664"/>
    <w:rsid w:val="00234720"/>
    <w:rsid w:val="0023489B"/>
    <w:rsid w:val="00234935"/>
    <w:rsid w:val="00234B3F"/>
    <w:rsid w:val="00234BD4"/>
    <w:rsid w:val="00234E86"/>
    <w:rsid w:val="00234EC0"/>
    <w:rsid w:val="00234FDC"/>
    <w:rsid w:val="002353F3"/>
    <w:rsid w:val="0023570F"/>
    <w:rsid w:val="0023595B"/>
    <w:rsid w:val="00235A09"/>
    <w:rsid w:val="00235E55"/>
    <w:rsid w:val="00235F74"/>
    <w:rsid w:val="00235FA3"/>
    <w:rsid w:val="0023601D"/>
    <w:rsid w:val="00236147"/>
    <w:rsid w:val="002362C7"/>
    <w:rsid w:val="002362E7"/>
    <w:rsid w:val="0023632F"/>
    <w:rsid w:val="0023633A"/>
    <w:rsid w:val="00236391"/>
    <w:rsid w:val="002364F4"/>
    <w:rsid w:val="00236626"/>
    <w:rsid w:val="00236650"/>
    <w:rsid w:val="0023673C"/>
    <w:rsid w:val="0023683B"/>
    <w:rsid w:val="002368AF"/>
    <w:rsid w:val="00236D90"/>
    <w:rsid w:val="0023740C"/>
    <w:rsid w:val="0023754F"/>
    <w:rsid w:val="002379D8"/>
    <w:rsid w:val="00237B38"/>
    <w:rsid w:val="00237C33"/>
    <w:rsid w:val="00237E82"/>
    <w:rsid w:val="00240296"/>
    <w:rsid w:val="002404C4"/>
    <w:rsid w:val="002407D6"/>
    <w:rsid w:val="00240B02"/>
    <w:rsid w:val="00240B0A"/>
    <w:rsid w:val="0024114E"/>
    <w:rsid w:val="00241201"/>
    <w:rsid w:val="002415F9"/>
    <w:rsid w:val="00241878"/>
    <w:rsid w:val="002418F5"/>
    <w:rsid w:val="0024197F"/>
    <w:rsid w:val="00241A6B"/>
    <w:rsid w:val="00242748"/>
    <w:rsid w:val="002427C3"/>
    <w:rsid w:val="002428B2"/>
    <w:rsid w:val="00242978"/>
    <w:rsid w:val="00242AEE"/>
    <w:rsid w:val="00242AF9"/>
    <w:rsid w:val="00242D46"/>
    <w:rsid w:val="0024300C"/>
    <w:rsid w:val="002431DF"/>
    <w:rsid w:val="002432C2"/>
    <w:rsid w:val="00243423"/>
    <w:rsid w:val="0024369E"/>
    <w:rsid w:val="002436E7"/>
    <w:rsid w:val="00243A7D"/>
    <w:rsid w:val="00243C7B"/>
    <w:rsid w:val="00243CF2"/>
    <w:rsid w:val="002440A1"/>
    <w:rsid w:val="00244215"/>
    <w:rsid w:val="002442AA"/>
    <w:rsid w:val="002446B7"/>
    <w:rsid w:val="00244796"/>
    <w:rsid w:val="00244917"/>
    <w:rsid w:val="00244960"/>
    <w:rsid w:val="00244A18"/>
    <w:rsid w:val="00244BA0"/>
    <w:rsid w:val="00244CA8"/>
    <w:rsid w:val="00245202"/>
    <w:rsid w:val="002452BC"/>
    <w:rsid w:val="00245BBE"/>
    <w:rsid w:val="00245D41"/>
    <w:rsid w:val="00245D66"/>
    <w:rsid w:val="00245E71"/>
    <w:rsid w:val="00245F15"/>
    <w:rsid w:val="00246280"/>
    <w:rsid w:val="0024629E"/>
    <w:rsid w:val="00246364"/>
    <w:rsid w:val="0024641A"/>
    <w:rsid w:val="00246507"/>
    <w:rsid w:val="00246673"/>
    <w:rsid w:val="00246869"/>
    <w:rsid w:val="00246B27"/>
    <w:rsid w:val="00246B52"/>
    <w:rsid w:val="00247102"/>
    <w:rsid w:val="0024713A"/>
    <w:rsid w:val="0024723F"/>
    <w:rsid w:val="002474BB"/>
    <w:rsid w:val="002474EE"/>
    <w:rsid w:val="002475B9"/>
    <w:rsid w:val="002476F8"/>
    <w:rsid w:val="00247783"/>
    <w:rsid w:val="0024790D"/>
    <w:rsid w:val="00247AB7"/>
    <w:rsid w:val="00247C62"/>
    <w:rsid w:val="00247CF1"/>
    <w:rsid w:val="00247D2F"/>
    <w:rsid w:val="00247D90"/>
    <w:rsid w:val="00250200"/>
    <w:rsid w:val="00250359"/>
    <w:rsid w:val="00250529"/>
    <w:rsid w:val="0025058F"/>
    <w:rsid w:val="00250638"/>
    <w:rsid w:val="00250AFB"/>
    <w:rsid w:val="00250BE3"/>
    <w:rsid w:val="00250BF7"/>
    <w:rsid w:val="002512BA"/>
    <w:rsid w:val="002513D0"/>
    <w:rsid w:val="00251614"/>
    <w:rsid w:val="00251760"/>
    <w:rsid w:val="00251939"/>
    <w:rsid w:val="00251BFB"/>
    <w:rsid w:val="00251EFC"/>
    <w:rsid w:val="00251F80"/>
    <w:rsid w:val="00252198"/>
    <w:rsid w:val="002523DA"/>
    <w:rsid w:val="00252418"/>
    <w:rsid w:val="002524AB"/>
    <w:rsid w:val="0025282E"/>
    <w:rsid w:val="00252855"/>
    <w:rsid w:val="00252903"/>
    <w:rsid w:val="00252C01"/>
    <w:rsid w:val="00252CFD"/>
    <w:rsid w:val="00252D80"/>
    <w:rsid w:val="00252EDE"/>
    <w:rsid w:val="00252FAB"/>
    <w:rsid w:val="002530D0"/>
    <w:rsid w:val="002533D8"/>
    <w:rsid w:val="00253525"/>
    <w:rsid w:val="00253688"/>
    <w:rsid w:val="002539CC"/>
    <w:rsid w:val="00253B0B"/>
    <w:rsid w:val="00253CEA"/>
    <w:rsid w:val="00253CFA"/>
    <w:rsid w:val="00253E29"/>
    <w:rsid w:val="00253EC8"/>
    <w:rsid w:val="00253FAF"/>
    <w:rsid w:val="002540C3"/>
    <w:rsid w:val="002541A0"/>
    <w:rsid w:val="00254392"/>
    <w:rsid w:val="002543B8"/>
    <w:rsid w:val="002545CE"/>
    <w:rsid w:val="002546DB"/>
    <w:rsid w:val="002548DE"/>
    <w:rsid w:val="00254A03"/>
    <w:rsid w:val="00254CE4"/>
    <w:rsid w:val="00255977"/>
    <w:rsid w:val="00255B6B"/>
    <w:rsid w:val="00255FB0"/>
    <w:rsid w:val="00256010"/>
    <w:rsid w:val="002564AF"/>
    <w:rsid w:val="00256784"/>
    <w:rsid w:val="00256DCA"/>
    <w:rsid w:val="002571B2"/>
    <w:rsid w:val="00257313"/>
    <w:rsid w:val="00257424"/>
    <w:rsid w:val="002576F7"/>
    <w:rsid w:val="002579C5"/>
    <w:rsid w:val="00257A76"/>
    <w:rsid w:val="00257B3A"/>
    <w:rsid w:val="00257CFE"/>
    <w:rsid w:val="002600DE"/>
    <w:rsid w:val="00260252"/>
    <w:rsid w:val="00260526"/>
    <w:rsid w:val="00260B0B"/>
    <w:rsid w:val="00260E01"/>
    <w:rsid w:val="00261121"/>
    <w:rsid w:val="00261231"/>
    <w:rsid w:val="002614FC"/>
    <w:rsid w:val="002616D4"/>
    <w:rsid w:val="00261E16"/>
    <w:rsid w:val="00262088"/>
    <w:rsid w:val="00262491"/>
    <w:rsid w:val="00262AB6"/>
    <w:rsid w:val="00262D03"/>
    <w:rsid w:val="00262E00"/>
    <w:rsid w:val="00262EB2"/>
    <w:rsid w:val="0026314F"/>
    <w:rsid w:val="002631C7"/>
    <w:rsid w:val="00263258"/>
    <w:rsid w:val="00263736"/>
    <w:rsid w:val="00264241"/>
    <w:rsid w:val="0026428B"/>
    <w:rsid w:val="002643C0"/>
    <w:rsid w:val="002648E5"/>
    <w:rsid w:val="00264A40"/>
    <w:rsid w:val="00264A81"/>
    <w:rsid w:val="00264B59"/>
    <w:rsid w:val="00264D2B"/>
    <w:rsid w:val="00264F2B"/>
    <w:rsid w:val="00264F4A"/>
    <w:rsid w:val="00265224"/>
    <w:rsid w:val="00265510"/>
    <w:rsid w:val="0026576B"/>
    <w:rsid w:val="002658E3"/>
    <w:rsid w:val="00265CBB"/>
    <w:rsid w:val="00265D3A"/>
    <w:rsid w:val="0026607B"/>
    <w:rsid w:val="0026611D"/>
    <w:rsid w:val="0026696E"/>
    <w:rsid w:val="00266B06"/>
    <w:rsid w:val="00266B15"/>
    <w:rsid w:val="00266CAC"/>
    <w:rsid w:val="00266E4E"/>
    <w:rsid w:val="00266EBE"/>
    <w:rsid w:val="00266F81"/>
    <w:rsid w:val="00267040"/>
    <w:rsid w:val="00267074"/>
    <w:rsid w:val="0026714A"/>
    <w:rsid w:val="002671B2"/>
    <w:rsid w:val="002671FB"/>
    <w:rsid w:val="0026782F"/>
    <w:rsid w:val="00267988"/>
    <w:rsid w:val="00267CC5"/>
    <w:rsid w:val="00267FA9"/>
    <w:rsid w:val="00270388"/>
    <w:rsid w:val="00270471"/>
    <w:rsid w:val="00270B26"/>
    <w:rsid w:val="00271130"/>
    <w:rsid w:val="00271199"/>
    <w:rsid w:val="002714DC"/>
    <w:rsid w:val="00271824"/>
    <w:rsid w:val="002718A8"/>
    <w:rsid w:val="00271926"/>
    <w:rsid w:val="00271FAE"/>
    <w:rsid w:val="00272106"/>
    <w:rsid w:val="0027220B"/>
    <w:rsid w:val="00272354"/>
    <w:rsid w:val="00272443"/>
    <w:rsid w:val="00272533"/>
    <w:rsid w:val="002726D7"/>
    <w:rsid w:val="002726F0"/>
    <w:rsid w:val="0027292F"/>
    <w:rsid w:val="00272F01"/>
    <w:rsid w:val="002730F4"/>
    <w:rsid w:val="002731A0"/>
    <w:rsid w:val="00273228"/>
    <w:rsid w:val="0027322D"/>
    <w:rsid w:val="002732D6"/>
    <w:rsid w:val="0027333D"/>
    <w:rsid w:val="0027334A"/>
    <w:rsid w:val="002735DE"/>
    <w:rsid w:val="0027368E"/>
    <w:rsid w:val="002736EF"/>
    <w:rsid w:val="002737ED"/>
    <w:rsid w:val="00273B1C"/>
    <w:rsid w:val="00273CC6"/>
    <w:rsid w:val="00273CFA"/>
    <w:rsid w:val="00273DE0"/>
    <w:rsid w:val="00274156"/>
    <w:rsid w:val="00274292"/>
    <w:rsid w:val="002743D1"/>
    <w:rsid w:val="0027444D"/>
    <w:rsid w:val="002744F8"/>
    <w:rsid w:val="0027478C"/>
    <w:rsid w:val="00274B55"/>
    <w:rsid w:val="00274B85"/>
    <w:rsid w:val="00274CA1"/>
    <w:rsid w:val="00274F47"/>
    <w:rsid w:val="00275019"/>
    <w:rsid w:val="00275021"/>
    <w:rsid w:val="0027595D"/>
    <w:rsid w:val="0027599C"/>
    <w:rsid w:val="00275A00"/>
    <w:rsid w:val="00275A3D"/>
    <w:rsid w:val="00275A57"/>
    <w:rsid w:val="00275BEB"/>
    <w:rsid w:val="00275CB4"/>
    <w:rsid w:val="00275F01"/>
    <w:rsid w:val="00276020"/>
    <w:rsid w:val="0027622F"/>
    <w:rsid w:val="00276306"/>
    <w:rsid w:val="00276330"/>
    <w:rsid w:val="00276474"/>
    <w:rsid w:val="002764B2"/>
    <w:rsid w:val="00276506"/>
    <w:rsid w:val="00276665"/>
    <w:rsid w:val="002766CC"/>
    <w:rsid w:val="002768C1"/>
    <w:rsid w:val="002768CA"/>
    <w:rsid w:val="002769FF"/>
    <w:rsid w:val="00276CB1"/>
    <w:rsid w:val="00276CF4"/>
    <w:rsid w:val="00276DF4"/>
    <w:rsid w:val="00276EA1"/>
    <w:rsid w:val="00276F15"/>
    <w:rsid w:val="00277368"/>
    <w:rsid w:val="0027749E"/>
    <w:rsid w:val="0027768E"/>
    <w:rsid w:val="0027789E"/>
    <w:rsid w:val="002800A4"/>
    <w:rsid w:val="0028070E"/>
    <w:rsid w:val="002807AA"/>
    <w:rsid w:val="00280829"/>
    <w:rsid w:val="00280948"/>
    <w:rsid w:val="00280A32"/>
    <w:rsid w:val="00280F75"/>
    <w:rsid w:val="00281159"/>
    <w:rsid w:val="002811F9"/>
    <w:rsid w:val="00281293"/>
    <w:rsid w:val="002817EF"/>
    <w:rsid w:val="0028180F"/>
    <w:rsid w:val="00281D45"/>
    <w:rsid w:val="002821C9"/>
    <w:rsid w:val="00282940"/>
    <w:rsid w:val="00282E02"/>
    <w:rsid w:val="00282F47"/>
    <w:rsid w:val="002832A4"/>
    <w:rsid w:val="0028349B"/>
    <w:rsid w:val="0028353B"/>
    <w:rsid w:val="00283741"/>
    <w:rsid w:val="00283A0F"/>
    <w:rsid w:val="00283E45"/>
    <w:rsid w:val="0028413D"/>
    <w:rsid w:val="00284405"/>
    <w:rsid w:val="00284856"/>
    <w:rsid w:val="00284F76"/>
    <w:rsid w:val="00284FCE"/>
    <w:rsid w:val="00285498"/>
    <w:rsid w:val="00285543"/>
    <w:rsid w:val="002857FA"/>
    <w:rsid w:val="00285822"/>
    <w:rsid w:val="002859B0"/>
    <w:rsid w:val="00285B80"/>
    <w:rsid w:val="00285C71"/>
    <w:rsid w:val="00286326"/>
    <w:rsid w:val="002864EF"/>
    <w:rsid w:val="0028654B"/>
    <w:rsid w:val="002866E5"/>
    <w:rsid w:val="002867D4"/>
    <w:rsid w:val="00286A88"/>
    <w:rsid w:val="00286D07"/>
    <w:rsid w:val="00286DB3"/>
    <w:rsid w:val="00286FF6"/>
    <w:rsid w:val="00287090"/>
    <w:rsid w:val="002870A0"/>
    <w:rsid w:val="00287381"/>
    <w:rsid w:val="00287ACF"/>
    <w:rsid w:val="00287C26"/>
    <w:rsid w:val="00287D67"/>
    <w:rsid w:val="00287D96"/>
    <w:rsid w:val="00287DEB"/>
    <w:rsid w:val="0029001B"/>
    <w:rsid w:val="0029002E"/>
    <w:rsid w:val="0029013C"/>
    <w:rsid w:val="00290372"/>
    <w:rsid w:val="0029080C"/>
    <w:rsid w:val="00290862"/>
    <w:rsid w:val="002908EF"/>
    <w:rsid w:val="00290AF3"/>
    <w:rsid w:val="00290B37"/>
    <w:rsid w:val="00290E1B"/>
    <w:rsid w:val="00290F35"/>
    <w:rsid w:val="00291232"/>
    <w:rsid w:val="002912AF"/>
    <w:rsid w:val="00291AB2"/>
    <w:rsid w:val="00291CC9"/>
    <w:rsid w:val="00291F90"/>
    <w:rsid w:val="00292663"/>
    <w:rsid w:val="00292822"/>
    <w:rsid w:val="00292BB1"/>
    <w:rsid w:val="00292C41"/>
    <w:rsid w:val="00292CAB"/>
    <w:rsid w:val="00292CFF"/>
    <w:rsid w:val="00292DA6"/>
    <w:rsid w:val="0029330E"/>
    <w:rsid w:val="00293384"/>
    <w:rsid w:val="00293D08"/>
    <w:rsid w:val="00293F17"/>
    <w:rsid w:val="00294175"/>
    <w:rsid w:val="00294368"/>
    <w:rsid w:val="002943AB"/>
    <w:rsid w:val="002943AD"/>
    <w:rsid w:val="0029441B"/>
    <w:rsid w:val="0029450B"/>
    <w:rsid w:val="0029454F"/>
    <w:rsid w:val="00294590"/>
    <w:rsid w:val="0029485E"/>
    <w:rsid w:val="00294898"/>
    <w:rsid w:val="00294ACD"/>
    <w:rsid w:val="00294B71"/>
    <w:rsid w:val="00294BB5"/>
    <w:rsid w:val="00294DCA"/>
    <w:rsid w:val="00294E2C"/>
    <w:rsid w:val="0029506E"/>
    <w:rsid w:val="00295336"/>
    <w:rsid w:val="0029590A"/>
    <w:rsid w:val="00295B5A"/>
    <w:rsid w:val="00295BED"/>
    <w:rsid w:val="00295E60"/>
    <w:rsid w:val="002960CC"/>
    <w:rsid w:val="002961CC"/>
    <w:rsid w:val="0029635E"/>
    <w:rsid w:val="002964D2"/>
    <w:rsid w:val="00296932"/>
    <w:rsid w:val="00296E4A"/>
    <w:rsid w:val="00297116"/>
    <w:rsid w:val="0029755D"/>
    <w:rsid w:val="002975F3"/>
    <w:rsid w:val="002977FA"/>
    <w:rsid w:val="00297830"/>
    <w:rsid w:val="0029786A"/>
    <w:rsid w:val="00297A7E"/>
    <w:rsid w:val="00297C18"/>
    <w:rsid w:val="00297D72"/>
    <w:rsid w:val="00297DA0"/>
    <w:rsid w:val="00297DC3"/>
    <w:rsid w:val="00297DDD"/>
    <w:rsid w:val="002A0131"/>
    <w:rsid w:val="002A028C"/>
    <w:rsid w:val="002A0326"/>
    <w:rsid w:val="002A0340"/>
    <w:rsid w:val="002A0544"/>
    <w:rsid w:val="002A0AE6"/>
    <w:rsid w:val="002A0D4A"/>
    <w:rsid w:val="002A0D79"/>
    <w:rsid w:val="002A116D"/>
    <w:rsid w:val="002A1199"/>
    <w:rsid w:val="002A160C"/>
    <w:rsid w:val="002A17D0"/>
    <w:rsid w:val="002A1972"/>
    <w:rsid w:val="002A19AD"/>
    <w:rsid w:val="002A1A09"/>
    <w:rsid w:val="002A1A85"/>
    <w:rsid w:val="002A1D5B"/>
    <w:rsid w:val="002A1D80"/>
    <w:rsid w:val="002A22D9"/>
    <w:rsid w:val="002A2926"/>
    <w:rsid w:val="002A2B8D"/>
    <w:rsid w:val="002A3321"/>
    <w:rsid w:val="002A3460"/>
    <w:rsid w:val="002A3667"/>
    <w:rsid w:val="002A375E"/>
    <w:rsid w:val="002A3872"/>
    <w:rsid w:val="002A389F"/>
    <w:rsid w:val="002A3AEA"/>
    <w:rsid w:val="002A3CAC"/>
    <w:rsid w:val="002A3D13"/>
    <w:rsid w:val="002A3D32"/>
    <w:rsid w:val="002A3EFC"/>
    <w:rsid w:val="002A4000"/>
    <w:rsid w:val="002A4018"/>
    <w:rsid w:val="002A41DC"/>
    <w:rsid w:val="002A4456"/>
    <w:rsid w:val="002A4633"/>
    <w:rsid w:val="002A465C"/>
    <w:rsid w:val="002A46B9"/>
    <w:rsid w:val="002A46DD"/>
    <w:rsid w:val="002A46F3"/>
    <w:rsid w:val="002A4724"/>
    <w:rsid w:val="002A4739"/>
    <w:rsid w:val="002A4C7A"/>
    <w:rsid w:val="002A4CD1"/>
    <w:rsid w:val="002A4D6D"/>
    <w:rsid w:val="002A4EE1"/>
    <w:rsid w:val="002A5100"/>
    <w:rsid w:val="002A5193"/>
    <w:rsid w:val="002A5402"/>
    <w:rsid w:val="002A56CC"/>
    <w:rsid w:val="002A5964"/>
    <w:rsid w:val="002A5975"/>
    <w:rsid w:val="002A5B49"/>
    <w:rsid w:val="002A5CC7"/>
    <w:rsid w:val="002A5D4D"/>
    <w:rsid w:val="002A60EC"/>
    <w:rsid w:val="002A6200"/>
    <w:rsid w:val="002A6215"/>
    <w:rsid w:val="002A674D"/>
    <w:rsid w:val="002A6AA4"/>
    <w:rsid w:val="002A7360"/>
    <w:rsid w:val="002A7509"/>
    <w:rsid w:val="002A76EF"/>
    <w:rsid w:val="002A7714"/>
    <w:rsid w:val="002A7DD2"/>
    <w:rsid w:val="002A7EA9"/>
    <w:rsid w:val="002A7F22"/>
    <w:rsid w:val="002A7FB9"/>
    <w:rsid w:val="002B011C"/>
    <w:rsid w:val="002B0734"/>
    <w:rsid w:val="002B0930"/>
    <w:rsid w:val="002B0951"/>
    <w:rsid w:val="002B0A50"/>
    <w:rsid w:val="002B0E78"/>
    <w:rsid w:val="002B1006"/>
    <w:rsid w:val="002B10BF"/>
    <w:rsid w:val="002B1142"/>
    <w:rsid w:val="002B116A"/>
    <w:rsid w:val="002B1429"/>
    <w:rsid w:val="002B184C"/>
    <w:rsid w:val="002B18AA"/>
    <w:rsid w:val="002B18B1"/>
    <w:rsid w:val="002B1BFB"/>
    <w:rsid w:val="002B1D5E"/>
    <w:rsid w:val="002B2117"/>
    <w:rsid w:val="002B2174"/>
    <w:rsid w:val="002B2928"/>
    <w:rsid w:val="002B2D1D"/>
    <w:rsid w:val="002B2FC3"/>
    <w:rsid w:val="002B370B"/>
    <w:rsid w:val="002B3C5B"/>
    <w:rsid w:val="002B3CC3"/>
    <w:rsid w:val="002B3F0D"/>
    <w:rsid w:val="002B3F21"/>
    <w:rsid w:val="002B40D0"/>
    <w:rsid w:val="002B4185"/>
    <w:rsid w:val="002B43A3"/>
    <w:rsid w:val="002B4572"/>
    <w:rsid w:val="002B464E"/>
    <w:rsid w:val="002B47E3"/>
    <w:rsid w:val="002B4804"/>
    <w:rsid w:val="002B4A24"/>
    <w:rsid w:val="002B4C8E"/>
    <w:rsid w:val="002B4D4A"/>
    <w:rsid w:val="002B4DA1"/>
    <w:rsid w:val="002B4DC0"/>
    <w:rsid w:val="002B4F5F"/>
    <w:rsid w:val="002B504A"/>
    <w:rsid w:val="002B504E"/>
    <w:rsid w:val="002B512B"/>
    <w:rsid w:val="002B5C17"/>
    <w:rsid w:val="002B5C60"/>
    <w:rsid w:val="002B5D9F"/>
    <w:rsid w:val="002B5DD4"/>
    <w:rsid w:val="002B5E25"/>
    <w:rsid w:val="002B6135"/>
    <w:rsid w:val="002B61C2"/>
    <w:rsid w:val="002B6502"/>
    <w:rsid w:val="002B6C25"/>
    <w:rsid w:val="002B6D44"/>
    <w:rsid w:val="002B6E92"/>
    <w:rsid w:val="002B7085"/>
    <w:rsid w:val="002B70B2"/>
    <w:rsid w:val="002B7220"/>
    <w:rsid w:val="002B731B"/>
    <w:rsid w:val="002B731C"/>
    <w:rsid w:val="002B75FE"/>
    <w:rsid w:val="002B76A2"/>
    <w:rsid w:val="002B7F3B"/>
    <w:rsid w:val="002C00AC"/>
    <w:rsid w:val="002C00BF"/>
    <w:rsid w:val="002C0375"/>
    <w:rsid w:val="002C05AE"/>
    <w:rsid w:val="002C0927"/>
    <w:rsid w:val="002C0BD0"/>
    <w:rsid w:val="002C0BFF"/>
    <w:rsid w:val="002C0CE7"/>
    <w:rsid w:val="002C0EB1"/>
    <w:rsid w:val="002C115E"/>
    <w:rsid w:val="002C12AE"/>
    <w:rsid w:val="002C12C8"/>
    <w:rsid w:val="002C1365"/>
    <w:rsid w:val="002C1477"/>
    <w:rsid w:val="002C152F"/>
    <w:rsid w:val="002C1700"/>
    <w:rsid w:val="002C1DA7"/>
    <w:rsid w:val="002C1F8A"/>
    <w:rsid w:val="002C1F90"/>
    <w:rsid w:val="002C21E7"/>
    <w:rsid w:val="002C2273"/>
    <w:rsid w:val="002C23D5"/>
    <w:rsid w:val="002C2465"/>
    <w:rsid w:val="002C2717"/>
    <w:rsid w:val="002C2893"/>
    <w:rsid w:val="002C29B2"/>
    <w:rsid w:val="002C2AFC"/>
    <w:rsid w:val="002C2E05"/>
    <w:rsid w:val="002C2E8B"/>
    <w:rsid w:val="002C30B3"/>
    <w:rsid w:val="002C31C0"/>
    <w:rsid w:val="002C3209"/>
    <w:rsid w:val="002C3289"/>
    <w:rsid w:val="002C361B"/>
    <w:rsid w:val="002C36C0"/>
    <w:rsid w:val="002C3769"/>
    <w:rsid w:val="002C37C2"/>
    <w:rsid w:val="002C3B71"/>
    <w:rsid w:val="002C3CDD"/>
    <w:rsid w:val="002C3F40"/>
    <w:rsid w:val="002C41A2"/>
    <w:rsid w:val="002C4483"/>
    <w:rsid w:val="002C4808"/>
    <w:rsid w:val="002C480C"/>
    <w:rsid w:val="002C4CBB"/>
    <w:rsid w:val="002C4D32"/>
    <w:rsid w:val="002C5156"/>
    <w:rsid w:val="002C5595"/>
    <w:rsid w:val="002C5620"/>
    <w:rsid w:val="002C58DA"/>
    <w:rsid w:val="002C5B89"/>
    <w:rsid w:val="002C5C53"/>
    <w:rsid w:val="002C5C5C"/>
    <w:rsid w:val="002C5D7D"/>
    <w:rsid w:val="002C5DA2"/>
    <w:rsid w:val="002C61CE"/>
    <w:rsid w:val="002C65EB"/>
    <w:rsid w:val="002C6832"/>
    <w:rsid w:val="002C6886"/>
    <w:rsid w:val="002C6CF6"/>
    <w:rsid w:val="002C7045"/>
    <w:rsid w:val="002C7123"/>
    <w:rsid w:val="002C7283"/>
    <w:rsid w:val="002C72A2"/>
    <w:rsid w:val="002C7356"/>
    <w:rsid w:val="002C73A4"/>
    <w:rsid w:val="002C75F5"/>
    <w:rsid w:val="002C76C2"/>
    <w:rsid w:val="002C7708"/>
    <w:rsid w:val="002C7C61"/>
    <w:rsid w:val="002C7CC0"/>
    <w:rsid w:val="002C7CC4"/>
    <w:rsid w:val="002C7E22"/>
    <w:rsid w:val="002C7E60"/>
    <w:rsid w:val="002C7E74"/>
    <w:rsid w:val="002C7F63"/>
    <w:rsid w:val="002D009B"/>
    <w:rsid w:val="002D00D2"/>
    <w:rsid w:val="002D034F"/>
    <w:rsid w:val="002D0820"/>
    <w:rsid w:val="002D0869"/>
    <w:rsid w:val="002D095C"/>
    <w:rsid w:val="002D09D4"/>
    <w:rsid w:val="002D1046"/>
    <w:rsid w:val="002D1086"/>
    <w:rsid w:val="002D122B"/>
    <w:rsid w:val="002D1AE4"/>
    <w:rsid w:val="002D1C0B"/>
    <w:rsid w:val="002D1E31"/>
    <w:rsid w:val="002D1ECD"/>
    <w:rsid w:val="002D207C"/>
    <w:rsid w:val="002D215A"/>
    <w:rsid w:val="002D2252"/>
    <w:rsid w:val="002D226C"/>
    <w:rsid w:val="002D23C8"/>
    <w:rsid w:val="002D259B"/>
    <w:rsid w:val="002D26EF"/>
    <w:rsid w:val="002D2915"/>
    <w:rsid w:val="002D29D0"/>
    <w:rsid w:val="002D2CA2"/>
    <w:rsid w:val="002D3077"/>
    <w:rsid w:val="002D3096"/>
    <w:rsid w:val="002D3398"/>
    <w:rsid w:val="002D3431"/>
    <w:rsid w:val="002D35CA"/>
    <w:rsid w:val="002D3755"/>
    <w:rsid w:val="002D3C06"/>
    <w:rsid w:val="002D3C55"/>
    <w:rsid w:val="002D407E"/>
    <w:rsid w:val="002D42A6"/>
    <w:rsid w:val="002D45EA"/>
    <w:rsid w:val="002D4826"/>
    <w:rsid w:val="002D492E"/>
    <w:rsid w:val="002D4A6D"/>
    <w:rsid w:val="002D4B0D"/>
    <w:rsid w:val="002D4C0C"/>
    <w:rsid w:val="002D4E8A"/>
    <w:rsid w:val="002D5064"/>
    <w:rsid w:val="002D50F3"/>
    <w:rsid w:val="002D533F"/>
    <w:rsid w:val="002D535C"/>
    <w:rsid w:val="002D5465"/>
    <w:rsid w:val="002D5591"/>
    <w:rsid w:val="002D57A0"/>
    <w:rsid w:val="002D5880"/>
    <w:rsid w:val="002D5A19"/>
    <w:rsid w:val="002D5AC6"/>
    <w:rsid w:val="002D5AD9"/>
    <w:rsid w:val="002D5D45"/>
    <w:rsid w:val="002D5D4A"/>
    <w:rsid w:val="002D5EFF"/>
    <w:rsid w:val="002D5F6B"/>
    <w:rsid w:val="002D61C8"/>
    <w:rsid w:val="002D61FF"/>
    <w:rsid w:val="002D621F"/>
    <w:rsid w:val="002D633C"/>
    <w:rsid w:val="002D66D1"/>
    <w:rsid w:val="002D6799"/>
    <w:rsid w:val="002D6A02"/>
    <w:rsid w:val="002D6AB8"/>
    <w:rsid w:val="002D6AEE"/>
    <w:rsid w:val="002D6D0C"/>
    <w:rsid w:val="002D7394"/>
    <w:rsid w:val="002D7402"/>
    <w:rsid w:val="002D7492"/>
    <w:rsid w:val="002D78CD"/>
    <w:rsid w:val="002D79B2"/>
    <w:rsid w:val="002D7A70"/>
    <w:rsid w:val="002D7BC5"/>
    <w:rsid w:val="002D7C7F"/>
    <w:rsid w:val="002D7D27"/>
    <w:rsid w:val="002D7D93"/>
    <w:rsid w:val="002D7FA3"/>
    <w:rsid w:val="002E05F6"/>
    <w:rsid w:val="002E0620"/>
    <w:rsid w:val="002E0928"/>
    <w:rsid w:val="002E097B"/>
    <w:rsid w:val="002E0C5E"/>
    <w:rsid w:val="002E0E9F"/>
    <w:rsid w:val="002E1041"/>
    <w:rsid w:val="002E10E6"/>
    <w:rsid w:val="002E1102"/>
    <w:rsid w:val="002E11E5"/>
    <w:rsid w:val="002E11EA"/>
    <w:rsid w:val="002E129E"/>
    <w:rsid w:val="002E12D0"/>
    <w:rsid w:val="002E1350"/>
    <w:rsid w:val="002E171F"/>
    <w:rsid w:val="002E19BB"/>
    <w:rsid w:val="002E1A14"/>
    <w:rsid w:val="002E1A72"/>
    <w:rsid w:val="002E1C05"/>
    <w:rsid w:val="002E1EF8"/>
    <w:rsid w:val="002E2301"/>
    <w:rsid w:val="002E23A4"/>
    <w:rsid w:val="002E244C"/>
    <w:rsid w:val="002E253C"/>
    <w:rsid w:val="002E2611"/>
    <w:rsid w:val="002E2856"/>
    <w:rsid w:val="002E2AA3"/>
    <w:rsid w:val="002E2DA1"/>
    <w:rsid w:val="002E2F4F"/>
    <w:rsid w:val="002E2FCA"/>
    <w:rsid w:val="002E3001"/>
    <w:rsid w:val="002E3145"/>
    <w:rsid w:val="002E31C9"/>
    <w:rsid w:val="002E3366"/>
    <w:rsid w:val="002E3FF0"/>
    <w:rsid w:val="002E442A"/>
    <w:rsid w:val="002E448A"/>
    <w:rsid w:val="002E4786"/>
    <w:rsid w:val="002E4A39"/>
    <w:rsid w:val="002E4B99"/>
    <w:rsid w:val="002E506B"/>
    <w:rsid w:val="002E5350"/>
    <w:rsid w:val="002E5375"/>
    <w:rsid w:val="002E559D"/>
    <w:rsid w:val="002E5912"/>
    <w:rsid w:val="002E5C8F"/>
    <w:rsid w:val="002E5CD4"/>
    <w:rsid w:val="002E5D3C"/>
    <w:rsid w:val="002E60B6"/>
    <w:rsid w:val="002E64CB"/>
    <w:rsid w:val="002E6581"/>
    <w:rsid w:val="002E690E"/>
    <w:rsid w:val="002E690F"/>
    <w:rsid w:val="002E6BBA"/>
    <w:rsid w:val="002E6DE3"/>
    <w:rsid w:val="002E6EF6"/>
    <w:rsid w:val="002E6FDA"/>
    <w:rsid w:val="002E704B"/>
    <w:rsid w:val="002E712A"/>
    <w:rsid w:val="002E71D2"/>
    <w:rsid w:val="002E7637"/>
    <w:rsid w:val="002E76D6"/>
    <w:rsid w:val="002E7D29"/>
    <w:rsid w:val="002E7EA4"/>
    <w:rsid w:val="002F0072"/>
    <w:rsid w:val="002F00D1"/>
    <w:rsid w:val="002F02E8"/>
    <w:rsid w:val="002F032A"/>
    <w:rsid w:val="002F03F1"/>
    <w:rsid w:val="002F04F5"/>
    <w:rsid w:val="002F0663"/>
    <w:rsid w:val="002F09ED"/>
    <w:rsid w:val="002F0C49"/>
    <w:rsid w:val="002F0CF0"/>
    <w:rsid w:val="002F0EF1"/>
    <w:rsid w:val="002F0F17"/>
    <w:rsid w:val="002F0F40"/>
    <w:rsid w:val="002F0FEA"/>
    <w:rsid w:val="002F10D5"/>
    <w:rsid w:val="002F1267"/>
    <w:rsid w:val="002F135D"/>
    <w:rsid w:val="002F1492"/>
    <w:rsid w:val="002F1684"/>
    <w:rsid w:val="002F179B"/>
    <w:rsid w:val="002F1DE1"/>
    <w:rsid w:val="002F1FE3"/>
    <w:rsid w:val="002F224E"/>
    <w:rsid w:val="002F2772"/>
    <w:rsid w:val="002F2815"/>
    <w:rsid w:val="002F2D38"/>
    <w:rsid w:val="002F2D74"/>
    <w:rsid w:val="002F32BB"/>
    <w:rsid w:val="002F334A"/>
    <w:rsid w:val="002F3474"/>
    <w:rsid w:val="002F3642"/>
    <w:rsid w:val="002F4535"/>
    <w:rsid w:val="002F461D"/>
    <w:rsid w:val="002F47C6"/>
    <w:rsid w:val="002F47E1"/>
    <w:rsid w:val="002F4BBD"/>
    <w:rsid w:val="002F50E7"/>
    <w:rsid w:val="002F5664"/>
    <w:rsid w:val="002F56EC"/>
    <w:rsid w:val="002F6037"/>
    <w:rsid w:val="002F63E3"/>
    <w:rsid w:val="002F65B7"/>
    <w:rsid w:val="002F6715"/>
    <w:rsid w:val="002F6762"/>
    <w:rsid w:val="002F6873"/>
    <w:rsid w:val="002F6A8A"/>
    <w:rsid w:val="002F6ABA"/>
    <w:rsid w:val="002F6B80"/>
    <w:rsid w:val="002F6BA9"/>
    <w:rsid w:val="002F6CFD"/>
    <w:rsid w:val="002F6F43"/>
    <w:rsid w:val="002F7076"/>
    <w:rsid w:val="002F7123"/>
    <w:rsid w:val="002F7374"/>
    <w:rsid w:val="002F7569"/>
    <w:rsid w:val="002F7B1C"/>
    <w:rsid w:val="002F7C10"/>
    <w:rsid w:val="0030011C"/>
    <w:rsid w:val="00300280"/>
    <w:rsid w:val="003005B0"/>
    <w:rsid w:val="0030093B"/>
    <w:rsid w:val="00300CE3"/>
    <w:rsid w:val="00300DAE"/>
    <w:rsid w:val="003011D8"/>
    <w:rsid w:val="00301223"/>
    <w:rsid w:val="00301242"/>
    <w:rsid w:val="0030124D"/>
    <w:rsid w:val="00301259"/>
    <w:rsid w:val="00301427"/>
    <w:rsid w:val="003014C6"/>
    <w:rsid w:val="003016B1"/>
    <w:rsid w:val="00301846"/>
    <w:rsid w:val="003018F7"/>
    <w:rsid w:val="00301986"/>
    <w:rsid w:val="00301BDD"/>
    <w:rsid w:val="00301C58"/>
    <w:rsid w:val="00301D66"/>
    <w:rsid w:val="00301E61"/>
    <w:rsid w:val="003022D1"/>
    <w:rsid w:val="003025A2"/>
    <w:rsid w:val="003025C0"/>
    <w:rsid w:val="00302701"/>
    <w:rsid w:val="003028A5"/>
    <w:rsid w:val="0030294C"/>
    <w:rsid w:val="003029A5"/>
    <w:rsid w:val="00302CAD"/>
    <w:rsid w:val="00302DBD"/>
    <w:rsid w:val="003030C8"/>
    <w:rsid w:val="00303126"/>
    <w:rsid w:val="0030322B"/>
    <w:rsid w:val="00303368"/>
    <w:rsid w:val="003034A7"/>
    <w:rsid w:val="00303642"/>
    <w:rsid w:val="003036F8"/>
    <w:rsid w:val="003038F1"/>
    <w:rsid w:val="00303A7D"/>
    <w:rsid w:val="00303C30"/>
    <w:rsid w:val="00303C88"/>
    <w:rsid w:val="00303D84"/>
    <w:rsid w:val="00303F0B"/>
    <w:rsid w:val="00303F0F"/>
    <w:rsid w:val="0030460E"/>
    <w:rsid w:val="0030477F"/>
    <w:rsid w:val="003048F3"/>
    <w:rsid w:val="0030498E"/>
    <w:rsid w:val="003049A2"/>
    <w:rsid w:val="00304CF7"/>
    <w:rsid w:val="003051C1"/>
    <w:rsid w:val="003053F5"/>
    <w:rsid w:val="003055D8"/>
    <w:rsid w:val="0030563D"/>
    <w:rsid w:val="00305690"/>
    <w:rsid w:val="003056F8"/>
    <w:rsid w:val="0030594D"/>
    <w:rsid w:val="00305CEC"/>
    <w:rsid w:val="00305E72"/>
    <w:rsid w:val="00305EE4"/>
    <w:rsid w:val="00306067"/>
    <w:rsid w:val="003063AC"/>
    <w:rsid w:val="00306718"/>
    <w:rsid w:val="00306953"/>
    <w:rsid w:val="00306A40"/>
    <w:rsid w:val="00306BA5"/>
    <w:rsid w:val="00306C7F"/>
    <w:rsid w:val="00306CA8"/>
    <w:rsid w:val="00307029"/>
    <w:rsid w:val="0030708F"/>
    <w:rsid w:val="00307338"/>
    <w:rsid w:val="00307BD5"/>
    <w:rsid w:val="00307C6E"/>
    <w:rsid w:val="00307F68"/>
    <w:rsid w:val="0031006A"/>
    <w:rsid w:val="00310172"/>
    <w:rsid w:val="00310386"/>
    <w:rsid w:val="00310938"/>
    <w:rsid w:val="00310A25"/>
    <w:rsid w:val="00310C40"/>
    <w:rsid w:val="00310CB9"/>
    <w:rsid w:val="00310D10"/>
    <w:rsid w:val="00310D77"/>
    <w:rsid w:val="00310DA1"/>
    <w:rsid w:val="00310FBA"/>
    <w:rsid w:val="003114F7"/>
    <w:rsid w:val="00311597"/>
    <w:rsid w:val="00311599"/>
    <w:rsid w:val="00311916"/>
    <w:rsid w:val="0031195E"/>
    <w:rsid w:val="00311C4C"/>
    <w:rsid w:val="00311D17"/>
    <w:rsid w:val="00311D3F"/>
    <w:rsid w:val="00311D63"/>
    <w:rsid w:val="0031206B"/>
    <w:rsid w:val="003120F8"/>
    <w:rsid w:val="003121F0"/>
    <w:rsid w:val="00312227"/>
    <w:rsid w:val="0031275E"/>
    <w:rsid w:val="00312C9C"/>
    <w:rsid w:val="00312E12"/>
    <w:rsid w:val="00313601"/>
    <w:rsid w:val="0031372D"/>
    <w:rsid w:val="0031372E"/>
    <w:rsid w:val="00313918"/>
    <w:rsid w:val="003140CE"/>
    <w:rsid w:val="00314735"/>
    <w:rsid w:val="00314B18"/>
    <w:rsid w:val="00314D8D"/>
    <w:rsid w:val="00314F11"/>
    <w:rsid w:val="00315114"/>
    <w:rsid w:val="003151D3"/>
    <w:rsid w:val="0031545C"/>
    <w:rsid w:val="00315BA4"/>
    <w:rsid w:val="00315CDD"/>
    <w:rsid w:val="00316151"/>
    <w:rsid w:val="00316333"/>
    <w:rsid w:val="003163DB"/>
    <w:rsid w:val="003164A3"/>
    <w:rsid w:val="003165CC"/>
    <w:rsid w:val="00316676"/>
    <w:rsid w:val="00316A55"/>
    <w:rsid w:val="00316A79"/>
    <w:rsid w:val="00316C71"/>
    <w:rsid w:val="00316F7D"/>
    <w:rsid w:val="00317404"/>
    <w:rsid w:val="00317437"/>
    <w:rsid w:val="003176AE"/>
    <w:rsid w:val="00317A41"/>
    <w:rsid w:val="00317D6E"/>
    <w:rsid w:val="00320674"/>
    <w:rsid w:val="0032070F"/>
    <w:rsid w:val="003208A1"/>
    <w:rsid w:val="00320A45"/>
    <w:rsid w:val="00320DE9"/>
    <w:rsid w:val="00321057"/>
    <w:rsid w:val="00321123"/>
    <w:rsid w:val="0032116C"/>
    <w:rsid w:val="00321426"/>
    <w:rsid w:val="0032149A"/>
    <w:rsid w:val="003218A9"/>
    <w:rsid w:val="00321A3B"/>
    <w:rsid w:val="00321A7A"/>
    <w:rsid w:val="00321AEE"/>
    <w:rsid w:val="003221A2"/>
    <w:rsid w:val="0032230F"/>
    <w:rsid w:val="00322381"/>
    <w:rsid w:val="0032254C"/>
    <w:rsid w:val="003225F6"/>
    <w:rsid w:val="0032268D"/>
    <w:rsid w:val="00322964"/>
    <w:rsid w:val="00322999"/>
    <w:rsid w:val="00322A46"/>
    <w:rsid w:val="00322F9C"/>
    <w:rsid w:val="0032312C"/>
    <w:rsid w:val="00323591"/>
    <w:rsid w:val="00323608"/>
    <w:rsid w:val="00323731"/>
    <w:rsid w:val="0032387D"/>
    <w:rsid w:val="00324164"/>
    <w:rsid w:val="003244EA"/>
    <w:rsid w:val="00324505"/>
    <w:rsid w:val="0032489D"/>
    <w:rsid w:val="003248EE"/>
    <w:rsid w:val="003249FC"/>
    <w:rsid w:val="00324A8C"/>
    <w:rsid w:val="00324DEC"/>
    <w:rsid w:val="0032501F"/>
    <w:rsid w:val="003251DE"/>
    <w:rsid w:val="003254DC"/>
    <w:rsid w:val="00325708"/>
    <w:rsid w:val="00325949"/>
    <w:rsid w:val="003259A9"/>
    <w:rsid w:val="00325A03"/>
    <w:rsid w:val="0032605D"/>
    <w:rsid w:val="003261DD"/>
    <w:rsid w:val="00326376"/>
    <w:rsid w:val="00326703"/>
    <w:rsid w:val="0032676C"/>
    <w:rsid w:val="003267DC"/>
    <w:rsid w:val="00326C38"/>
    <w:rsid w:val="00327313"/>
    <w:rsid w:val="0032735B"/>
    <w:rsid w:val="003274CA"/>
    <w:rsid w:val="00327683"/>
    <w:rsid w:val="00327732"/>
    <w:rsid w:val="00327737"/>
    <w:rsid w:val="00327740"/>
    <w:rsid w:val="003277E9"/>
    <w:rsid w:val="00327888"/>
    <w:rsid w:val="003279FA"/>
    <w:rsid w:val="00330020"/>
    <w:rsid w:val="00330183"/>
    <w:rsid w:val="00330222"/>
    <w:rsid w:val="00330235"/>
    <w:rsid w:val="003302D5"/>
    <w:rsid w:val="00330389"/>
    <w:rsid w:val="0033044B"/>
    <w:rsid w:val="0033075F"/>
    <w:rsid w:val="003308C3"/>
    <w:rsid w:val="00330983"/>
    <w:rsid w:val="00330AEF"/>
    <w:rsid w:val="00330C44"/>
    <w:rsid w:val="00330D54"/>
    <w:rsid w:val="0033104E"/>
    <w:rsid w:val="003311E3"/>
    <w:rsid w:val="0033135C"/>
    <w:rsid w:val="0033159B"/>
    <w:rsid w:val="00331729"/>
    <w:rsid w:val="0033173D"/>
    <w:rsid w:val="00331771"/>
    <w:rsid w:val="00331B4B"/>
    <w:rsid w:val="00331B63"/>
    <w:rsid w:val="00331BB5"/>
    <w:rsid w:val="00331D48"/>
    <w:rsid w:val="00331E46"/>
    <w:rsid w:val="00332268"/>
    <w:rsid w:val="00332817"/>
    <w:rsid w:val="00332922"/>
    <w:rsid w:val="00332A6E"/>
    <w:rsid w:val="00332B26"/>
    <w:rsid w:val="00332B80"/>
    <w:rsid w:val="00332DA8"/>
    <w:rsid w:val="00333135"/>
    <w:rsid w:val="003335B7"/>
    <w:rsid w:val="003336F3"/>
    <w:rsid w:val="00333773"/>
    <w:rsid w:val="00333B1D"/>
    <w:rsid w:val="00333D01"/>
    <w:rsid w:val="00333FB4"/>
    <w:rsid w:val="00334014"/>
    <w:rsid w:val="003343AE"/>
    <w:rsid w:val="00334921"/>
    <w:rsid w:val="00334D5C"/>
    <w:rsid w:val="0033503E"/>
    <w:rsid w:val="003350C5"/>
    <w:rsid w:val="003351F0"/>
    <w:rsid w:val="003353A3"/>
    <w:rsid w:val="003354A3"/>
    <w:rsid w:val="003354E9"/>
    <w:rsid w:val="00335626"/>
    <w:rsid w:val="003359FB"/>
    <w:rsid w:val="00335A27"/>
    <w:rsid w:val="00335BC5"/>
    <w:rsid w:val="00335BF2"/>
    <w:rsid w:val="00335CFD"/>
    <w:rsid w:val="00335D56"/>
    <w:rsid w:val="00335EA4"/>
    <w:rsid w:val="00335EC4"/>
    <w:rsid w:val="00335F3A"/>
    <w:rsid w:val="003364AB"/>
    <w:rsid w:val="003365C5"/>
    <w:rsid w:val="003366D1"/>
    <w:rsid w:val="00336777"/>
    <w:rsid w:val="00336C32"/>
    <w:rsid w:val="00337249"/>
    <w:rsid w:val="003375C7"/>
    <w:rsid w:val="003376FD"/>
    <w:rsid w:val="003377A2"/>
    <w:rsid w:val="00337984"/>
    <w:rsid w:val="00337EAF"/>
    <w:rsid w:val="00337F9C"/>
    <w:rsid w:val="00340017"/>
    <w:rsid w:val="003402F6"/>
    <w:rsid w:val="0034030B"/>
    <w:rsid w:val="00340494"/>
    <w:rsid w:val="0034055B"/>
    <w:rsid w:val="00340914"/>
    <w:rsid w:val="00340C67"/>
    <w:rsid w:val="00340D20"/>
    <w:rsid w:val="003411D9"/>
    <w:rsid w:val="003414D3"/>
    <w:rsid w:val="00341A13"/>
    <w:rsid w:val="00341A4D"/>
    <w:rsid w:val="00341C2E"/>
    <w:rsid w:val="00341D45"/>
    <w:rsid w:val="00341EAA"/>
    <w:rsid w:val="00341ED1"/>
    <w:rsid w:val="003420A1"/>
    <w:rsid w:val="003420D7"/>
    <w:rsid w:val="00342229"/>
    <w:rsid w:val="003422F2"/>
    <w:rsid w:val="00342616"/>
    <w:rsid w:val="0034275A"/>
    <w:rsid w:val="00342793"/>
    <w:rsid w:val="00342AA2"/>
    <w:rsid w:val="0034347C"/>
    <w:rsid w:val="003442E8"/>
    <w:rsid w:val="00344352"/>
    <w:rsid w:val="003444CB"/>
    <w:rsid w:val="003444E5"/>
    <w:rsid w:val="0034462A"/>
    <w:rsid w:val="003447E6"/>
    <w:rsid w:val="00344A37"/>
    <w:rsid w:val="00344A7C"/>
    <w:rsid w:val="00344B1D"/>
    <w:rsid w:val="00344C04"/>
    <w:rsid w:val="00344C19"/>
    <w:rsid w:val="00344D8B"/>
    <w:rsid w:val="00344E8E"/>
    <w:rsid w:val="00344EB4"/>
    <w:rsid w:val="003451FC"/>
    <w:rsid w:val="00345409"/>
    <w:rsid w:val="003454B8"/>
    <w:rsid w:val="003454D5"/>
    <w:rsid w:val="0034568E"/>
    <w:rsid w:val="003459E6"/>
    <w:rsid w:val="00345F73"/>
    <w:rsid w:val="003465F0"/>
    <w:rsid w:val="00346713"/>
    <w:rsid w:val="00346D22"/>
    <w:rsid w:val="00346F8A"/>
    <w:rsid w:val="00347299"/>
    <w:rsid w:val="003473E2"/>
    <w:rsid w:val="00347682"/>
    <w:rsid w:val="003479F6"/>
    <w:rsid w:val="00347B37"/>
    <w:rsid w:val="00347B4F"/>
    <w:rsid w:val="00347BF2"/>
    <w:rsid w:val="00347CEB"/>
    <w:rsid w:val="00347D96"/>
    <w:rsid w:val="00347DCD"/>
    <w:rsid w:val="00347E3E"/>
    <w:rsid w:val="00350173"/>
    <w:rsid w:val="00350679"/>
    <w:rsid w:val="00350741"/>
    <w:rsid w:val="003509E9"/>
    <w:rsid w:val="00350F0A"/>
    <w:rsid w:val="00350FBE"/>
    <w:rsid w:val="00351543"/>
    <w:rsid w:val="003515EA"/>
    <w:rsid w:val="003516EA"/>
    <w:rsid w:val="00351714"/>
    <w:rsid w:val="003517CC"/>
    <w:rsid w:val="00351AAF"/>
    <w:rsid w:val="00351C1E"/>
    <w:rsid w:val="00351ED4"/>
    <w:rsid w:val="00351F8F"/>
    <w:rsid w:val="003524EC"/>
    <w:rsid w:val="0035257C"/>
    <w:rsid w:val="00352B8C"/>
    <w:rsid w:val="00352D3E"/>
    <w:rsid w:val="00352D4E"/>
    <w:rsid w:val="00352E30"/>
    <w:rsid w:val="00353443"/>
    <w:rsid w:val="003534F3"/>
    <w:rsid w:val="00353625"/>
    <w:rsid w:val="00353787"/>
    <w:rsid w:val="00353F63"/>
    <w:rsid w:val="003540E3"/>
    <w:rsid w:val="0035443B"/>
    <w:rsid w:val="00354A7E"/>
    <w:rsid w:val="00354F31"/>
    <w:rsid w:val="00355199"/>
    <w:rsid w:val="0035539B"/>
    <w:rsid w:val="00355882"/>
    <w:rsid w:val="003558F8"/>
    <w:rsid w:val="0035599E"/>
    <w:rsid w:val="00355C24"/>
    <w:rsid w:val="00355CAF"/>
    <w:rsid w:val="003560BA"/>
    <w:rsid w:val="00356264"/>
    <w:rsid w:val="003562F5"/>
    <w:rsid w:val="0035639F"/>
    <w:rsid w:val="003568F9"/>
    <w:rsid w:val="00356949"/>
    <w:rsid w:val="00356ADB"/>
    <w:rsid w:val="00356B3C"/>
    <w:rsid w:val="00356C9E"/>
    <w:rsid w:val="00356CC1"/>
    <w:rsid w:val="00356D28"/>
    <w:rsid w:val="00356D7C"/>
    <w:rsid w:val="00356E4C"/>
    <w:rsid w:val="00356F50"/>
    <w:rsid w:val="00356FEF"/>
    <w:rsid w:val="0035704A"/>
    <w:rsid w:val="003570DE"/>
    <w:rsid w:val="00357137"/>
    <w:rsid w:val="00357157"/>
    <w:rsid w:val="00357261"/>
    <w:rsid w:val="00357568"/>
    <w:rsid w:val="00357635"/>
    <w:rsid w:val="0035764A"/>
    <w:rsid w:val="003579AB"/>
    <w:rsid w:val="00357CA2"/>
    <w:rsid w:val="00360064"/>
    <w:rsid w:val="003601AB"/>
    <w:rsid w:val="00360290"/>
    <w:rsid w:val="003608F8"/>
    <w:rsid w:val="00360A3F"/>
    <w:rsid w:val="00360FB4"/>
    <w:rsid w:val="00360FF9"/>
    <w:rsid w:val="00361043"/>
    <w:rsid w:val="003619C8"/>
    <w:rsid w:val="00361A4F"/>
    <w:rsid w:val="00361C12"/>
    <w:rsid w:val="00361D57"/>
    <w:rsid w:val="00361E55"/>
    <w:rsid w:val="00362261"/>
    <w:rsid w:val="00362291"/>
    <w:rsid w:val="003624EA"/>
    <w:rsid w:val="003625A8"/>
    <w:rsid w:val="0036261D"/>
    <w:rsid w:val="00362716"/>
    <w:rsid w:val="00362A27"/>
    <w:rsid w:val="00362A38"/>
    <w:rsid w:val="00362CA3"/>
    <w:rsid w:val="00362CFE"/>
    <w:rsid w:val="00362D5F"/>
    <w:rsid w:val="00363266"/>
    <w:rsid w:val="00363361"/>
    <w:rsid w:val="0036356A"/>
    <w:rsid w:val="0036374A"/>
    <w:rsid w:val="00363764"/>
    <w:rsid w:val="00363895"/>
    <w:rsid w:val="00363A01"/>
    <w:rsid w:val="00363A7F"/>
    <w:rsid w:val="00363B3E"/>
    <w:rsid w:val="00363D62"/>
    <w:rsid w:val="00363EB6"/>
    <w:rsid w:val="0036433F"/>
    <w:rsid w:val="003647B6"/>
    <w:rsid w:val="00364CA4"/>
    <w:rsid w:val="00364E3F"/>
    <w:rsid w:val="00364E50"/>
    <w:rsid w:val="00364E84"/>
    <w:rsid w:val="0036519F"/>
    <w:rsid w:val="00365200"/>
    <w:rsid w:val="00365698"/>
    <w:rsid w:val="003656B8"/>
    <w:rsid w:val="003657E4"/>
    <w:rsid w:val="00365832"/>
    <w:rsid w:val="00365921"/>
    <w:rsid w:val="003659F2"/>
    <w:rsid w:val="00365C88"/>
    <w:rsid w:val="00365CAD"/>
    <w:rsid w:val="00365CAE"/>
    <w:rsid w:val="00365DC2"/>
    <w:rsid w:val="00366312"/>
    <w:rsid w:val="0036656B"/>
    <w:rsid w:val="003665AD"/>
    <w:rsid w:val="00366601"/>
    <w:rsid w:val="003666C8"/>
    <w:rsid w:val="00366970"/>
    <w:rsid w:val="00366B37"/>
    <w:rsid w:val="00366C68"/>
    <w:rsid w:val="00366E6D"/>
    <w:rsid w:val="00366FA4"/>
    <w:rsid w:val="00366FFE"/>
    <w:rsid w:val="003670B0"/>
    <w:rsid w:val="00367126"/>
    <w:rsid w:val="0036725B"/>
    <w:rsid w:val="00367481"/>
    <w:rsid w:val="00367773"/>
    <w:rsid w:val="00367921"/>
    <w:rsid w:val="003679B0"/>
    <w:rsid w:val="00367A32"/>
    <w:rsid w:val="00367A8C"/>
    <w:rsid w:val="00367D86"/>
    <w:rsid w:val="00367F7B"/>
    <w:rsid w:val="0037021F"/>
    <w:rsid w:val="00370704"/>
    <w:rsid w:val="00370C65"/>
    <w:rsid w:val="00370CB8"/>
    <w:rsid w:val="00370E84"/>
    <w:rsid w:val="0037124C"/>
    <w:rsid w:val="003713A2"/>
    <w:rsid w:val="003713AF"/>
    <w:rsid w:val="003713CD"/>
    <w:rsid w:val="003717DD"/>
    <w:rsid w:val="00371855"/>
    <w:rsid w:val="00371CC7"/>
    <w:rsid w:val="00371FF9"/>
    <w:rsid w:val="00372530"/>
    <w:rsid w:val="003725F5"/>
    <w:rsid w:val="003727A6"/>
    <w:rsid w:val="00372BA3"/>
    <w:rsid w:val="00372DAE"/>
    <w:rsid w:val="00372DFF"/>
    <w:rsid w:val="00373423"/>
    <w:rsid w:val="0037358F"/>
    <w:rsid w:val="00373AA5"/>
    <w:rsid w:val="00373C28"/>
    <w:rsid w:val="00373D11"/>
    <w:rsid w:val="00373D70"/>
    <w:rsid w:val="00373D7C"/>
    <w:rsid w:val="00373DC0"/>
    <w:rsid w:val="0037413E"/>
    <w:rsid w:val="00374364"/>
    <w:rsid w:val="0037474E"/>
    <w:rsid w:val="00374AAC"/>
    <w:rsid w:val="00374BE5"/>
    <w:rsid w:val="00374D16"/>
    <w:rsid w:val="003750CA"/>
    <w:rsid w:val="003754D2"/>
    <w:rsid w:val="003754E2"/>
    <w:rsid w:val="0037557D"/>
    <w:rsid w:val="0037582E"/>
    <w:rsid w:val="003758A1"/>
    <w:rsid w:val="00375D12"/>
    <w:rsid w:val="00375E9E"/>
    <w:rsid w:val="00375FF0"/>
    <w:rsid w:val="003767F4"/>
    <w:rsid w:val="00376E57"/>
    <w:rsid w:val="00376E60"/>
    <w:rsid w:val="00376F0F"/>
    <w:rsid w:val="00377077"/>
    <w:rsid w:val="0037712C"/>
    <w:rsid w:val="0037728D"/>
    <w:rsid w:val="0037787F"/>
    <w:rsid w:val="003779D8"/>
    <w:rsid w:val="00380338"/>
    <w:rsid w:val="0038066D"/>
    <w:rsid w:val="003807DB"/>
    <w:rsid w:val="003809F9"/>
    <w:rsid w:val="00380A04"/>
    <w:rsid w:val="00380A52"/>
    <w:rsid w:val="00380B4B"/>
    <w:rsid w:val="00380BEA"/>
    <w:rsid w:val="00380C75"/>
    <w:rsid w:val="00380FB5"/>
    <w:rsid w:val="0038103F"/>
    <w:rsid w:val="0038105C"/>
    <w:rsid w:val="003812F6"/>
    <w:rsid w:val="0038136A"/>
    <w:rsid w:val="0038154D"/>
    <w:rsid w:val="00381A21"/>
    <w:rsid w:val="00381E7C"/>
    <w:rsid w:val="00382423"/>
    <w:rsid w:val="003824F6"/>
    <w:rsid w:val="00382711"/>
    <w:rsid w:val="003829A8"/>
    <w:rsid w:val="00382A7F"/>
    <w:rsid w:val="00382D58"/>
    <w:rsid w:val="00382E97"/>
    <w:rsid w:val="00383002"/>
    <w:rsid w:val="0038343D"/>
    <w:rsid w:val="003835D2"/>
    <w:rsid w:val="00383C82"/>
    <w:rsid w:val="00384028"/>
    <w:rsid w:val="00384092"/>
    <w:rsid w:val="0038418C"/>
    <w:rsid w:val="00384497"/>
    <w:rsid w:val="003846D0"/>
    <w:rsid w:val="003846FB"/>
    <w:rsid w:val="00384852"/>
    <w:rsid w:val="0038486B"/>
    <w:rsid w:val="003850B8"/>
    <w:rsid w:val="00385199"/>
    <w:rsid w:val="0038591E"/>
    <w:rsid w:val="00385FC3"/>
    <w:rsid w:val="00386054"/>
    <w:rsid w:val="003860F6"/>
    <w:rsid w:val="0038634D"/>
    <w:rsid w:val="00386525"/>
    <w:rsid w:val="00386856"/>
    <w:rsid w:val="00386A22"/>
    <w:rsid w:val="00386B97"/>
    <w:rsid w:val="00386C7A"/>
    <w:rsid w:val="00386DF4"/>
    <w:rsid w:val="00387350"/>
    <w:rsid w:val="00387403"/>
    <w:rsid w:val="0038760E"/>
    <w:rsid w:val="00387714"/>
    <w:rsid w:val="003877AA"/>
    <w:rsid w:val="00387856"/>
    <w:rsid w:val="003879AF"/>
    <w:rsid w:val="00387ABD"/>
    <w:rsid w:val="00387C54"/>
    <w:rsid w:val="00387DBD"/>
    <w:rsid w:val="0039001E"/>
    <w:rsid w:val="00390033"/>
    <w:rsid w:val="00390626"/>
    <w:rsid w:val="00390BF7"/>
    <w:rsid w:val="00390CE9"/>
    <w:rsid w:val="00390DF2"/>
    <w:rsid w:val="0039126E"/>
    <w:rsid w:val="00391466"/>
    <w:rsid w:val="0039170B"/>
    <w:rsid w:val="0039174B"/>
    <w:rsid w:val="003917DF"/>
    <w:rsid w:val="00391A1B"/>
    <w:rsid w:val="00391FFD"/>
    <w:rsid w:val="00392062"/>
    <w:rsid w:val="003923BF"/>
    <w:rsid w:val="0039270E"/>
    <w:rsid w:val="003928AA"/>
    <w:rsid w:val="003929F5"/>
    <w:rsid w:val="00392E06"/>
    <w:rsid w:val="003930AF"/>
    <w:rsid w:val="0039326E"/>
    <w:rsid w:val="00393597"/>
    <w:rsid w:val="00393703"/>
    <w:rsid w:val="00393782"/>
    <w:rsid w:val="00393822"/>
    <w:rsid w:val="00393982"/>
    <w:rsid w:val="00393A89"/>
    <w:rsid w:val="00393BE7"/>
    <w:rsid w:val="00393F10"/>
    <w:rsid w:val="00393FFC"/>
    <w:rsid w:val="0039407B"/>
    <w:rsid w:val="003941C3"/>
    <w:rsid w:val="003942A4"/>
    <w:rsid w:val="00394379"/>
    <w:rsid w:val="003944A3"/>
    <w:rsid w:val="0039456F"/>
    <w:rsid w:val="0039461E"/>
    <w:rsid w:val="0039468E"/>
    <w:rsid w:val="00394A7B"/>
    <w:rsid w:val="00394C3D"/>
    <w:rsid w:val="00394F14"/>
    <w:rsid w:val="00394F37"/>
    <w:rsid w:val="00395101"/>
    <w:rsid w:val="00395183"/>
    <w:rsid w:val="003951E4"/>
    <w:rsid w:val="003952A7"/>
    <w:rsid w:val="00395416"/>
    <w:rsid w:val="00395615"/>
    <w:rsid w:val="003958CC"/>
    <w:rsid w:val="00395962"/>
    <w:rsid w:val="00395B91"/>
    <w:rsid w:val="003960A9"/>
    <w:rsid w:val="0039654A"/>
    <w:rsid w:val="00396652"/>
    <w:rsid w:val="00396809"/>
    <w:rsid w:val="00396839"/>
    <w:rsid w:val="00396B50"/>
    <w:rsid w:val="00396BD2"/>
    <w:rsid w:val="00396E92"/>
    <w:rsid w:val="003970FD"/>
    <w:rsid w:val="003975E4"/>
    <w:rsid w:val="00397775"/>
    <w:rsid w:val="00397904"/>
    <w:rsid w:val="003A0032"/>
    <w:rsid w:val="003A01CC"/>
    <w:rsid w:val="003A027B"/>
    <w:rsid w:val="003A02F9"/>
    <w:rsid w:val="003A03EF"/>
    <w:rsid w:val="003A061D"/>
    <w:rsid w:val="003A065B"/>
    <w:rsid w:val="003A07CD"/>
    <w:rsid w:val="003A08B2"/>
    <w:rsid w:val="003A1378"/>
    <w:rsid w:val="003A1402"/>
    <w:rsid w:val="003A1785"/>
    <w:rsid w:val="003A18AF"/>
    <w:rsid w:val="003A1A8D"/>
    <w:rsid w:val="003A1E7E"/>
    <w:rsid w:val="003A1ED9"/>
    <w:rsid w:val="003A25D9"/>
    <w:rsid w:val="003A2610"/>
    <w:rsid w:val="003A265A"/>
    <w:rsid w:val="003A2816"/>
    <w:rsid w:val="003A2B45"/>
    <w:rsid w:val="003A2E29"/>
    <w:rsid w:val="003A2E41"/>
    <w:rsid w:val="003A30CF"/>
    <w:rsid w:val="003A30E6"/>
    <w:rsid w:val="003A3B2F"/>
    <w:rsid w:val="003A3B52"/>
    <w:rsid w:val="003A3C64"/>
    <w:rsid w:val="003A3D01"/>
    <w:rsid w:val="003A3FF9"/>
    <w:rsid w:val="003A413A"/>
    <w:rsid w:val="003A4C1A"/>
    <w:rsid w:val="003A5036"/>
    <w:rsid w:val="003A5863"/>
    <w:rsid w:val="003A5C33"/>
    <w:rsid w:val="003A6121"/>
    <w:rsid w:val="003A6132"/>
    <w:rsid w:val="003A6237"/>
    <w:rsid w:val="003A664E"/>
    <w:rsid w:val="003A66FA"/>
    <w:rsid w:val="003A6899"/>
    <w:rsid w:val="003A69A3"/>
    <w:rsid w:val="003A6ACF"/>
    <w:rsid w:val="003A6C75"/>
    <w:rsid w:val="003A6FB1"/>
    <w:rsid w:val="003A713B"/>
    <w:rsid w:val="003A72ED"/>
    <w:rsid w:val="003A7398"/>
    <w:rsid w:val="003A7404"/>
    <w:rsid w:val="003A75AB"/>
    <w:rsid w:val="003A7618"/>
    <w:rsid w:val="003A79D0"/>
    <w:rsid w:val="003B00BD"/>
    <w:rsid w:val="003B0532"/>
    <w:rsid w:val="003B0847"/>
    <w:rsid w:val="003B09F7"/>
    <w:rsid w:val="003B0ACC"/>
    <w:rsid w:val="003B0E84"/>
    <w:rsid w:val="003B1151"/>
    <w:rsid w:val="003B123B"/>
    <w:rsid w:val="003B1294"/>
    <w:rsid w:val="003B12D2"/>
    <w:rsid w:val="003B1382"/>
    <w:rsid w:val="003B15BD"/>
    <w:rsid w:val="003B1975"/>
    <w:rsid w:val="003B1ADF"/>
    <w:rsid w:val="003B1C54"/>
    <w:rsid w:val="003B1F26"/>
    <w:rsid w:val="003B1F45"/>
    <w:rsid w:val="003B22D4"/>
    <w:rsid w:val="003B259B"/>
    <w:rsid w:val="003B26F9"/>
    <w:rsid w:val="003B2813"/>
    <w:rsid w:val="003B2A08"/>
    <w:rsid w:val="003B2CA0"/>
    <w:rsid w:val="003B2DA2"/>
    <w:rsid w:val="003B2EA7"/>
    <w:rsid w:val="003B2EC5"/>
    <w:rsid w:val="003B30E8"/>
    <w:rsid w:val="003B3208"/>
    <w:rsid w:val="003B34B4"/>
    <w:rsid w:val="003B3591"/>
    <w:rsid w:val="003B3603"/>
    <w:rsid w:val="003B3754"/>
    <w:rsid w:val="003B3833"/>
    <w:rsid w:val="003B3A0E"/>
    <w:rsid w:val="003B3A64"/>
    <w:rsid w:val="003B3B18"/>
    <w:rsid w:val="003B3B82"/>
    <w:rsid w:val="003B3E7A"/>
    <w:rsid w:val="003B3E99"/>
    <w:rsid w:val="003B4099"/>
    <w:rsid w:val="003B4300"/>
    <w:rsid w:val="003B433A"/>
    <w:rsid w:val="003B4419"/>
    <w:rsid w:val="003B459A"/>
    <w:rsid w:val="003B46EE"/>
    <w:rsid w:val="003B4706"/>
    <w:rsid w:val="003B5089"/>
    <w:rsid w:val="003B51BA"/>
    <w:rsid w:val="003B52A8"/>
    <w:rsid w:val="003B5435"/>
    <w:rsid w:val="003B59E0"/>
    <w:rsid w:val="003B5B41"/>
    <w:rsid w:val="003B5B85"/>
    <w:rsid w:val="003B5B8D"/>
    <w:rsid w:val="003B5DEA"/>
    <w:rsid w:val="003B5FA8"/>
    <w:rsid w:val="003B6100"/>
    <w:rsid w:val="003B63EB"/>
    <w:rsid w:val="003B6469"/>
    <w:rsid w:val="003B6864"/>
    <w:rsid w:val="003B694F"/>
    <w:rsid w:val="003B6BB4"/>
    <w:rsid w:val="003B6DB5"/>
    <w:rsid w:val="003B6F7C"/>
    <w:rsid w:val="003B70CC"/>
    <w:rsid w:val="003B7207"/>
    <w:rsid w:val="003B7473"/>
    <w:rsid w:val="003B7500"/>
    <w:rsid w:val="003B76E6"/>
    <w:rsid w:val="003B77BD"/>
    <w:rsid w:val="003B7944"/>
    <w:rsid w:val="003B7C5E"/>
    <w:rsid w:val="003B7D8D"/>
    <w:rsid w:val="003B7E34"/>
    <w:rsid w:val="003B7EEC"/>
    <w:rsid w:val="003C043C"/>
    <w:rsid w:val="003C0567"/>
    <w:rsid w:val="003C090B"/>
    <w:rsid w:val="003C0DEE"/>
    <w:rsid w:val="003C0F3B"/>
    <w:rsid w:val="003C100E"/>
    <w:rsid w:val="003C119B"/>
    <w:rsid w:val="003C1540"/>
    <w:rsid w:val="003C15B0"/>
    <w:rsid w:val="003C15F0"/>
    <w:rsid w:val="003C1748"/>
    <w:rsid w:val="003C18DE"/>
    <w:rsid w:val="003C1942"/>
    <w:rsid w:val="003C19D3"/>
    <w:rsid w:val="003C1A28"/>
    <w:rsid w:val="003C1AE7"/>
    <w:rsid w:val="003C1B22"/>
    <w:rsid w:val="003C1B92"/>
    <w:rsid w:val="003C1C54"/>
    <w:rsid w:val="003C1E03"/>
    <w:rsid w:val="003C2751"/>
    <w:rsid w:val="003C2832"/>
    <w:rsid w:val="003C286A"/>
    <w:rsid w:val="003C2A2D"/>
    <w:rsid w:val="003C2B6C"/>
    <w:rsid w:val="003C2BF2"/>
    <w:rsid w:val="003C2C1B"/>
    <w:rsid w:val="003C3072"/>
    <w:rsid w:val="003C30C8"/>
    <w:rsid w:val="003C350C"/>
    <w:rsid w:val="003C368C"/>
    <w:rsid w:val="003C39E1"/>
    <w:rsid w:val="003C3AE9"/>
    <w:rsid w:val="003C3B3B"/>
    <w:rsid w:val="003C3C04"/>
    <w:rsid w:val="003C3D2C"/>
    <w:rsid w:val="003C43D7"/>
    <w:rsid w:val="003C45A6"/>
    <w:rsid w:val="003C4862"/>
    <w:rsid w:val="003C4B5D"/>
    <w:rsid w:val="003C4DA6"/>
    <w:rsid w:val="003C4F0C"/>
    <w:rsid w:val="003C525D"/>
    <w:rsid w:val="003C596A"/>
    <w:rsid w:val="003C5B3A"/>
    <w:rsid w:val="003C5BC3"/>
    <w:rsid w:val="003C5D34"/>
    <w:rsid w:val="003C5E70"/>
    <w:rsid w:val="003C61C4"/>
    <w:rsid w:val="003C63FC"/>
    <w:rsid w:val="003C6511"/>
    <w:rsid w:val="003C6568"/>
    <w:rsid w:val="003C680C"/>
    <w:rsid w:val="003C690C"/>
    <w:rsid w:val="003C6A42"/>
    <w:rsid w:val="003C6ABB"/>
    <w:rsid w:val="003C709A"/>
    <w:rsid w:val="003C7138"/>
    <w:rsid w:val="003C72F9"/>
    <w:rsid w:val="003C7733"/>
    <w:rsid w:val="003C77E2"/>
    <w:rsid w:val="003C7906"/>
    <w:rsid w:val="003C79B0"/>
    <w:rsid w:val="003C7CC3"/>
    <w:rsid w:val="003C7E5C"/>
    <w:rsid w:val="003C7E9B"/>
    <w:rsid w:val="003D062B"/>
    <w:rsid w:val="003D079E"/>
    <w:rsid w:val="003D0A63"/>
    <w:rsid w:val="003D0B24"/>
    <w:rsid w:val="003D0DB2"/>
    <w:rsid w:val="003D0E3A"/>
    <w:rsid w:val="003D0F5E"/>
    <w:rsid w:val="003D0F64"/>
    <w:rsid w:val="003D1001"/>
    <w:rsid w:val="003D128F"/>
    <w:rsid w:val="003D169F"/>
    <w:rsid w:val="003D180B"/>
    <w:rsid w:val="003D2493"/>
    <w:rsid w:val="003D255E"/>
    <w:rsid w:val="003D25C9"/>
    <w:rsid w:val="003D2BB6"/>
    <w:rsid w:val="003D2BDE"/>
    <w:rsid w:val="003D300C"/>
    <w:rsid w:val="003D3179"/>
    <w:rsid w:val="003D323C"/>
    <w:rsid w:val="003D3512"/>
    <w:rsid w:val="003D368C"/>
    <w:rsid w:val="003D36C1"/>
    <w:rsid w:val="003D37A3"/>
    <w:rsid w:val="003D37FE"/>
    <w:rsid w:val="003D3892"/>
    <w:rsid w:val="003D3A88"/>
    <w:rsid w:val="003D3B96"/>
    <w:rsid w:val="003D3EB5"/>
    <w:rsid w:val="003D4089"/>
    <w:rsid w:val="003D41CE"/>
    <w:rsid w:val="003D4295"/>
    <w:rsid w:val="003D43B8"/>
    <w:rsid w:val="003D475B"/>
    <w:rsid w:val="003D4AAC"/>
    <w:rsid w:val="003D4BF8"/>
    <w:rsid w:val="003D4DEB"/>
    <w:rsid w:val="003D50FC"/>
    <w:rsid w:val="003D5102"/>
    <w:rsid w:val="003D51CB"/>
    <w:rsid w:val="003D563D"/>
    <w:rsid w:val="003D581D"/>
    <w:rsid w:val="003D59D0"/>
    <w:rsid w:val="003D5B3B"/>
    <w:rsid w:val="003D5B3D"/>
    <w:rsid w:val="003D5B91"/>
    <w:rsid w:val="003D5F87"/>
    <w:rsid w:val="003D64F0"/>
    <w:rsid w:val="003D6879"/>
    <w:rsid w:val="003D68B9"/>
    <w:rsid w:val="003D6A09"/>
    <w:rsid w:val="003D6B9D"/>
    <w:rsid w:val="003D6CE3"/>
    <w:rsid w:val="003D6D72"/>
    <w:rsid w:val="003D6EB0"/>
    <w:rsid w:val="003D70EC"/>
    <w:rsid w:val="003D72A7"/>
    <w:rsid w:val="003D779B"/>
    <w:rsid w:val="003D7887"/>
    <w:rsid w:val="003D7998"/>
    <w:rsid w:val="003D7A14"/>
    <w:rsid w:val="003D7D2B"/>
    <w:rsid w:val="003E011F"/>
    <w:rsid w:val="003E0146"/>
    <w:rsid w:val="003E014B"/>
    <w:rsid w:val="003E0205"/>
    <w:rsid w:val="003E0440"/>
    <w:rsid w:val="003E050A"/>
    <w:rsid w:val="003E0959"/>
    <w:rsid w:val="003E09A2"/>
    <w:rsid w:val="003E0AE6"/>
    <w:rsid w:val="003E0AEB"/>
    <w:rsid w:val="003E0C92"/>
    <w:rsid w:val="003E0DBC"/>
    <w:rsid w:val="003E1019"/>
    <w:rsid w:val="003E13C7"/>
    <w:rsid w:val="003E142E"/>
    <w:rsid w:val="003E1CBA"/>
    <w:rsid w:val="003E1D9D"/>
    <w:rsid w:val="003E1E1C"/>
    <w:rsid w:val="003E2221"/>
    <w:rsid w:val="003E22BC"/>
    <w:rsid w:val="003E2405"/>
    <w:rsid w:val="003E252E"/>
    <w:rsid w:val="003E2928"/>
    <w:rsid w:val="003E2948"/>
    <w:rsid w:val="003E2FAF"/>
    <w:rsid w:val="003E2FB1"/>
    <w:rsid w:val="003E330D"/>
    <w:rsid w:val="003E38DE"/>
    <w:rsid w:val="003E398B"/>
    <w:rsid w:val="003E3A98"/>
    <w:rsid w:val="003E3FF1"/>
    <w:rsid w:val="003E425A"/>
    <w:rsid w:val="003E4284"/>
    <w:rsid w:val="003E4374"/>
    <w:rsid w:val="003E4760"/>
    <w:rsid w:val="003E47E4"/>
    <w:rsid w:val="003E483F"/>
    <w:rsid w:val="003E49B9"/>
    <w:rsid w:val="003E4EBB"/>
    <w:rsid w:val="003E502F"/>
    <w:rsid w:val="003E518D"/>
    <w:rsid w:val="003E51D1"/>
    <w:rsid w:val="003E543F"/>
    <w:rsid w:val="003E5549"/>
    <w:rsid w:val="003E55DA"/>
    <w:rsid w:val="003E5669"/>
    <w:rsid w:val="003E5A8D"/>
    <w:rsid w:val="003E5AC8"/>
    <w:rsid w:val="003E5EF0"/>
    <w:rsid w:val="003E6329"/>
    <w:rsid w:val="003E63F6"/>
    <w:rsid w:val="003E65BC"/>
    <w:rsid w:val="003E6AB4"/>
    <w:rsid w:val="003E6B88"/>
    <w:rsid w:val="003E6C9B"/>
    <w:rsid w:val="003E6C9F"/>
    <w:rsid w:val="003E71B7"/>
    <w:rsid w:val="003E744C"/>
    <w:rsid w:val="003E7514"/>
    <w:rsid w:val="003E7CFE"/>
    <w:rsid w:val="003E7E69"/>
    <w:rsid w:val="003E7FFB"/>
    <w:rsid w:val="003F020D"/>
    <w:rsid w:val="003F05F9"/>
    <w:rsid w:val="003F0ABF"/>
    <w:rsid w:val="003F0AE7"/>
    <w:rsid w:val="003F0B15"/>
    <w:rsid w:val="003F0BB6"/>
    <w:rsid w:val="003F0CD8"/>
    <w:rsid w:val="003F0D41"/>
    <w:rsid w:val="003F1031"/>
    <w:rsid w:val="003F1518"/>
    <w:rsid w:val="003F157A"/>
    <w:rsid w:val="003F184F"/>
    <w:rsid w:val="003F1E12"/>
    <w:rsid w:val="003F2247"/>
    <w:rsid w:val="003F2444"/>
    <w:rsid w:val="003F248C"/>
    <w:rsid w:val="003F2546"/>
    <w:rsid w:val="003F25CC"/>
    <w:rsid w:val="003F25E6"/>
    <w:rsid w:val="003F27B1"/>
    <w:rsid w:val="003F2B9C"/>
    <w:rsid w:val="003F2D0A"/>
    <w:rsid w:val="003F3207"/>
    <w:rsid w:val="003F3220"/>
    <w:rsid w:val="003F332F"/>
    <w:rsid w:val="003F3795"/>
    <w:rsid w:val="003F3C5F"/>
    <w:rsid w:val="003F3CFB"/>
    <w:rsid w:val="003F4B67"/>
    <w:rsid w:val="003F4FCD"/>
    <w:rsid w:val="003F53AE"/>
    <w:rsid w:val="003F5875"/>
    <w:rsid w:val="003F5B9F"/>
    <w:rsid w:val="003F5C95"/>
    <w:rsid w:val="003F5CF5"/>
    <w:rsid w:val="003F64E2"/>
    <w:rsid w:val="003F67F6"/>
    <w:rsid w:val="003F6A2F"/>
    <w:rsid w:val="003F6AE4"/>
    <w:rsid w:val="003F6D59"/>
    <w:rsid w:val="003F71D5"/>
    <w:rsid w:val="003F73C2"/>
    <w:rsid w:val="003F73C8"/>
    <w:rsid w:val="003F74A7"/>
    <w:rsid w:val="003F7703"/>
    <w:rsid w:val="003F7773"/>
    <w:rsid w:val="003F793D"/>
    <w:rsid w:val="003F7CA4"/>
    <w:rsid w:val="003F7E46"/>
    <w:rsid w:val="003F7EAC"/>
    <w:rsid w:val="00400143"/>
    <w:rsid w:val="00400273"/>
    <w:rsid w:val="0040063B"/>
    <w:rsid w:val="00400775"/>
    <w:rsid w:val="004008D0"/>
    <w:rsid w:val="00400A7F"/>
    <w:rsid w:val="00400BE3"/>
    <w:rsid w:val="00400C05"/>
    <w:rsid w:val="00400C2D"/>
    <w:rsid w:val="00400C8D"/>
    <w:rsid w:val="00400E37"/>
    <w:rsid w:val="0040117C"/>
    <w:rsid w:val="004011A2"/>
    <w:rsid w:val="0040140D"/>
    <w:rsid w:val="00401452"/>
    <w:rsid w:val="00401506"/>
    <w:rsid w:val="0040156B"/>
    <w:rsid w:val="00401607"/>
    <w:rsid w:val="00401800"/>
    <w:rsid w:val="0040193B"/>
    <w:rsid w:val="00401961"/>
    <w:rsid w:val="00401976"/>
    <w:rsid w:val="00401A99"/>
    <w:rsid w:val="00401BD0"/>
    <w:rsid w:val="00401D5E"/>
    <w:rsid w:val="00401E7A"/>
    <w:rsid w:val="00401E7B"/>
    <w:rsid w:val="00402195"/>
    <w:rsid w:val="00402481"/>
    <w:rsid w:val="0040251F"/>
    <w:rsid w:val="00402637"/>
    <w:rsid w:val="00402910"/>
    <w:rsid w:val="0040305B"/>
    <w:rsid w:val="00403377"/>
    <w:rsid w:val="004034B7"/>
    <w:rsid w:val="00403930"/>
    <w:rsid w:val="004039DB"/>
    <w:rsid w:val="004039F4"/>
    <w:rsid w:val="00403AC2"/>
    <w:rsid w:val="00404089"/>
    <w:rsid w:val="00404106"/>
    <w:rsid w:val="0040429B"/>
    <w:rsid w:val="004042BB"/>
    <w:rsid w:val="004042E9"/>
    <w:rsid w:val="00404510"/>
    <w:rsid w:val="004045D0"/>
    <w:rsid w:val="0040491E"/>
    <w:rsid w:val="00404B78"/>
    <w:rsid w:val="00404CAF"/>
    <w:rsid w:val="0040519E"/>
    <w:rsid w:val="00405236"/>
    <w:rsid w:val="00405433"/>
    <w:rsid w:val="004054CE"/>
    <w:rsid w:val="0040558F"/>
    <w:rsid w:val="004055E8"/>
    <w:rsid w:val="00405870"/>
    <w:rsid w:val="00405A11"/>
    <w:rsid w:val="00405B06"/>
    <w:rsid w:val="00405BAD"/>
    <w:rsid w:val="00405F76"/>
    <w:rsid w:val="00406036"/>
    <w:rsid w:val="00406278"/>
    <w:rsid w:val="0040661D"/>
    <w:rsid w:val="004068A7"/>
    <w:rsid w:val="00406A4C"/>
    <w:rsid w:val="00406A82"/>
    <w:rsid w:val="00406A88"/>
    <w:rsid w:val="00406C50"/>
    <w:rsid w:val="00406EBB"/>
    <w:rsid w:val="00406F27"/>
    <w:rsid w:val="004071DE"/>
    <w:rsid w:val="004075A4"/>
    <w:rsid w:val="0040767D"/>
    <w:rsid w:val="004077BC"/>
    <w:rsid w:val="00407EA7"/>
    <w:rsid w:val="00407ED2"/>
    <w:rsid w:val="00410157"/>
    <w:rsid w:val="0041031E"/>
    <w:rsid w:val="00410492"/>
    <w:rsid w:val="004104AD"/>
    <w:rsid w:val="004105F2"/>
    <w:rsid w:val="004106A2"/>
    <w:rsid w:val="00410710"/>
    <w:rsid w:val="00410771"/>
    <w:rsid w:val="004108AE"/>
    <w:rsid w:val="004108F0"/>
    <w:rsid w:val="004108FB"/>
    <w:rsid w:val="004109E3"/>
    <w:rsid w:val="00410D7C"/>
    <w:rsid w:val="00411012"/>
    <w:rsid w:val="00411170"/>
    <w:rsid w:val="00411574"/>
    <w:rsid w:val="004118A3"/>
    <w:rsid w:val="004119C7"/>
    <w:rsid w:val="00411A04"/>
    <w:rsid w:val="00411B32"/>
    <w:rsid w:val="00411DE8"/>
    <w:rsid w:val="00411F24"/>
    <w:rsid w:val="004120B6"/>
    <w:rsid w:val="00412281"/>
    <w:rsid w:val="00412365"/>
    <w:rsid w:val="00412673"/>
    <w:rsid w:val="00412791"/>
    <w:rsid w:val="004128F0"/>
    <w:rsid w:val="00412A32"/>
    <w:rsid w:val="00412C42"/>
    <w:rsid w:val="00412D8C"/>
    <w:rsid w:val="00412E6E"/>
    <w:rsid w:val="00412FBB"/>
    <w:rsid w:val="0041315D"/>
    <w:rsid w:val="0041359D"/>
    <w:rsid w:val="0041371C"/>
    <w:rsid w:val="004137F5"/>
    <w:rsid w:val="004141E0"/>
    <w:rsid w:val="004142DC"/>
    <w:rsid w:val="004142E7"/>
    <w:rsid w:val="0041447A"/>
    <w:rsid w:val="00414834"/>
    <w:rsid w:val="0041487B"/>
    <w:rsid w:val="0041489E"/>
    <w:rsid w:val="00414C88"/>
    <w:rsid w:val="00414CA2"/>
    <w:rsid w:val="00414D04"/>
    <w:rsid w:val="00414D1D"/>
    <w:rsid w:val="00414DB4"/>
    <w:rsid w:val="00414F6E"/>
    <w:rsid w:val="0041512B"/>
    <w:rsid w:val="0041538C"/>
    <w:rsid w:val="00415461"/>
    <w:rsid w:val="00415700"/>
    <w:rsid w:val="00415866"/>
    <w:rsid w:val="004159B0"/>
    <w:rsid w:val="00415A54"/>
    <w:rsid w:val="00415A56"/>
    <w:rsid w:val="00415ABF"/>
    <w:rsid w:val="00415C92"/>
    <w:rsid w:val="00415D15"/>
    <w:rsid w:val="00415D8A"/>
    <w:rsid w:val="00415E7D"/>
    <w:rsid w:val="00415E9F"/>
    <w:rsid w:val="00416660"/>
    <w:rsid w:val="00416809"/>
    <w:rsid w:val="00416829"/>
    <w:rsid w:val="004168D8"/>
    <w:rsid w:val="00416B88"/>
    <w:rsid w:val="00416BE7"/>
    <w:rsid w:val="0041728B"/>
    <w:rsid w:val="00417391"/>
    <w:rsid w:val="00417397"/>
    <w:rsid w:val="00417543"/>
    <w:rsid w:val="004175E8"/>
    <w:rsid w:val="00417670"/>
    <w:rsid w:val="00417881"/>
    <w:rsid w:val="0041FF37"/>
    <w:rsid w:val="004203D3"/>
    <w:rsid w:val="00420791"/>
    <w:rsid w:val="00420832"/>
    <w:rsid w:val="00420B02"/>
    <w:rsid w:val="00420F08"/>
    <w:rsid w:val="00420FD1"/>
    <w:rsid w:val="004212A0"/>
    <w:rsid w:val="0042130D"/>
    <w:rsid w:val="0042157D"/>
    <w:rsid w:val="00421A24"/>
    <w:rsid w:val="0042246E"/>
    <w:rsid w:val="004225E7"/>
    <w:rsid w:val="004229CD"/>
    <w:rsid w:val="00422A34"/>
    <w:rsid w:val="00422C6D"/>
    <w:rsid w:val="00422C95"/>
    <w:rsid w:val="0042357B"/>
    <w:rsid w:val="004235FE"/>
    <w:rsid w:val="0042388D"/>
    <w:rsid w:val="00423B89"/>
    <w:rsid w:val="00423E16"/>
    <w:rsid w:val="0042400C"/>
    <w:rsid w:val="004241C9"/>
    <w:rsid w:val="004243A1"/>
    <w:rsid w:val="004243C2"/>
    <w:rsid w:val="0042443E"/>
    <w:rsid w:val="00424D1D"/>
    <w:rsid w:val="00424EE2"/>
    <w:rsid w:val="004250AF"/>
    <w:rsid w:val="004250BF"/>
    <w:rsid w:val="0042519C"/>
    <w:rsid w:val="004257C8"/>
    <w:rsid w:val="0042588D"/>
    <w:rsid w:val="00425ADF"/>
    <w:rsid w:val="004261B3"/>
    <w:rsid w:val="004263EB"/>
    <w:rsid w:val="00426435"/>
    <w:rsid w:val="00426480"/>
    <w:rsid w:val="004264CA"/>
    <w:rsid w:val="004265B6"/>
    <w:rsid w:val="00426AAF"/>
    <w:rsid w:val="00426FDE"/>
    <w:rsid w:val="004272DD"/>
    <w:rsid w:val="004273C8"/>
    <w:rsid w:val="0042769D"/>
    <w:rsid w:val="0042794C"/>
    <w:rsid w:val="00427C4D"/>
    <w:rsid w:val="00427EF8"/>
    <w:rsid w:val="00427FAB"/>
    <w:rsid w:val="004303EF"/>
    <w:rsid w:val="00430808"/>
    <w:rsid w:val="004309BE"/>
    <w:rsid w:val="00430CC2"/>
    <w:rsid w:val="00430D53"/>
    <w:rsid w:val="00430DF6"/>
    <w:rsid w:val="00431187"/>
    <w:rsid w:val="0043166A"/>
    <w:rsid w:val="00431852"/>
    <w:rsid w:val="00431855"/>
    <w:rsid w:val="00431D0E"/>
    <w:rsid w:val="00431DC8"/>
    <w:rsid w:val="00431F3C"/>
    <w:rsid w:val="00432711"/>
    <w:rsid w:val="00432AE5"/>
    <w:rsid w:val="00432B4B"/>
    <w:rsid w:val="00432CE2"/>
    <w:rsid w:val="00432E41"/>
    <w:rsid w:val="00432ED7"/>
    <w:rsid w:val="00432F8F"/>
    <w:rsid w:val="0043386E"/>
    <w:rsid w:val="004338F9"/>
    <w:rsid w:val="00433B64"/>
    <w:rsid w:val="00433C4C"/>
    <w:rsid w:val="00433E58"/>
    <w:rsid w:val="00433F0F"/>
    <w:rsid w:val="00434103"/>
    <w:rsid w:val="00434859"/>
    <w:rsid w:val="00434E72"/>
    <w:rsid w:val="00434E93"/>
    <w:rsid w:val="00434F04"/>
    <w:rsid w:val="0043525C"/>
    <w:rsid w:val="004355FC"/>
    <w:rsid w:val="004356A6"/>
    <w:rsid w:val="004357AA"/>
    <w:rsid w:val="004357D6"/>
    <w:rsid w:val="00435978"/>
    <w:rsid w:val="00435A19"/>
    <w:rsid w:val="00435C76"/>
    <w:rsid w:val="00435F41"/>
    <w:rsid w:val="0043624D"/>
    <w:rsid w:val="004362C5"/>
    <w:rsid w:val="00436545"/>
    <w:rsid w:val="0043656C"/>
    <w:rsid w:val="004365A8"/>
    <w:rsid w:val="0043674B"/>
    <w:rsid w:val="00436AD1"/>
    <w:rsid w:val="00436AEA"/>
    <w:rsid w:val="00436AFF"/>
    <w:rsid w:val="00436C7C"/>
    <w:rsid w:val="00436D6F"/>
    <w:rsid w:val="00436F84"/>
    <w:rsid w:val="004374C8"/>
    <w:rsid w:val="00437E60"/>
    <w:rsid w:val="00440234"/>
    <w:rsid w:val="0044030D"/>
    <w:rsid w:val="004403B1"/>
    <w:rsid w:val="004404A3"/>
    <w:rsid w:val="004405FF"/>
    <w:rsid w:val="00440642"/>
    <w:rsid w:val="00440B61"/>
    <w:rsid w:val="00440C34"/>
    <w:rsid w:val="00440D28"/>
    <w:rsid w:val="00440E19"/>
    <w:rsid w:val="00440FA0"/>
    <w:rsid w:val="00441756"/>
    <w:rsid w:val="0044175C"/>
    <w:rsid w:val="00441895"/>
    <w:rsid w:val="00441B08"/>
    <w:rsid w:val="0044255A"/>
    <w:rsid w:val="004428A0"/>
    <w:rsid w:val="00442910"/>
    <w:rsid w:val="00442BC0"/>
    <w:rsid w:val="00442CE7"/>
    <w:rsid w:val="00442E0E"/>
    <w:rsid w:val="00443138"/>
    <w:rsid w:val="0044361E"/>
    <w:rsid w:val="004438E3"/>
    <w:rsid w:val="0044396A"/>
    <w:rsid w:val="00443AB0"/>
    <w:rsid w:val="00443F07"/>
    <w:rsid w:val="00443F0A"/>
    <w:rsid w:val="00443FF9"/>
    <w:rsid w:val="0044420D"/>
    <w:rsid w:val="004445D6"/>
    <w:rsid w:val="004446D9"/>
    <w:rsid w:val="00444958"/>
    <w:rsid w:val="00444A46"/>
    <w:rsid w:val="00444B1D"/>
    <w:rsid w:val="00444D0D"/>
    <w:rsid w:val="00444F29"/>
    <w:rsid w:val="00445074"/>
    <w:rsid w:val="0044523F"/>
    <w:rsid w:val="00445696"/>
    <w:rsid w:val="004457B3"/>
    <w:rsid w:val="004457EE"/>
    <w:rsid w:val="004458FE"/>
    <w:rsid w:val="004459E0"/>
    <w:rsid w:val="004459E7"/>
    <w:rsid w:val="00445ACA"/>
    <w:rsid w:val="00445E43"/>
    <w:rsid w:val="00445E58"/>
    <w:rsid w:val="00445F1B"/>
    <w:rsid w:val="0044612D"/>
    <w:rsid w:val="004464D0"/>
    <w:rsid w:val="004466FF"/>
    <w:rsid w:val="00446A74"/>
    <w:rsid w:val="00446C0C"/>
    <w:rsid w:val="00446EE6"/>
    <w:rsid w:val="0044719F"/>
    <w:rsid w:val="0044732F"/>
    <w:rsid w:val="00447481"/>
    <w:rsid w:val="004474B7"/>
    <w:rsid w:val="00447544"/>
    <w:rsid w:val="0044764A"/>
    <w:rsid w:val="004478EB"/>
    <w:rsid w:val="00447A84"/>
    <w:rsid w:val="00447AF9"/>
    <w:rsid w:val="00447D41"/>
    <w:rsid w:val="00447E03"/>
    <w:rsid w:val="00450581"/>
    <w:rsid w:val="004509F7"/>
    <w:rsid w:val="00450C5F"/>
    <w:rsid w:val="00450D7E"/>
    <w:rsid w:val="004510AE"/>
    <w:rsid w:val="00451305"/>
    <w:rsid w:val="004514A8"/>
    <w:rsid w:val="004514FE"/>
    <w:rsid w:val="004515A1"/>
    <w:rsid w:val="00451B45"/>
    <w:rsid w:val="00452551"/>
    <w:rsid w:val="00452574"/>
    <w:rsid w:val="0045268A"/>
    <w:rsid w:val="004526D7"/>
    <w:rsid w:val="004527C2"/>
    <w:rsid w:val="00452D3F"/>
    <w:rsid w:val="00452DE1"/>
    <w:rsid w:val="0045349F"/>
    <w:rsid w:val="00453659"/>
    <w:rsid w:val="00453783"/>
    <w:rsid w:val="00453837"/>
    <w:rsid w:val="00453A9C"/>
    <w:rsid w:val="00453E7A"/>
    <w:rsid w:val="00453E81"/>
    <w:rsid w:val="00453F31"/>
    <w:rsid w:val="004540EB"/>
    <w:rsid w:val="004543FD"/>
    <w:rsid w:val="0045466F"/>
    <w:rsid w:val="00454734"/>
    <w:rsid w:val="00454762"/>
    <w:rsid w:val="004548FF"/>
    <w:rsid w:val="00454915"/>
    <w:rsid w:val="0045494B"/>
    <w:rsid w:val="00454A52"/>
    <w:rsid w:val="00454A86"/>
    <w:rsid w:val="00454B73"/>
    <w:rsid w:val="00454B84"/>
    <w:rsid w:val="00454C20"/>
    <w:rsid w:val="00454CB6"/>
    <w:rsid w:val="00454DB9"/>
    <w:rsid w:val="00454EE3"/>
    <w:rsid w:val="00455066"/>
    <w:rsid w:val="00455C3F"/>
    <w:rsid w:val="00455C8A"/>
    <w:rsid w:val="00455DDC"/>
    <w:rsid w:val="004562B1"/>
    <w:rsid w:val="00456510"/>
    <w:rsid w:val="00456613"/>
    <w:rsid w:val="0045688D"/>
    <w:rsid w:val="00456D2E"/>
    <w:rsid w:val="00456E31"/>
    <w:rsid w:val="00456E7A"/>
    <w:rsid w:val="00456F1E"/>
    <w:rsid w:val="00456FB0"/>
    <w:rsid w:val="004570CC"/>
    <w:rsid w:val="00457284"/>
    <w:rsid w:val="00457371"/>
    <w:rsid w:val="00457CCD"/>
    <w:rsid w:val="00457E14"/>
    <w:rsid w:val="00457E56"/>
    <w:rsid w:val="00457F34"/>
    <w:rsid w:val="0046061E"/>
    <w:rsid w:val="00460992"/>
    <w:rsid w:val="00460B5D"/>
    <w:rsid w:val="00461357"/>
    <w:rsid w:val="004613AB"/>
    <w:rsid w:val="0046163D"/>
    <w:rsid w:val="00461674"/>
    <w:rsid w:val="00461707"/>
    <w:rsid w:val="00461779"/>
    <w:rsid w:val="00461964"/>
    <w:rsid w:val="004620CF"/>
    <w:rsid w:val="004620EE"/>
    <w:rsid w:val="0046221D"/>
    <w:rsid w:val="00462310"/>
    <w:rsid w:val="00462490"/>
    <w:rsid w:val="0046277A"/>
    <w:rsid w:val="004629DF"/>
    <w:rsid w:val="00462C4F"/>
    <w:rsid w:val="00462D51"/>
    <w:rsid w:val="00462DF9"/>
    <w:rsid w:val="004636D2"/>
    <w:rsid w:val="004639F5"/>
    <w:rsid w:val="00463A43"/>
    <w:rsid w:val="00463A7F"/>
    <w:rsid w:val="00463D59"/>
    <w:rsid w:val="00463DAE"/>
    <w:rsid w:val="00463FAC"/>
    <w:rsid w:val="004640E0"/>
    <w:rsid w:val="00464128"/>
    <w:rsid w:val="00464386"/>
    <w:rsid w:val="00464550"/>
    <w:rsid w:val="00464607"/>
    <w:rsid w:val="00464618"/>
    <w:rsid w:val="00464B41"/>
    <w:rsid w:val="00464C25"/>
    <w:rsid w:val="004650F6"/>
    <w:rsid w:val="004651B1"/>
    <w:rsid w:val="004656A3"/>
    <w:rsid w:val="00465856"/>
    <w:rsid w:val="0046595A"/>
    <w:rsid w:val="00465B4D"/>
    <w:rsid w:val="00465F47"/>
    <w:rsid w:val="0046618C"/>
    <w:rsid w:val="00466223"/>
    <w:rsid w:val="00466318"/>
    <w:rsid w:val="004664BC"/>
    <w:rsid w:val="00466BF0"/>
    <w:rsid w:val="00466D31"/>
    <w:rsid w:val="004672EE"/>
    <w:rsid w:val="004675DC"/>
    <w:rsid w:val="004678C6"/>
    <w:rsid w:val="00467A6D"/>
    <w:rsid w:val="00467D2C"/>
    <w:rsid w:val="00467D51"/>
    <w:rsid w:val="00467FE9"/>
    <w:rsid w:val="00470019"/>
    <w:rsid w:val="004700D2"/>
    <w:rsid w:val="004701BD"/>
    <w:rsid w:val="00470260"/>
    <w:rsid w:val="004704B5"/>
    <w:rsid w:val="004705D5"/>
    <w:rsid w:val="0047077D"/>
    <w:rsid w:val="004708FB"/>
    <w:rsid w:val="00470B6C"/>
    <w:rsid w:val="00470CBF"/>
    <w:rsid w:val="00470ED6"/>
    <w:rsid w:val="00470FC8"/>
    <w:rsid w:val="004715ED"/>
    <w:rsid w:val="0047167C"/>
    <w:rsid w:val="0047168B"/>
    <w:rsid w:val="0047179A"/>
    <w:rsid w:val="0047199D"/>
    <w:rsid w:val="00471D6F"/>
    <w:rsid w:val="00471F90"/>
    <w:rsid w:val="0047207E"/>
    <w:rsid w:val="00472098"/>
    <w:rsid w:val="004721A2"/>
    <w:rsid w:val="00472624"/>
    <w:rsid w:val="004729D7"/>
    <w:rsid w:val="00472AD3"/>
    <w:rsid w:val="00472D27"/>
    <w:rsid w:val="00472E94"/>
    <w:rsid w:val="00472F4A"/>
    <w:rsid w:val="00473421"/>
    <w:rsid w:val="00473AE7"/>
    <w:rsid w:val="00473C12"/>
    <w:rsid w:val="00473D6B"/>
    <w:rsid w:val="00474177"/>
    <w:rsid w:val="004744AE"/>
    <w:rsid w:val="004746EB"/>
    <w:rsid w:val="00474743"/>
    <w:rsid w:val="00474862"/>
    <w:rsid w:val="00474E3B"/>
    <w:rsid w:val="0047513C"/>
    <w:rsid w:val="00475327"/>
    <w:rsid w:val="00475467"/>
    <w:rsid w:val="00475801"/>
    <w:rsid w:val="0047596B"/>
    <w:rsid w:val="00475E06"/>
    <w:rsid w:val="00475F68"/>
    <w:rsid w:val="00475FBD"/>
    <w:rsid w:val="004765CA"/>
    <w:rsid w:val="00476830"/>
    <w:rsid w:val="00476C29"/>
    <w:rsid w:val="00477394"/>
    <w:rsid w:val="004774A8"/>
    <w:rsid w:val="0047786C"/>
    <w:rsid w:val="00477CF8"/>
    <w:rsid w:val="00477E56"/>
    <w:rsid w:val="00480325"/>
    <w:rsid w:val="00480407"/>
    <w:rsid w:val="004805CE"/>
    <w:rsid w:val="0048067D"/>
    <w:rsid w:val="004807B1"/>
    <w:rsid w:val="0048097A"/>
    <w:rsid w:val="00480BC0"/>
    <w:rsid w:val="00480C6E"/>
    <w:rsid w:val="00480FF2"/>
    <w:rsid w:val="004812BE"/>
    <w:rsid w:val="00481302"/>
    <w:rsid w:val="00481306"/>
    <w:rsid w:val="00481539"/>
    <w:rsid w:val="004819AE"/>
    <w:rsid w:val="004819ED"/>
    <w:rsid w:val="00481CC4"/>
    <w:rsid w:val="00481D42"/>
    <w:rsid w:val="00481DAD"/>
    <w:rsid w:val="0048205A"/>
    <w:rsid w:val="0048222E"/>
    <w:rsid w:val="0048251C"/>
    <w:rsid w:val="004827F3"/>
    <w:rsid w:val="00482AE1"/>
    <w:rsid w:val="00483537"/>
    <w:rsid w:val="0048366F"/>
    <w:rsid w:val="00483A6E"/>
    <w:rsid w:val="00483AA0"/>
    <w:rsid w:val="00483B87"/>
    <w:rsid w:val="00483B9F"/>
    <w:rsid w:val="00483DB0"/>
    <w:rsid w:val="00483EA5"/>
    <w:rsid w:val="00484090"/>
    <w:rsid w:val="004841BD"/>
    <w:rsid w:val="00484549"/>
    <w:rsid w:val="00484592"/>
    <w:rsid w:val="004846B4"/>
    <w:rsid w:val="00484912"/>
    <w:rsid w:val="00484E66"/>
    <w:rsid w:val="004850B2"/>
    <w:rsid w:val="004850E3"/>
    <w:rsid w:val="0048527E"/>
    <w:rsid w:val="004853CA"/>
    <w:rsid w:val="004853DE"/>
    <w:rsid w:val="00485429"/>
    <w:rsid w:val="004855E5"/>
    <w:rsid w:val="00485663"/>
    <w:rsid w:val="00485843"/>
    <w:rsid w:val="00485ACA"/>
    <w:rsid w:val="00485C90"/>
    <w:rsid w:val="00485DC0"/>
    <w:rsid w:val="00485F81"/>
    <w:rsid w:val="00486298"/>
    <w:rsid w:val="004863EC"/>
    <w:rsid w:val="00486763"/>
    <w:rsid w:val="004868B2"/>
    <w:rsid w:val="00486A8D"/>
    <w:rsid w:val="00486AEC"/>
    <w:rsid w:val="00486C9E"/>
    <w:rsid w:val="00486DF8"/>
    <w:rsid w:val="00486F89"/>
    <w:rsid w:val="0048700B"/>
    <w:rsid w:val="00487278"/>
    <w:rsid w:val="00487424"/>
    <w:rsid w:val="00487874"/>
    <w:rsid w:val="00487BAA"/>
    <w:rsid w:val="00487BC1"/>
    <w:rsid w:val="00487BED"/>
    <w:rsid w:val="00487F1B"/>
    <w:rsid w:val="00487F91"/>
    <w:rsid w:val="00487FA6"/>
    <w:rsid w:val="004904D4"/>
    <w:rsid w:val="004904EC"/>
    <w:rsid w:val="004905A6"/>
    <w:rsid w:val="00490846"/>
    <w:rsid w:val="0049090F"/>
    <w:rsid w:val="00490DBC"/>
    <w:rsid w:val="00491384"/>
    <w:rsid w:val="00491426"/>
    <w:rsid w:val="00491467"/>
    <w:rsid w:val="00491821"/>
    <w:rsid w:val="00491878"/>
    <w:rsid w:val="00491898"/>
    <w:rsid w:val="00491B52"/>
    <w:rsid w:val="00491E3E"/>
    <w:rsid w:val="00491F2D"/>
    <w:rsid w:val="0049238E"/>
    <w:rsid w:val="004923BE"/>
    <w:rsid w:val="004923C2"/>
    <w:rsid w:val="00492460"/>
    <w:rsid w:val="00492797"/>
    <w:rsid w:val="00492A95"/>
    <w:rsid w:val="00492B72"/>
    <w:rsid w:val="00492FAB"/>
    <w:rsid w:val="0049306C"/>
    <w:rsid w:val="004930A3"/>
    <w:rsid w:val="004934FF"/>
    <w:rsid w:val="00493678"/>
    <w:rsid w:val="00493AC9"/>
    <w:rsid w:val="00493B34"/>
    <w:rsid w:val="00493D56"/>
    <w:rsid w:val="004940F5"/>
    <w:rsid w:val="00494128"/>
    <w:rsid w:val="00494208"/>
    <w:rsid w:val="004946D9"/>
    <w:rsid w:val="004949A7"/>
    <w:rsid w:val="00494B1C"/>
    <w:rsid w:val="00494C16"/>
    <w:rsid w:val="00495264"/>
    <w:rsid w:val="00495443"/>
    <w:rsid w:val="00495444"/>
    <w:rsid w:val="00495490"/>
    <w:rsid w:val="004956ED"/>
    <w:rsid w:val="004959F0"/>
    <w:rsid w:val="00495C52"/>
    <w:rsid w:val="00495E29"/>
    <w:rsid w:val="00495FE9"/>
    <w:rsid w:val="004961DF"/>
    <w:rsid w:val="0049647D"/>
    <w:rsid w:val="00496675"/>
    <w:rsid w:val="004968A8"/>
    <w:rsid w:val="00496ACA"/>
    <w:rsid w:val="00496B4B"/>
    <w:rsid w:val="00496B53"/>
    <w:rsid w:val="00496C49"/>
    <w:rsid w:val="00496D7F"/>
    <w:rsid w:val="0049746A"/>
    <w:rsid w:val="004978ED"/>
    <w:rsid w:val="0049791B"/>
    <w:rsid w:val="00497988"/>
    <w:rsid w:val="00497C38"/>
    <w:rsid w:val="00497E3A"/>
    <w:rsid w:val="00497E67"/>
    <w:rsid w:val="00497F07"/>
    <w:rsid w:val="00497F5B"/>
    <w:rsid w:val="004A0306"/>
    <w:rsid w:val="004A0651"/>
    <w:rsid w:val="004A0792"/>
    <w:rsid w:val="004A087F"/>
    <w:rsid w:val="004A0AFD"/>
    <w:rsid w:val="004A0B99"/>
    <w:rsid w:val="004A0D1C"/>
    <w:rsid w:val="004A128B"/>
    <w:rsid w:val="004A1328"/>
    <w:rsid w:val="004A1457"/>
    <w:rsid w:val="004A16C6"/>
    <w:rsid w:val="004A1711"/>
    <w:rsid w:val="004A1785"/>
    <w:rsid w:val="004A19A0"/>
    <w:rsid w:val="004A1E3A"/>
    <w:rsid w:val="004A24F7"/>
    <w:rsid w:val="004A2A28"/>
    <w:rsid w:val="004A2C1A"/>
    <w:rsid w:val="004A2C6A"/>
    <w:rsid w:val="004A2CE3"/>
    <w:rsid w:val="004A2E99"/>
    <w:rsid w:val="004A36D5"/>
    <w:rsid w:val="004A37DF"/>
    <w:rsid w:val="004A3927"/>
    <w:rsid w:val="004A3ACB"/>
    <w:rsid w:val="004A40DC"/>
    <w:rsid w:val="004A4258"/>
    <w:rsid w:val="004A443F"/>
    <w:rsid w:val="004A48A4"/>
    <w:rsid w:val="004A4997"/>
    <w:rsid w:val="004A49AE"/>
    <w:rsid w:val="004A49D3"/>
    <w:rsid w:val="004A4A80"/>
    <w:rsid w:val="004A4CE6"/>
    <w:rsid w:val="004A4F04"/>
    <w:rsid w:val="004A5105"/>
    <w:rsid w:val="004A5153"/>
    <w:rsid w:val="004A53D6"/>
    <w:rsid w:val="004A54BF"/>
    <w:rsid w:val="004A5A37"/>
    <w:rsid w:val="004A5B02"/>
    <w:rsid w:val="004A5D50"/>
    <w:rsid w:val="004A5F26"/>
    <w:rsid w:val="004A60C7"/>
    <w:rsid w:val="004A62B2"/>
    <w:rsid w:val="004A6587"/>
    <w:rsid w:val="004A68B9"/>
    <w:rsid w:val="004A6969"/>
    <w:rsid w:val="004A6AD8"/>
    <w:rsid w:val="004A6B37"/>
    <w:rsid w:val="004A7035"/>
    <w:rsid w:val="004A73E7"/>
    <w:rsid w:val="004A7446"/>
    <w:rsid w:val="004A74A9"/>
    <w:rsid w:val="004A7696"/>
    <w:rsid w:val="004A76E3"/>
    <w:rsid w:val="004A7A33"/>
    <w:rsid w:val="004A7A96"/>
    <w:rsid w:val="004A7BCC"/>
    <w:rsid w:val="004A7C58"/>
    <w:rsid w:val="004A7D50"/>
    <w:rsid w:val="004A7DCA"/>
    <w:rsid w:val="004A7F29"/>
    <w:rsid w:val="004B060D"/>
    <w:rsid w:val="004B0C43"/>
    <w:rsid w:val="004B13EB"/>
    <w:rsid w:val="004B1639"/>
    <w:rsid w:val="004B1753"/>
    <w:rsid w:val="004B1ABF"/>
    <w:rsid w:val="004B1D25"/>
    <w:rsid w:val="004B1D55"/>
    <w:rsid w:val="004B20FB"/>
    <w:rsid w:val="004B2208"/>
    <w:rsid w:val="004B25DD"/>
    <w:rsid w:val="004B28A9"/>
    <w:rsid w:val="004B2A1A"/>
    <w:rsid w:val="004B2A25"/>
    <w:rsid w:val="004B2B11"/>
    <w:rsid w:val="004B2BB3"/>
    <w:rsid w:val="004B2D21"/>
    <w:rsid w:val="004B2D3B"/>
    <w:rsid w:val="004B330D"/>
    <w:rsid w:val="004B3400"/>
    <w:rsid w:val="004B3489"/>
    <w:rsid w:val="004B3723"/>
    <w:rsid w:val="004B3766"/>
    <w:rsid w:val="004B376C"/>
    <w:rsid w:val="004B3803"/>
    <w:rsid w:val="004B3912"/>
    <w:rsid w:val="004B3962"/>
    <w:rsid w:val="004B3AF1"/>
    <w:rsid w:val="004B3B16"/>
    <w:rsid w:val="004B3C5B"/>
    <w:rsid w:val="004B3C78"/>
    <w:rsid w:val="004B3C93"/>
    <w:rsid w:val="004B46DE"/>
    <w:rsid w:val="004B4737"/>
    <w:rsid w:val="004B4AAF"/>
    <w:rsid w:val="004B4B5E"/>
    <w:rsid w:val="004B4F5D"/>
    <w:rsid w:val="004B51B9"/>
    <w:rsid w:val="004B5220"/>
    <w:rsid w:val="004B52C7"/>
    <w:rsid w:val="004B55C6"/>
    <w:rsid w:val="004B5693"/>
    <w:rsid w:val="004B5696"/>
    <w:rsid w:val="004B5737"/>
    <w:rsid w:val="004B5B9A"/>
    <w:rsid w:val="004B6081"/>
    <w:rsid w:val="004B6118"/>
    <w:rsid w:val="004B640A"/>
    <w:rsid w:val="004B692B"/>
    <w:rsid w:val="004B6D75"/>
    <w:rsid w:val="004B6E76"/>
    <w:rsid w:val="004B6FF7"/>
    <w:rsid w:val="004B7015"/>
    <w:rsid w:val="004B71FB"/>
    <w:rsid w:val="004B7223"/>
    <w:rsid w:val="004B763D"/>
    <w:rsid w:val="004B7758"/>
    <w:rsid w:val="004B7888"/>
    <w:rsid w:val="004B78F1"/>
    <w:rsid w:val="004B7939"/>
    <w:rsid w:val="004B796F"/>
    <w:rsid w:val="004B7A63"/>
    <w:rsid w:val="004B7B57"/>
    <w:rsid w:val="004C02F1"/>
    <w:rsid w:val="004C0798"/>
    <w:rsid w:val="004C0B81"/>
    <w:rsid w:val="004C0C41"/>
    <w:rsid w:val="004C0CC8"/>
    <w:rsid w:val="004C0F31"/>
    <w:rsid w:val="004C12C7"/>
    <w:rsid w:val="004C17FD"/>
    <w:rsid w:val="004C1BE6"/>
    <w:rsid w:val="004C1CEE"/>
    <w:rsid w:val="004C1D55"/>
    <w:rsid w:val="004C1EC3"/>
    <w:rsid w:val="004C2030"/>
    <w:rsid w:val="004C21A2"/>
    <w:rsid w:val="004C2252"/>
    <w:rsid w:val="004C27E6"/>
    <w:rsid w:val="004C290D"/>
    <w:rsid w:val="004C2B73"/>
    <w:rsid w:val="004C2C7E"/>
    <w:rsid w:val="004C2D7B"/>
    <w:rsid w:val="004C3050"/>
    <w:rsid w:val="004C31C5"/>
    <w:rsid w:val="004C32FB"/>
    <w:rsid w:val="004C33E1"/>
    <w:rsid w:val="004C34A8"/>
    <w:rsid w:val="004C3616"/>
    <w:rsid w:val="004C3682"/>
    <w:rsid w:val="004C3742"/>
    <w:rsid w:val="004C3762"/>
    <w:rsid w:val="004C37EA"/>
    <w:rsid w:val="004C3981"/>
    <w:rsid w:val="004C3C15"/>
    <w:rsid w:val="004C4001"/>
    <w:rsid w:val="004C4139"/>
    <w:rsid w:val="004C4304"/>
    <w:rsid w:val="004C4388"/>
    <w:rsid w:val="004C43A8"/>
    <w:rsid w:val="004C43FA"/>
    <w:rsid w:val="004C445B"/>
    <w:rsid w:val="004C45EC"/>
    <w:rsid w:val="004C469B"/>
    <w:rsid w:val="004C4872"/>
    <w:rsid w:val="004C4964"/>
    <w:rsid w:val="004C4976"/>
    <w:rsid w:val="004C4C3A"/>
    <w:rsid w:val="004C4FD0"/>
    <w:rsid w:val="004C5060"/>
    <w:rsid w:val="004C5091"/>
    <w:rsid w:val="004C50F4"/>
    <w:rsid w:val="004C51A2"/>
    <w:rsid w:val="004C5B03"/>
    <w:rsid w:val="004C5BC0"/>
    <w:rsid w:val="004C5C38"/>
    <w:rsid w:val="004C5D86"/>
    <w:rsid w:val="004C5EAD"/>
    <w:rsid w:val="004C5FF9"/>
    <w:rsid w:val="004C6114"/>
    <w:rsid w:val="004C614F"/>
    <w:rsid w:val="004C634A"/>
    <w:rsid w:val="004C6621"/>
    <w:rsid w:val="004C6BB9"/>
    <w:rsid w:val="004C6ECF"/>
    <w:rsid w:val="004C6F46"/>
    <w:rsid w:val="004C6F86"/>
    <w:rsid w:val="004C7128"/>
    <w:rsid w:val="004C7830"/>
    <w:rsid w:val="004C7A20"/>
    <w:rsid w:val="004C7B2F"/>
    <w:rsid w:val="004C7BC3"/>
    <w:rsid w:val="004C7C49"/>
    <w:rsid w:val="004C7FAE"/>
    <w:rsid w:val="004D01C1"/>
    <w:rsid w:val="004D05EC"/>
    <w:rsid w:val="004D0670"/>
    <w:rsid w:val="004D06C6"/>
    <w:rsid w:val="004D0B49"/>
    <w:rsid w:val="004D0CAD"/>
    <w:rsid w:val="004D0CF8"/>
    <w:rsid w:val="004D0E2A"/>
    <w:rsid w:val="004D1210"/>
    <w:rsid w:val="004D1239"/>
    <w:rsid w:val="004D13E2"/>
    <w:rsid w:val="004D17C5"/>
    <w:rsid w:val="004D19EC"/>
    <w:rsid w:val="004D1A77"/>
    <w:rsid w:val="004D1B14"/>
    <w:rsid w:val="004D1E32"/>
    <w:rsid w:val="004D21DB"/>
    <w:rsid w:val="004D2576"/>
    <w:rsid w:val="004D2868"/>
    <w:rsid w:val="004D2872"/>
    <w:rsid w:val="004D2A78"/>
    <w:rsid w:val="004D2B67"/>
    <w:rsid w:val="004D2E4C"/>
    <w:rsid w:val="004D34CA"/>
    <w:rsid w:val="004D354D"/>
    <w:rsid w:val="004D3D00"/>
    <w:rsid w:val="004D3D68"/>
    <w:rsid w:val="004D3D6B"/>
    <w:rsid w:val="004D3E57"/>
    <w:rsid w:val="004D4013"/>
    <w:rsid w:val="004D427B"/>
    <w:rsid w:val="004D459F"/>
    <w:rsid w:val="004D46BB"/>
    <w:rsid w:val="004D47C7"/>
    <w:rsid w:val="004D4D65"/>
    <w:rsid w:val="004D4D7A"/>
    <w:rsid w:val="004D4E4A"/>
    <w:rsid w:val="004D5070"/>
    <w:rsid w:val="004D5140"/>
    <w:rsid w:val="004D5188"/>
    <w:rsid w:val="004D5247"/>
    <w:rsid w:val="004D5768"/>
    <w:rsid w:val="004D5781"/>
    <w:rsid w:val="004D5803"/>
    <w:rsid w:val="004D58A7"/>
    <w:rsid w:val="004D5B4E"/>
    <w:rsid w:val="004D5D88"/>
    <w:rsid w:val="004D5E0B"/>
    <w:rsid w:val="004D5F8B"/>
    <w:rsid w:val="004D6021"/>
    <w:rsid w:val="004D615F"/>
    <w:rsid w:val="004D67C2"/>
    <w:rsid w:val="004D68D4"/>
    <w:rsid w:val="004D6905"/>
    <w:rsid w:val="004D6EC6"/>
    <w:rsid w:val="004D731F"/>
    <w:rsid w:val="004D75ED"/>
    <w:rsid w:val="004D77E0"/>
    <w:rsid w:val="004D7984"/>
    <w:rsid w:val="004D7F37"/>
    <w:rsid w:val="004E03B3"/>
    <w:rsid w:val="004E03D3"/>
    <w:rsid w:val="004E04D2"/>
    <w:rsid w:val="004E0504"/>
    <w:rsid w:val="004E0578"/>
    <w:rsid w:val="004E0644"/>
    <w:rsid w:val="004E0882"/>
    <w:rsid w:val="004E088A"/>
    <w:rsid w:val="004E0A0F"/>
    <w:rsid w:val="004E0A9A"/>
    <w:rsid w:val="004E0A9F"/>
    <w:rsid w:val="004E0B90"/>
    <w:rsid w:val="004E0EFA"/>
    <w:rsid w:val="004E0F83"/>
    <w:rsid w:val="004E14F5"/>
    <w:rsid w:val="004E1783"/>
    <w:rsid w:val="004E18AD"/>
    <w:rsid w:val="004E1DBA"/>
    <w:rsid w:val="004E1DC4"/>
    <w:rsid w:val="004E1E02"/>
    <w:rsid w:val="004E23A6"/>
    <w:rsid w:val="004E24C2"/>
    <w:rsid w:val="004E251C"/>
    <w:rsid w:val="004E26C8"/>
    <w:rsid w:val="004E27E4"/>
    <w:rsid w:val="004E2D49"/>
    <w:rsid w:val="004E2D57"/>
    <w:rsid w:val="004E2D97"/>
    <w:rsid w:val="004E3024"/>
    <w:rsid w:val="004E323A"/>
    <w:rsid w:val="004E3275"/>
    <w:rsid w:val="004E32EA"/>
    <w:rsid w:val="004E32F9"/>
    <w:rsid w:val="004E3934"/>
    <w:rsid w:val="004E41E6"/>
    <w:rsid w:val="004E434B"/>
    <w:rsid w:val="004E4534"/>
    <w:rsid w:val="004E47FA"/>
    <w:rsid w:val="004E48A4"/>
    <w:rsid w:val="004E4971"/>
    <w:rsid w:val="004E4FD8"/>
    <w:rsid w:val="004E5965"/>
    <w:rsid w:val="004E5AE1"/>
    <w:rsid w:val="004E5BEB"/>
    <w:rsid w:val="004E5C45"/>
    <w:rsid w:val="004E5CD6"/>
    <w:rsid w:val="004E5F0E"/>
    <w:rsid w:val="004E60D0"/>
    <w:rsid w:val="004E6588"/>
    <w:rsid w:val="004E65E9"/>
    <w:rsid w:val="004E6A67"/>
    <w:rsid w:val="004E7100"/>
    <w:rsid w:val="004E7162"/>
    <w:rsid w:val="004E746C"/>
    <w:rsid w:val="004E759B"/>
    <w:rsid w:val="004E7817"/>
    <w:rsid w:val="004E78C2"/>
    <w:rsid w:val="004E7A55"/>
    <w:rsid w:val="004E7AE4"/>
    <w:rsid w:val="004E7BB7"/>
    <w:rsid w:val="004E7BED"/>
    <w:rsid w:val="004E7D2D"/>
    <w:rsid w:val="004E7E56"/>
    <w:rsid w:val="004E7E60"/>
    <w:rsid w:val="004E7E8D"/>
    <w:rsid w:val="004F045C"/>
    <w:rsid w:val="004F05C5"/>
    <w:rsid w:val="004F0650"/>
    <w:rsid w:val="004F0816"/>
    <w:rsid w:val="004F098D"/>
    <w:rsid w:val="004F0FA2"/>
    <w:rsid w:val="004F1076"/>
    <w:rsid w:val="004F13DF"/>
    <w:rsid w:val="004F176C"/>
    <w:rsid w:val="004F1AC3"/>
    <w:rsid w:val="004F1AE6"/>
    <w:rsid w:val="004F1B3C"/>
    <w:rsid w:val="004F1C3C"/>
    <w:rsid w:val="004F1D8F"/>
    <w:rsid w:val="004F1FA1"/>
    <w:rsid w:val="004F200F"/>
    <w:rsid w:val="004F2035"/>
    <w:rsid w:val="004F20CA"/>
    <w:rsid w:val="004F20FB"/>
    <w:rsid w:val="004F21EC"/>
    <w:rsid w:val="004F2241"/>
    <w:rsid w:val="004F230B"/>
    <w:rsid w:val="004F23B0"/>
    <w:rsid w:val="004F242E"/>
    <w:rsid w:val="004F24AB"/>
    <w:rsid w:val="004F2617"/>
    <w:rsid w:val="004F26F2"/>
    <w:rsid w:val="004F28CC"/>
    <w:rsid w:val="004F29BD"/>
    <w:rsid w:val="004F29C0"/>
    <w:rsid w:val="004F2BB1"/>
    <w:rsid w:val="004F2D38"/>
    <w:rsid w:val="004F2E45"/>
    <w:rsid w:val="004F2F98"/>
    <w:rsid w:val="004F34E3"/>
    <w:rsid w:val="004F3639"/>
    <w:rsid w:val="004F395A"/>
    <w:rsid w:val="004F3A0C"/>
    <w:rsid w:val="004F3B0F"/>
    <w:rsid w:val="004F3DD3"/>
    <w:rsid w:val="004F3F36"/>
    <w:rsid w:val="004F407C"/>
    <w:rsid w:val="004F4373"/>
    <w:rsid w:val="004F445F"/>
    <w:rsid w:val="004F44F3"/>
    <w:rsid w:val="004F4B51"/>
    <w:rsid w:val="004F4D0C"/>
    <w:rsid w:val="004F4DE6"/>
    <w:rsid w:val="004F4ED1"/>
    <w:rsid w:val="004F5040"/>
    <w:rsid w:val="004F52A5"/>
    <w:rsid w:val="004F542C"/>
    <w:rsid w:val="004F56B2"/>
    <w:rsid w:val="004F5750"/>
    <w:rsid w:val="004F57C2"/>
    <w:rsid w:val="004F5C7D"/>
    <w:rsid w:val="004F614F"/>
    <w:rsid w:val="004F6674"/>
    <w:rsid w:val="004F67AC"/>
    <w:rsid w:val="004F695A"/>
    <w:rsid w:val="004F6AE1"/>
    <w:rsid w:val="004F6C2E"/>
    <w:rsid w:val="004F6F6B"/>
    <w:rsid w:val="004F7102"/>
    <w:rsid w:val="004F7179"/>
    <w:rsid w:val="004F7270"/>
    <w:rsid w:val="004F72E7"/>
    <w:rsid w:val="004F75A7"/>
    <w:rsid w:val="004F76AB"/>
    <w:rsid w:val="004F77B6"/>
    <w:rsid w:val="004F77D7"/>
    <w:rsid w:val="004F7815"/>
    <w:rsid w:val="004F787E"/>
    <w:rsid w:val="004F7C30"/>
    <w:rsid w:val="004F7CBF"/>
    <w:rsid w:val="004F7F1E"/>
    <w:rsid w:val="00500270"/>
    <w:rsid w:val="00500481"/>
    <w:rsid w:val="005005A8"/>
    <w:rsid w:val="00500A64"/>
    <w:rsid w:val="00500B68"/>
    <w:rsid w:val="00500B83"/>
    <w:rsid w:val="00500BEC"/>
    <w:rsid w:val="00500C8B"/>
    <w:rsid w:val="00500CB6"/>
    <w:rsid w:val="00501250"/>
    <w:rsid w:val="005016A1"/>
    <w:rsid w:val="00501908"/>
    <w:rsid w:val="00501A80"/>
    <w:rsid w:val="00501B5D"/>
    <w:rsid w:val="00501F78"/>
    <w:rsid w:val="0050218C"/>
    <w:rsid w:val="005023C2"/>
    <w:rsid w:val="0050246C"/>
    <w:rsid w:val="005024CB"/>
    <w:rsid w:val="005027D2"/>
    <w:rsid w:val="00502CB5"/>
    <w:rsid w:val="00502CEB"/>
    <w:rsid w:val="00502D44"/>
    <w:rsid w:val="00502DF7"/>
    <w:rsid w:val="00502FA4"/>
    <w:rsid w:val="00503055"/>
    <w:rsid w:val="00503315"/>
    <w:rsid w:val="0050333C"/>
    <w:rsid w:val="005033C4"/>
    <w:rsid w:val="0050343A"/>
    <w:rsid w:val="00503887"/>
    <w:rsid w:val="005038DA"/>
    <w:rsid w:val="00503BB4"/>
    <w:rsid w:val="00503BEA"/>
    <w:rsid w:val="00503C2E"/>
    <w:rsid w:val="00503DCA"/>
    <w:rsid w:val="00503F9F"/>
    <w:rsid w:val="00504091"/>
    <w:rsid w:val="00504106"/>
    <w:rsid w:val="005044C2"/>
    <w:rsid w:val="005044D6"/>
    <w:rsid w:val="00504608"/>
    <w:rsid w:val="005047E6"/>
    <w:rsid w:val="0050490A"/>
    <w:rsid w:val="00504AAD"/>
    <w:rsid w:val="00504C74"/>
    <w:rsid w:val="00504C98"/>
    <w:rsid w:val="00504D60"/>
    <w:rsid w:val="0050544A"/>
    <w:rsid w:val="0050593B"/>
    <w:rsid w:val="00505973"/>
    <w:rsid w:val="00505CBC"/>
    <w:rsid w:val="00505F47"/>
    <w:rsid w:val="00506283"/>
    <w:rsid w:val="005064BA"/>
    <w:rsid w:val="005066D2"/>
    <w:rsid w:val="00506C03"/>
    <w:rsid w:val="00506FC4"/>
    <w:rsid w:val="005070D9"/>
    <w:rsid w:val="005075DE"/>
    <w:rsid w:val="005077BC"/>
    <w:rsid w:val="005077DE"/>
    <w:rsid w:val="0050787F"/>
    <w:rsid w:val="00507887"/>
    <w:rsid w:val="0050788D"/>
    <w:rsid w:val="00507B68"/>
    <w:rsid w:val="005102B6"/>
    <w:rsid w:val="00510521"/>
    <w:rsid w:val="005105ED"/>
    <w:rsid w:val="005109BE"/>
    <w:rsid w:val="00510AE1"/>
    <w:rsid w:val="00510B5B"/>
    <w:rsid w:val="00510EB3"/>
    <w:rsid w:val="00510F1D"/>
    <w:rsid w:val="0051111E"/>
    <w:rsid w:val="0051117D"/>
    <w:rsid w:val="005111F0"/>
    <w:rsid w:val="00511257"/>
    <w:rsid w:val="005113CD"/>
    <w:rsid w:val="00511455"/>
    <w:rsid w:val="005117AB"/>
    <w:rsid w:val="00511F4E"/>
    <w:rsid w:val="00511F7E"/>
    <w:rsid w:val="005122B8"/>
    <w:rsid w:val="00512465"/>
    <w:rsid w:val="005126A1"/>
    <w:rsid w:val="00512A32"/>
    <w:rsid w:val="00512B26"/>
    <w:rsid w:val="00512CD9"/>
    <w:rsid w:val="00513090"/>
    <w:rsid w:val="00513118"/>
    <w:rsid w:val="0051312E"/>
    <w:rsid w:val="00513781"/>
    <w:rsid w:val="005138DA"/>
    <w:rsid w:val="00513969"/>
    <w:rsid w:val="00513B85"/>
    <w:rsid w:val="00513EA2"/>
    <w:rsid w:val="00513EDD"/>
    <w:rsid w:val="00513FF9"/>
    <w:rsid w:val="00514626"/>
    <w:rsid w:val="00514B3E"/>
    <w:rsid w:val="00514BAF"/>
    <w:rsid w:val="00514BCD"/>
    <w:rsid w:val="00514ED8"/>
    <w:rsid w:val="00514F87"/>
    <w:rsid w:val="00515026"/>
    <w:rsid w:val="00515085"/>
    <w:rsid w:val="00515211"/>
    <w:rsid w:val="005152B1"/>
    <w:rsid w:val="00515471"/>
    <w:rsid w:val="00515763"/>
    <w:rsid w:val="00515AE9"/>
    <w:rsid w:val="00515B5D"/>
    <w:rsid w:val="005163BF"/>
    <w:rsid w:val="00516494"/>
    <w:rsid w:val="005164FB"/>
    <w:rsid w:val="005168AE"/>
    <w:rsid w:val="00516BA6"/>
    <w:rsid w:val="005173CA"/>
    <w:rsid w:val="005173E6"/>
    <w:rsid w:val="005175A3"/>
    <w:rsid w:val="0051794A"/>
    <w:rsid w:val="00517BF1"/>
    <w:rsid w:val="0052002C"/>
    <w:rsid w:val="00520052"/>
    <w:rsid w:val="0052040A"/>
    <w:rsid w:val="0052070D"/>
    <w:rsid w:val="005207F1"/>
    <w:rsid w:val="005207F4"/>
    <w:rsid w:val="00520AC7"/>
    <w:rsid w:val="00520CA8"/>
    <w:rsid w:val="00520CB9"/>
    <w:rsid w:val="00520EC5"/>
    <w:rsid w:val="00521223"/>
    <w:rsid w:val="00521284"/>
    <w:rsid w:val="005213B8"/>
    <w:rsid w:val="005214AD"/>
    <w:rsid w:val="0052155B"/>
    <w:rsid w:val="005219B5"/>
    <w:rsid w:val="00521C0A"/>
    <w:rsid w:val="00522317"/>
    <w:rsid w:val="00522F80"/>
    <w:rsid w:val="005230A0"/>
    <w:rsid w:val="00523179"/>
    <w:rsid w:val="005232D3"/>
    <w:rsid w:val="0052330F"/>
    <w:rsid w:val="00523396"/>
    <w:rsid w:val="0052342D"/>
    <w:rsid w:val="0052343E"/>
    <w:rsid w:val="005234CB"/>
    <w:rsid w:val="005234FA"/>
    <w:rsid w:val="0052381C"/>
    <w:rsid w:val="005238EF"/>
    <w:rsid w:val="00523C06"/>
    <w:rsid w:val="00523F56"/>
    <w:rsid w:val="00523F62"/>
    <w:rsid w:val="00523FCD"/>
    <w:rsid w:val="00524216"/>
    <w:rsid w:val="005243F7"/>
    <w:rsid w:val="00524515"/>
    <w:rsid w:val="00524656"/>
    <w:rsid w:val="0052486F"/>
    <w:rsid w:val="00524972"/>
    <w:rsid w:val="00524AC0"/>
    <w:rsid w:val="00524EF3"/>
    <w:rsid w:val="005250F4"/>
    <w:rsid w:val="005252ED"/>
    <w:rsid w:val="005254A8"/>
    <w:rsid w:val="00525506"/>
    <w:rsid w:val="005256BB"/>
    <w:rsid w:val="005257E1"/>
    <w:rsid w:val="005257EE"/>
    <w:rsid w:val="00525855"/>
    <w:rsid w:val="0052593D"/>
    <w:rsid w:val="005259E7"/>
    <w:rsid w:val="00525AFC"/>
    <w:rsid w:val="00525C61"/>
    <w:rsid w:val="00525E21"/>
    <w:rsid w:val="00526043"/>
    <w:rsid w:val="005261D3"/>
    <w:rsid w:val="00526277"/>
    <w:rsid w:val="005262A4"/>
    <w:rsid w:val="00526401"/>
    <w:rsid w:val="0052659F"/>
    <w:rsid w:val="0052667F"/>
    <w:rsid w:val="005267C8"/>
    <w:rsid w:val="00526978"/>
    <w:rsid w:val="00526A42"/>
    <w:rsid w:val="00526ABC"/>
    <w:rsid w:val="00526CDB"/>
    <w:rsid w:val="00526FF5"/>
    <w:rsid w:val="005271F0"/>
    <w:rsid w:val="00527289"/>
    <w:rsid w:val="0052734B"/>
    <w:rsid w:val="00527DF4"/>
    <w:rsid w:val="00527FEE"/>
    <w:rsid w:val="005300F2"/>
    <w:rsid w:val="00530133"/>
    <w:rsid w:val="005301C6"/>
    <w:rsid w:val="0053032A"/>
    <w:rsid w:val="005304E9"/>
    <w:rsid w:val="00530673"/>
    <w:rsid w:val="005306FC"/>
    <w:rsid w:val="0053086C"/>
    <w:rsid w:val="00530AFE"/>
    <w:rsid w:val="00530CE4"/>
    <w:rsid w:val="00530D42"/>
    <w:rsid w:val="00530FA2"/>
    <w:rsid w:val="00531425"/>
    <w:rsid w:val="0053160B"/>
    <w:rsid w:val="0053163E"/>
    <w:rsid w:val="005319F8"/>
    <w:rsid w:val="00531D8D"/>
    <w:rsid w:val="00531DF4"/>
    <w:rsid w:val="00531F69"/>
    <w:rsid w:val="00532110"/>
    <w:rsid w:val="0053219A"/>
    <w:rsid w:val="00532256"/>
    <w:rsid w:val="005322F9"/>
    <w:rsid w:val="005323CD"/>
    <w:rsid w:val="005329F4"/>
    <w:rsid w:val="00532E8D"/>
    <w:rsid w:val="00533742"/>
    <w:rsid w:val="00533764"/>
    <w:rsid w:val="00533787"/>
    <w:rsid w:val="005337C4"/>
    <w:rsid w:val="005337D2"/>
    <w:rsid w:val="005339FB"/>
    <w:rsid w:val="0053420F"/>
    <w:rsid w:val="005348A7"/>
    <w:rsid w:val="005348F0"/>
    <w:rsid w:val="00534B61"/>
    <w:rsid w:val="00534F7E"/>
    <w:rsid w:val="00535038"/>
    <w:rsid w:val="00535365"/>
    <w:rsid w:val="00535506"/>
    <w:rsid w:val="00535572"/>
    <w:rsid w:val="00535CAF"/>
    <w:rsid w:val="00535CBA"/>
    <w:rsid w:val="00535D44"/>
    <w:rsid w:val="00535E28"/>
    <w:rsid w:val="00536178"/>
    <w:rsid w:val="00536210"/>
    <w:rsid w:val="005366DD"/>
    <w:rsid w:val="00536755"/>
    <w:rsid w:val="005367B0"/>
    <w:rsid w:val="005367FA"/>
    <w:rsid w:val="00536854"/>
    <w:rsid w:val="00536870"/>
    <w:rsid w:val="00536B01"/>
    <w:rsid w:val="00536CFB"/>
    <w:rsid w:val="00536ECD"/>
    <w:rsid w:val="00536EF1"/>
    <w:rsid w:val="00537337"/>
    <w:rsid w:val="0053743D"/>
    <w:rsid w:val="0053765A"/>
    <w:rsid w:val="0053791D"/>
    <w:rsid w:val="00537D0B"/>
    <w:rsid w:val="00537D26"/>
    <w:rsid w:val="00537F29"/>
    <w:rsid w:val="00537FE0"/>
    <w:rsid w:val="00540126"/>
    <w:rsid w:val="005402D5"/>
    <w:rsid w:val="00540573"/>
    <w:rsid w:val="00540585"/>
    <w:rsid w:val="005406C3"/>
    <w:rsid w:val="0054072E"/>
    <w:rsid w:val="00540839"/>
    <w:rsid w:val="00540958"/>
    <w:rsid w:val="00540AF9"/>
    <w:rsid w:val="00540BD5"/>
    <w:rsid w:val="00540F6B"/>
    <w:rsid w:val="00541143"/>
    <w:rsid w:val="00541294"/>
    <w:rsid w:val="0054129E"/>
    <w:rsid w:val="0054135D"/>
    <w:rsid w:val="00541423"/>
    <w:rsid w:val="00541AE4"/>
    <w:rsid w:val="00541BE7"/>
    <w:rsid w:val="00541C99"/>
    <w:rsid w:val="00541E67"/>
    <w:rsid w:val="00541E70"/>
    <w:rsid w:val="00541F3A"/>
    <w:rsid w:val="0054202A"/>
    <w:rsid w:val="00542341"/>
    <w:rsid w:val="00542347"/>
    <w:rsid w:val="0054253B"/>
    <w:rsid w:val="00542C9C"/>
    <w:rsid w:val="005432CC"/>
    <w:rsid w:val="00543446"/>
    <w:rsid w:val="0054345C"/>
    <w:rsid w:val="00543795"/>
    <w:rsid w:val="0054386C"/>
    <w:rsid w:val="00543C71"/>
    <w:rsid w:val="00543EE4"/>
    <w:rsid w:val="0054410A"/>
    <w:rsid w:val="005441B0"/>
    <w:rsid w:val="005441F5"/>
    <w:rsid w:val="005441FD"/>
    <w:rsid w:val="00544210"/>
    <w:rsid w:val="00544257"/>
    <w:rsid w:val="00544540"/>
    <w:rsid w:val="00544715"/>
    <w:rsid w:val="005447B4"/>
    <w:rsid w:val="005447E7"/>
    <w:rsid w:val="00544928"/>
    <w:rsid w:val="00544C4D"/>
    <w:rsid w:val="00544D49"/>
    <w:rsid w:val="00544E67"/>
    <w:rsid w:val="00544FF0"/>
    <w:rsid w:val="0054500A"/>
    <w:rsid w:val="005450D1"/>
    <w:rsid w:val="00545550"/>
    <w:rsid w:val="00545691"/>
    <w:rsid w:val="005458A0"/>
    <w:rsid w:val="005458ED"/>
    <w:rsid w:val="00545AB0"/>
    <w:rsid w:val="00545E86"/>
    <w:rsid w:val="00546083"/>
    <w:rsid w:val="00546700"/>
    <w:rsid w:val="00546730"/>
    <w:rsid w:val="0054706B"/>
    <w:rsid w:val="005471D4"/>
    <w:rsid w:val="0054733F"/>
    <w:rsid w:val="00547470"/>
    <w:rsid w:val="005476F2"/>
    <w:rsid w:val="00547A73"/>
    <w:rsid w:val="00547C2A"/>
    <w:rsid w:val="00547DAE"/>
    <w:rsid w:val="00547EA1"/>
    <w:rsid w:val="00547F62"/>
    <w:rsid w:val="005500CF"/>
    <w:rsid w:val="00550373"/>
    <w:rsid w:val="00550569"/>
    <w:rsid w:val="005506FE"/>
    <w:rsid w:val="0055075F"/>
    <w:rsid w:val="005508F9"/>
    <w:rsid w:val="00550C81"/>
    <w:rsid w:val="00550CB0"/>
    <w:rsid w:val="00550CE2"/>
    <w:rsid w:val="00551003"/>
    <w:rsid w:val="005511E7"/>
    <w:rsid w:val="00551322"/>
    <w:rsid w:val="00551BB6"/>
    <w:rsid w:val="00551D2C"/>
    <w:rsid w:val="00551E0B"/>
    <w:rsid w:val="00551F0B"/>
    <w:rsid w:val="00551FAD"/>
    <w:rsid w:val="00552215"/>
    <w:rsid w:val="00552CF9"/>
    <w:rsid w:val="00552EE9"/>
    <w:rsid w:val="005531E0"/>
    <w:rsid w:val="005532C2"/>
    <w:rsid w:val="005532D0"/>
    <w:rsid w:val="0055354F"/>
    <w:rsid w:val="00553633"/>
    <w:rsid w:val="005538DA"/>
    <w:rsid w:val="00553C3C"/>
    <w:rsid w:val="0055416D"/>
    <w:rsid w:val="005542DA"/>
    <w:rsid w:val="005542F3"/>
    <w:rsid w:val="00554537"/>
    <w:rsid w:val="005545CC"/>
    <w:rsid w:val="0055467E"/>
    <w:rsid w:val="00554714"/>
    <w:rsid w:val="005547C2"/>
    <w:rsid w:val="00554CD9"/>
    <w:rsid w:val="00554D5D"/>
    <w:rsid w:val="00554E75"/>
    <w:rsid w:val="0055526A"/>
    <w:rsid w:val="0055530C"/>
    <w:rsid w:val="005557C0"/>
    <w:rsid w:val="00555C70"/>
    <w:rsid w:val="00555C8E"/>
    <w:rsid w:val="00555D9A"/>
    <w:rsid w:val="00555FB6"/>
    <w:rsid w:val="00556098"/>
    <w:rsid w:val="00556116"/>
    <w:rsid w:val="0055620B"/>
    <w:rsid w:val="00556525"/>
    <w:rsid w:val="00556589"/>
    <w:rsid w:val="005565FB"/>
    <w:rsid w:val="00556887"/>
    <w:rsid w:val="005568A7"/>
    <w:rsid w:val="00556900"/>
    <w:rsid w:val="00556A27"/>
    <w:rsid w:val="00556CA3"/>
    <w:rsid w:val="00556DB3"/>
    <w:rsid w:val="005572B3"/>
    <w:rsid w:val="00557349"/>
    <w:rsid w:val="00557385"/>
    <w:rsid w:val="00557414"/>
    <w:rsid w:val="005574AF"/>
    <w:rsid w:val="005574BD"/>
    <w:rsid w:val="0055753E"/>
    <w:rsid w:val="00557557"/>
    <w:rsid w:val="00557A41"/>
    <w:rsid w:val="00557E9B"/>
    <w:rsid w:val="00560081"/>
    <w:rsid w:val="00560099"/>
    <w:rsid w:val="00560A86"/>
    <w:rsid w:val="00560ACF"/>
    <w:rsid w:val="00560CE4"/>
    <w:rsid w:val="00560CF9"/>
    <w:rsid w:val="00561012"/>
    <w:rsid w:val="005615BC"/>
    <w:rsid w:val="005615BD"/>
    <w:rsid w:val="005615E0"/>
    <w:rsid w:val="005616EF"/>
    <w:rsid w:val="00561911"/>
    <w:rsid w:val="00561967"/>
    <w:rsid w:val="00561E28"/>
    <w:rsid w:val="00561F3C"/>
    <w:rsid w:val="00562012"/>
    <w:rsid w:val="005624BD"/>
    <w:rsid w:val="0056279E"/>
    <w:rsid w:val="00562820"/>
    <w:rsid w:val="00562840"/>
    <w:rsid w:val="005628EF"/>
    <w:rsid w:val="00562994"/>
    <w:rsid w:val="00562F3D"/>
    <w:rsid w:val="00562FAA"/>
    <w:rsid w:val="00562FBA"/>
    <w:rsid w:val="005630C7"/>
    <w:rsid w:val="00563673"/>
    <w:rsid w:val="0056370D"/>
    <w:rsid w:val="00563A49"/>
    <w:rsid w:val="00563AB1"/>
    <w:rsid w:val="00563D89"/>
    <w:rsid w:val="00563F02"/>
    <w:rsid w:val="00564018"/>
    <w:rsid w:val="0056413A"/>
    <w:rsid w:val="0056421D"/>
    <w:rsid w:val="00564275"/>
    <w:rsid w:val="00564383"/>
    <w:rsid w:val="00564542"/>
    <w:rsid w:val="005646F6"/>
    <w:rsid w:val="00564A5F"/>
    <w:rsid w:val="005652AF"/>
    <w:rsid w:val="005652B7"/>
    <w:rsid w:val="00565344"/>
    <w:rsid w:val="00565690"/>
    <w:rsid w:val="005657D1"/>
    <w:rsid w:val="005657F4"/>
    <w:rsid w:val="0056583F"/>
    <w:rsid w:val="00565AB8"/>
    <w:rsid w:val="005662DA"/>
    <w:rsid w:val="00566511"/>
    <w:rsid w:val="00566B33"/>
    <w:rsid w:val="00566F4F"/>
    <w:rsid w:val="00567294"/>
    <w:rsid w:val="00567556"/>
    <w:rsid w:val="0056781D"/>
    <w:rsid w:val="0056788C"/>
    <w:rsid w:val="00567C39"/>
    <w:rsid w:val="00567E35"/>
    <w:rsid w:val="00567F9B"/>
    <w:rsid w:val="00570286"/>
    <w:rsid w:val="005703E9"/>
    <w:rsid w:val="0057061D"/>
    <w:rsid w:val="0057075C"/>
    <w:rsid w:val="00570A3B"/>
    <w:rsid w:val="00570C0E"/>
    <w:rsid w:val="00570EE4"/>
    <w:rsid w:val="00570F1A"/>
    <w:rsid w:val="00571127"/>
    <w:rsid w:val="0057134E"/>
    <w:rsid w:val="00571362"/>
    <w:rsid w:val="005714CF"/>
    <w:rsid w:val="005714E5"/>
    <w:rsid w:val="00571679"/>
    <w:rsid w:val="00571C8F"/>
    <w:rsid w:val="00571FE2"/>
    <w:rsid w:val="005720A2"/>
    <w:rsid w:val="00572374"/>
    <w:rsid w:val="0057259C"/>
    <w:rsid w:val="00572727"/>
    <w:rsid w:val="00572931"/>
    <w:rsid w:val="00572B80"/>
    <w:rsid w:val="00572BD4"/>
    <w:rsid w:val="00572D84"/>
    <w:rsid w:val="005730CA"/>
    <w:rsid w:val="00573353"/>
    <w:rsid w:val="00573609"/>
    <w:rsid w:val="005736AE"/>
    <w:rsid w:val="00573701"/>
    <w:rsid w:val="0057402B"/>
    <w:rsid w:val="0057420E"/>
    <w:rsid w:val="00574214"/>
    <w:rsid w:val="005743FD"/>
    <w:rsid w:val="00574472"/>
    <w:rsid w:val="00574503"/>
    <w:rsid w:val="00574764"/>
    <w:rsid w:val="0057488A"/>
    <w:rsid w:val="00574C19"/>
    <w:rsid w:val="00574FF8"/>
    <w:rsid w:val="00575051"/>
    <w:rsid w:val="00575144"/>
    <w:rsid w:val="00575181"/>
    <w:rsid w:val="0057531F"/>
    <w:rsid w:val="00575413"/>
    <w:rsid w:val="0057541F"/>
    <w:rsid w:val="005755DE"/>
    <w:rsid w:val="00575947"/>
    <w:rsid w:val="00575B35"/>
    <w:rsid w:val="00575BBE"/>
    <w:rsid w:val="00575DFA"/>
    <w:rsid w:val="00575E1C"/>
    <w:rsid w:val="00575F79"/>
    <w:rsid w:val="00576047"/>
    <w:rsid w:val="00576078"/>
    <w:rsid w:val="00576399"/>
    <w:rsid w:val="005764B4"/>
    <w:rsid w:val="00576555"/>
    <w:rsid w:val="0057667C"/>
    <w:rsid w:val="00576AAD"/>
    <w:rsid w:val="00576DBA"/>
    <w:rsid w:val="00576ED1"/>
    <w:rsid w:val="005770A9"/>
    <w:rsid w:val="005775F4"/>
    <w:rsid w:val="005776D8"/>
    <w:rsid w:val="00577ADE"/>
    <w:rsid w:val="00577C2B"/>
    <w:rsid w:val="00577EE0"/>
    <w:rsid w:val="005804A8"/>
    <w:rsid w:val="005804D9"/>
    <w:rsid w:val="00580812"/>
    <w:rsid w:val="005808E9"/>
    <w:rsid w:val="00580B3E"/>
    <w:rsid w:val="00580B76"/>
    <w:rsid w:val="00580D5A"/>
    <w:rsid w:val="00580D85"/>
    <w:rsid w:val="00580F7E"/>
    <w:rsid w:val="00581586"/>
    <w:rsid w:val="005817AD"/>
    <w:rsid w:val="00581949"/>
    <w:rsid w:val="005819FB"/>
    <w:rsid w:val="00581B08"/>
    <w:rsid w:val="00581E3F"/>
    <w:rsid w:val="00581EC3"/>
    <w:rsid w:val="00582296"/>
    <w:rsid w:val="0058249C"/>
    <w:rsid w:val="005824EC"/>
    <w:rsid w:val="0058269C"/>
    <w:rsid w:val="005828F7"/>
    <w:rsid w:val="00582B71"/>
    <w:rsid w:val="00582D03"/>
    <w:rsid w:val="005834E9"/>
    <w:rsid w:val="00583574"/>
    <w:rsid w:val="0058358D"/>
    <w:rsid w:val="0058377F"/>
    <w:rsid w:val="00583AFB"/>
    <w:rsid w:val="00583B2F"/>
    <w:rsid w:val="00583B45"/>
    <w:rsid w:val="00583BFF"/>
    <w:rsid w:val="00583C4E"/>
    <w:rsid w:val="00583FC3"/>
    <w:rsid w:val="0058426E"/>
    <w:rsid w:val="005843F9"/>
    <w:rsid w:val="00584491"/>
    <w:rsid w:val="005844EA"/>
    <w:rsid w:val="0058489D"/>
    <w:rsid w:val="00584914"/>
    <w:rsid w:val="0058498D"/>
    <w:rsid w:val="00584A98"/>
    <w:rsid w:val="00584E9D"/>
    <w:rsid w:val="005850D2"/>
    <w:rsid w:val="00585254"/>
    <w:rsid w:val="00585285"/>
    <w:rsid w:val="00585393"/>
    <w:rsid w:val="005853E7"/>
    <w:rsid w:val="0058540A"/>
    <w:rsid w:val="0058547D"/>
    <w:rsid w:val="00585632"/>
    <w:rsid w:val="0058592D"/>
    <w:rsid w:val="00586060"/>
    <w:rsid w:val="00586214"/>
    <w:rsid w:val="00586240"/>
    <w:rsid w:val="00586451"/>
    <w:rsid w:val="0058647F"/>
    <w:rsid w:val="00586750"/>
    <w:rsid w:val="0058697A"/>
    <w:rsid w:val="00586AA0"/>
    <w:rsid w:val="00586DFC"/>
    <w:rsid w:val="005870B1"/>
    <w:rsid w:val="0058728D"/>
    <w:rsid w:val="00587344"/>
    <w:rsid w:val="005873EE"/>
    <w:rsid w:val="0058741B"/>
    <w:rsid w:val="0058765A"/>
    <w:rsid w:val="00587917"/>
    <w:rsid w:val="00587CBF"/>
    <w:rsid w:val="00587FF2"/>
    <w:rsid w:val="00590079"/>
    <w:rsid w:val="005903A0"/>
    <w:rsid w:val="00590FCC"/>
    <w:rsid w:val="00591120"/>
    <w:rsid w:val="0059127E"/>
    <w:rsid w:val="00591D7C"/>
    <w:rsid w:val="00591EA5"/>
    <w:rsid w:val="00592640"/>
    <w:rsid w:val="0059266C"/>
    <w:rsid w:val="00592692"/>
    <w:rsid w:val="00592851"/>
    <w:rsid w:val="005929FB"/>
    <w:rsid w:val="00592B49"/>
    <w:rsid w:val="00592C39"/>
    <w:rsid w:val="00592C67"/>
    <w:rsid w:val="00592EFA"/>
    <w:rsid w:val="00592F23"/>
    <w:rsid w:val="00592F2E"/>
    <w:rsid w:val="005930CD"/>
    <w:rsid w:val="005933F5"/>
    <w:rsid w:val="00593641"/>
    <w:rsid w:val="00593B19"/>
    <w:rsid w:val="00593CC6"/>
    <w:rsid w:val="00593E26"/>
    <w:rsid w:val="00593EED"/>
    <w:rsid w:val="005943A8"/>
    <w:rsid w:val="00594795"/>
    <w:rsid w:val="00594889"/>
    <w:rsid w:val="0059494E"/>
    <w:rsid w:val="005949F1"/>
    <w:rsid w:val="00594A54"/>
    <w:rsid w:val="00594B22"/>
    <w:rsid w:val="00594B37"/>
    <w:rsid w:val="00594B9E"/>
    <w:rsid w:val="00594BF5"/>
    <w:rsid w:val="00594D5D"/>
    <w:rsid w:val="00594DC0"/>
    <w:rsid w:val="005953A7"/>
    <w:rsid w:val="00595AA1"/>
    <w:rsid w:val="00595EFE"/>
    <w:rsid w:val="005960FF"/>
    <w:rsid w:val="005967FE"/>
    <w:rsid w:val="00596D7A"/>
    <w:rsid w:val="00596DE2"/>
    <w:rsid w:val="00597063"/>
    <w:rsid w:val="005970FF"/>
    <w:rsid w:val="00597143"/>
    <w:rsid w:val="00597385"/>
    <w:rsid w:val="005974BE"/>
    <w:rsid w:val="005976AB"/>
    <w:rsid w:val="005976D6"/>
    <w:rsid w:val="00597A74"/>
    <w:rsid w:val="00597B3C"/>
    <w:rsid w:val="00597E7A"/>
    <w:rsid w:val="00597F20"/>
    <w:rsid w:val="005A0163"/>
    <w:rsid w:val="005A0424"/>
    <w:rsid w:val="005A05D2"/>
    <w:rsid w:val="005A0819"/>
    <w:rsid w:val="005A083E"/>
    <w:rsid w:val="005A0919"/>
    <w:rsid w:val="005A0D4C"/>
    <w:rsid w:val="005A0EA2"/>
    <w:rsid w:val="005A0EE6"/>
    <w:rsid w:val="005A1249"/>
    <w:rsid w:val="005A162F"/>
    <w:rsid w:val="005A184D"/>
    <w:rsid w:val="005A1A01"/>
    <w:rsid w:val="005A1AD2"/>
    <w:rsid w:val="005A1AD5"/>
    <w:rsid w:val="005A1AF6"/>
    <w:rsid w:val="005A1DFB"/>
    <w:rsid w:val="005A1F19"/>
    <w:rsid w:val="005A1F76"/>
    <w:rsid w:val="005A204A"/>
    <w:rsid w:val="005A207A"/>
    <w:rsid w:val="005A20AB"/>
    <w:rsid w:val="005A214C"/>
    <w:rsid w:val="005A266C"/>
    <w:rsid w:val="005A26C7"/>
    <w:rsid w:val="005A2949"/>
    <w:rsid w:val="005A2B2B"/>
    <w:rsid w:val="005A2BB1"/>
    <w:rsid w:val="005A2DC4"/>
    <w:rsid w:val="005A315B"/>
    <w:rsid w:val="005A322A"/>
    <w:rsid w:val="005A3486"/>
    <w:rsid w:val="005A34C9"/>
    <w:rsid w:val="005A3552"/>
    <w:rsid w:val="005A3B13"/>
    <w:rsid w:val="005A3D0B"/>
    <w:rsid w:val="005A3E7E"/>
    <w:rsid w:val="005A42E7"/>
    <w:rsid w:val="005A4468"/>
    <w:rsid w:val="005A4522"/>
    <w:rsid w:val="005A452C"/>
    <w:rsid w:val="005A45F8"/>
    <w:rsid w:val="005A4660"/>
    <w:rsid w:val="005A47A7"/>
    <w:rsid w:val="005A485B"/>
    <w:rsid w:val="005A4B36"/>
    <w:rsid w:val="005A4BF6"/>
    <w:rsid w:val="005A519E"/>
    <w:rsid w:val="005A548A"/>
    <w:rsid w:val="005A553F"/>
    <w:rsid w:val="005A55F6"/>
    <w:rsid w:val="005A580F"/>
    <w:rsid w:val="005A5D4A"/>
    <w:rsid w:val="005A600E"/>
    <w:rsid w:val="005A635A"/>
    <w:rsid w:val="005A63D8"/>
    <w:rsid w:val="005A6432"/>
    <w:rsid w:val="005A677F"/>
    <w:rsid w:val="005A685A"/>
    <w:rsid w:val="005A6D99"/>
    <w:rsid w:val="005A783C"/>
    <w:rsid w:val="005A7BED"/>
    <w:rsid w:val="005A7DD5"/>
    <w:rsid w:val="005A7DEF"/>
    <w:rsid w:val="005A7EAA"/>
    <w:rsid w:val="005A7F46"/>
    <w:rsid w:val="005B0018"/>
    <w:rsid w:val="005B0038"/>
    <w:rsid w:val="005B00DB"/>
    <w:rsid w:val="005B00E4"/>
    <w:rsid w:val="005B040F"/>
    <w:rsid w:val="005B0670"/>
    <w:rsid w:val="005B08B5"/>
    <w:rsid w:val="005B0912"/>
    <w:rsid w:val="005B0960"/>
    <w:rsid w:val="005B09CE"/>
    <w:rsid w:val="005B0CF0"/>
    <w:rsid w:val="005B0D35"/>
    <w:rsid w:val="005B0DCA"/>
    <w:rsid w:val="005B0DDD"/>
    <w:rsid w:val="005B0F93"/>
    <w:rsid w:val="005B12A8"/>
    <w:rsid w:val="005B141E"/>
    <w:rsid w:val="005B16E9"/>
    <w:rsid w:val="005B1861"/>
    <w:rsid w:val="005B189B"/>
    <w:rsid w:val="005B1952"/>
    <w:rsid w:val="005B1A4A"/>
    <w:rsid w:val="005B1B68"/>
    <w:rsid w:val="005B1B8A"/>
    <w:rsid w:val="005B2071"/>
    <w:rsid w:val="005B2522"/>
    <w:rsid w:val="005B29BC"/>
    <w:rsid w:val="005B2E55"/>
    <w:rsid w:val="005B2FF9"/>
    <w:rsid w:val="005B3018"/>
    <w:rsid w:val="005B304F"/>
    <w:rsid w:val="005B32EC"/>
    <w:rsid w:val="005B3408"/>
    <w:rsid w:val="005B3425"/>
    <w:rsid w:val="005B397D"/>
    <w:rsid w:val="005B3BD1"/>
    <w:rsid w:val="005B41A2"/>
    <w:rsid w:val="005B4355"/>
    <w:rsid w:val="005B48DA"/>
    <w:rsid w:val="005B4ABE"/>
    <w:rsid w:val="005B4B0D"/>
    <w:rsid w:val="005B4E18"/>
    <w:rsid w:val="005B4ECB"/>
    <w:rsid w:val="005B51E0"/>
    <w:rsid w:val="005B5214"/>
    <w:rsid w:val="005B5312"/>
    <w:rsid w:val="005B532E"/>
    <w:rsid w:val="005B53CE"/>
    <w:rsid w:val="005B540F"/>
    <w:rsid w:val="005B55D1"/>
    <w:rsid w:val="005B57AA"/>
    <w:rsid w:val="005B5937"/>
    <w:rsid w:val="005B5F39"/>
    <w:rsid w:val="005B6480"/>
    <w:rsid w:val="005B682E"/>
    <w:rsid w:val="005B68E1"/>
    <w:rsid w:val="005B69A4"/>
    <w:rsid w:val="005B6D54"/>
    <w:rsid w:val="005B714D"/>
    <w:rsid w:val="005B71F6"/>
    <w:rsid w:val="005B743C"/>
    <w:rsid w:val="005B74CA"/>
    <w:rsid w:val="005B7545"/>
    <w:rsid w:val="005B76AB"/>
    <w:rsid w:val="005B7961"/>
    <w:rsid w:val="005B7B3B"/>
    <w:rsid w:val="005B7CEB"/>
    <w:rsid w:val="005B7D64"/>
    <w:rsid w:val="005B7E1A"/>
    <w:rsid w:val="005B7F04"/>
    <w:rsid w:val="005C0098"/>
    <w:rsid w:val="005C009C"/>
    <w:rsid w:val="005C04F5"/>
    <w:rsid w:val="005C0897"/>
    <w:rsid w:val="005C08EA"/>
    <w:rsid w:val="005C0A1B"/>
    <w:rsid w:val="005C0D1A"/>
    <w:rsid w:val="005C0DA0"/>
    <w:rsid w:val="005C0FDF"/>
    <w:rsid w:val="005C1165"/>
    <w:rsid w:val="005C130B"/>
    <w:rsid w:val="005C1AE2"/>
    <w:rsid w:val="005C1BFC"/>
    <w:rsid w:val="005C1C81"/>
    <w:rsid w:val="005C1C99"/>
    <w:rsid w:val="005C1E0C"/>
    <w:rsid w:val="005C2441"/>
    <w:rsid w:val="005C24AB"/>
    <w:rsid w:val="005C2531"/>
    <w:rsid w:val="005C2654"/>
    <w:rsid w:val="005C26DC"/>
    <w:rsid w:val="005C2726"/>
    <w:rsid w:val="005C2C30"/>
    <w:rsid w:val="005C2C51"/>
    <w:rsid w:val="005C2E8F"/>
    <w:rsid w:val="005C3041"/>
    <w:rsid w:val="005C31AE"/>
    <w:rsid w:val="005C3322"/>
    <w:rsid w:val="005C3462"/>
    <w:rsid w:val="005C375D"/>
    <w:rsid w:val="005C3981"/>
    <w:rsid w:val="005C39B0"/>
    <w:rsid w:val="005C3C58"/>
    <w:rsid w:val="005C41B5"/>
    <w:rsid w:val="005C4209"/>
    <w:rsid w:val="005C428D"/>
    <w:rsid w:val="005C4324"/>
    <w:rsid w:val="005C4525"/>
    <w:rsid w:val="005C4B75"/>
    <w:rsid w:val="005C4F23"/>
    <w:rsid w:val="005C5097"/>
    <w:rsid w:val="005C5127"/>
    <w:rsid w:val="005C5155"/>
    <w:rsid w:val="005C5156"/>
    <w:rsid w:val="005C597B"/>
    <w:rsid w:val="005C5A01"/>
    <w:rsid w:val="005C5FBF"/>
    <w:rsid w:val="005C5FE1"/>
    <w:rsid w:val="005C6074"/>
    <w:rsid w:val="005C62F9"/>
    <w:rsid w:val="005C684D"/>
    <w:rsid w:val="005C68AC"/>
    <w:rsid w:val="005C69AA"/>
    <w:rsid w:val="005C69D2"/>
    <w:rsid w:val="005C6B8C"/>
    <w:rsid w:val="005C6BD6"/>
    <w:rsid w:val="005C6BDC"/>
    <w:rsid w:val="005C7201"/>
    <w:rsid w:val="005C780B"/>
    <w:rsid w:val="005C788F"/>
    <w:rsid w:val="005C7B2E"/>
    <w:rsid w:val="005D0107"/>
    <w:rsid w:val="005D0198"/>
    <w:rsid w:val="005D0199"/>
    <w:rsid w:val="005D01A6"/>
    <w:rsid w:val="005D01E5"/>
    <w:rsid w:val="005D03B7"/>
    <w:rsid w:val="005D0C03"/>
    <w:rsid w:val="005D0CBD"/>
    <w:rsid w:val="005D0DBC"/>
    <w:rsid w:val="005D0FCD"/>
    <w:rsid w:val="005D1340"/>
    <w:rsid w:val="005D1420"/>
    <w:rsid w:val="005D154A"/>
    <w:rsid w:val="005D15CD"/>
    <w:rsid w:val="005D1CCB"/>
    <w:rsid w:val="005D1FE9"/>
    <w:rsid w:val="005D20DC"/>
    <w:rsid w:val="005D23E5"/>
    <w:rsid w:val="005D253D"/>
    <w:rsid w:val="005D2BD1"/>
    <w:rsid w:val="005D2F1A"/>
    <w:rsid w:val="005D3258"/>
    <w:rsid w:val="005D346A"/>
    <w:rsid w:val="005D370E"/>
    <w:rsid w:val="005D37D3"/>
    <w:rsid w:val="005D3F89"/>
    <w:rsid w:val="005D42CA"/>
    <w:rsid w:val="005D42F4"/>
    <w:rsid w:val="005D44BE"/>
    <w:rsid w:val="005D44F2"/>
    <w:rsid w:val="005D497A"/>
    <w:rsid w:val="005D4A17"/>
    <w:rsid w:val="005D4B35"/>
    <w:rsid w:val="005D51AB"/>
    <w:rsid w:val="005D555A"/>
    <w:rsid w:val="005D5629"/>
    <w:rsid w:val="005D58C0"/>
    <w:rsid w:val="005D58D5"/>
    <w:rsid w:val="005D5A79"/>
    <w:rsid w:val="005D5BF1"/>
    <w:rsid w:val="005D5C80"/>
    <w:rsid w:val="005D5D0A"/>
    <w:rsid w:val="005D6194"/>
    <w:rsid w:val="005D630A"/>
    <w:rsid w:val="005D652B"/>
    <w:rsid w:val="005D6A31"/>
    <w:rsid w:val="005D6ACE"/>
    <w:rsid w:val="005D6D13"/>
    <w:rsid w:val="005D6D8F"/>
    <w:rsid w:val="005D6E7F"/>
    <w:rsid w:val="005D6F74"/>
    <w:rsid w:val="005D75FB"/>
    <w:rsid w:val="005D770D"/>
    <w:rsid w:val="005D7847"/>
    <w:rsid w:val="005D78A5"/>
    <w:rsid w:val="005D7AEA"/>
    <w:rsid w:val="005D7C7B"/>
    <w:rsid w:val="005E0397"/>
    <w:rsid w:val="005E03FE"/>
    <w:rsid w:val="005E08A2"/>
    <w:rsid w:val="005E0A93"/>
    <w:rsid w:val="005E0D8F"/>
    <w:rsid w:val="005E0D93"/>
    <w:rsid w:val="005E0DF7"/>
    <w:rsid w:val="005E1570"/>
    <w:rsid w:val="005E166B"/>
    <w:rsid w:val="005E176A"/>
    <w:rsid w:val="005E1C38"/>
    <w:rsid w:val="005E22F2"/>
    <w:rsid w:val="005E2319"/>
    <w:rsid w:val="005E2512"/>
    <w:rsid w:val="005E260B"/>
    <w:rsid w:val="005E26DE"/>
    <w:rsid w:val="005E275A"/>
    <w:rsid w:val="005E27B6"/>
    <w:rsid w:val="005E27F2"/>
    <w:rsid w:val="005E2996"/>
    <w:rsid w:val="005E2B9E"/>
    <w:rsid w:val="005E2D40"/>
    <w:rsid w:val="005E2FB1"/>
    <w:rsid w:val="005E3057"/>
    <w:rsid w:val="005E31E5"/>
    <w:rsid w:val="005E3388"/>
    <w:rsid w:val="005E340C"/>
    <w:rsid w:val="005E3460"/>
    <w:rsid w:val="005E3503"/>
    <w:rsid w:val="005E36A4"/>
    <w:rsid w:val="005E375E"/>
    <w:rsid w:val="005E375F"/>
    <w:rsid w:val="005E3861"/>
    <w:rsid w:val="005E3963"/>
    <w:rsid w:val="005E39B4"/>
    <w:rsid w:val="005E3A7C"/>
    <w:rsid w:val="005E3B18"/>
    <w:rsid w:val="005E3B82"/>
    <w:rsid w:val="005E3E24"/>
    <w:rsid w:val="005E3FEF"/>
    <w:rsid w:val="005E419D"/>
    <w:rsid w:val="005E41ED"/>
    <w:rsid w:val="005E43BB"/>
    <w:rsid w:val="005E46A0"/>
    <w:rsid w:val="005E48C8"/>
    <w:rsid w:val="005E4CB3"/>
    <w:rsid w:val="005E4E2D"/>
    <w:rsid w:val="005E4E48"/>
    <w:rsid w:val="005E4E6B"/>
    <w:rsid w:val="005E5098"/>
    <w:rsid w:val="005E50C3"/>
    <w:rsid w:val="005E53F7"/>
    <w:rsid w:val="005E5568"/>
    <w:rsid w:val="005E55FA"/>
    <w:rsid w:val="005E5786"/>
    <w:rsid w:val="005E57A8"/>
    <w:rsid w:val="005E592D"/>
    <w:rsid w:val="005E59F9"/>
    <w:rsid w:val="005E5AE9"/>
    <w:rsid w:val="005E5CE3"/>
    <w:rsid w:val="005E5F36"/>
    <w:rsid w:val="005E6045"/>
    <w:rsid w:val="005E64A4"/>
    <w:rsid w:val="005E65ED"/>
    <w:rsid w:val="005E68F7"/>
    <w:rsid w:val="005E6AEF"/>
    <w:rsid w:val="005E6DD1"/>
    <w:rsid w:val="005E700A"/>
    <w:rsid w:val="005E7061"/>
    <w:rsid w:val="005E7100"/>
    <w:rsid w:val="005E7202"/>
    <w:rsid w:val="005E762B"/>
    <w:rsid w:val="005E7781"/>
    <w:rsid w:val="005E7790"/>
    <w:rsid w:val="005E77E6"/>
    <w:rsid w:val="005E78C1"/>
    <w:rsid w:val="005E791A"/>
    <w:rsid w:val="005E7AFE"/>
    <w:rsid w:val="005E7C45"/>
    <w:rsid w:val="005E7D83"/>
    <w:rsid w:val="005E7F0B"/>
    <w:rsid w:val="005F00BF"/>
    <w:rsid w:val="005F02E0"/>
    <w:rsid w:val="005F0450"/>
    <w:rsid w:val="005F046A"/>
    <w:rsid w:val="005F0494"/>
    <w:rsid w:val="005F06D9"/>
    <w:rsid w:val="005F0968"/>
    <w:rsid w:val="005F0A74"/>
    <w:rsid w:val="005F0F71"/>
    <w:rsid w:val="005F0F92"/>
    <w:rsid w:val="005F11D3"/>
    <w:rsid w:val="005F1203"/>
    <w:rsid w:val="005F1457"/>
    <w:rsid w:val="005F1878"/>
    <w:rsid w:val="005F1BCB"/>
    <w:rsid w:val="005F1C9A"/>
    <w:rsid w:val="005F1CA0"/>
    <w:rsid w:val="005F1EB2"/>
    <w:rsid w:val="005F1ED1"/>
    <w:rsid w:val="005F219A"/>
    <w:rsid w:val="005F24DF"/>
    <w:rsid w:val="005F24E1"/>
    <w:rsid w:val="005F27F1"/>
    <w:rsid w:val="005F2866"/>
    <w:rsid w:val="005F2870"/>
    <w:rsid w:val="005F289E"/>
    <w:rsid w:val="005F2983"/>
    <w:rsid w:val="005F2AA8"/>
    <w:rsid w:val="005F2B69"/>
    <w:rsid w:val="005F3068"/>
    <w:rsid w:val="005F3215"/>
    <w:rsid w:val="005F33EF"/>
    <w:rsid w:val="005F3AE3"/>
    <w:rsid w:val="005F3B22"/>
    <w:rsid w:val="005F40D2"/>
    <w:rsid w:val="005F4257"/>
    <w:rsid w:val="005F4389"/>
    <w:rsid w:val="005F43BE"/>
    <w:rsid w:val="005F4479"/>
    <w:rsid w:val="005F44EE"/>
    <w:rsid w:val="005F45D1"/>
    <w:rsid w:val="005F45D4"/>
    <w:rsid w:val="005F4854"/>
    <w:rsid w:val="005F49C8"/>
    <w:rsid w:val="005F4A71"/>
    <w:rsid w:val="005F4A82"/>
    <w:rsid w:val="005F4B7B"/>
    <w:rsid w:val="005F4B91"/>
    <w:rsid w:val="005F4BCA"/>
    <w:rsid w:val="005F514B"/>
    <w:rsid w:val="005F56A9"/>
    <w:rsid w:val="005F56C9"/>
    <w:rsid w:val="005F57FA"/>
    <w:rsid w:val="005F5A13"/>
    <w:rsid w:val="005F5C1D"/>
    <w:rsid w:val="005F5C9A"/>
    <w:rsid w:val="005F5D09"/>
    <w:rsid w:val="005F5D9F"/>
    <w:rsid w:val="005F60A5"/>
    <w:rsid w:val="005F6148"/>
    <w:rsid w:val="005F62A0"/>
    <w:rsid w:val="005F6507"/>
    <w:rsid w:val="005F65F9"/>
    <w:rsid w:val="005F6845"/>
    <w:rsid w:val="005F6FD1"/>
    <w:rsid w:val="005F6FD7"/>
    <w:rsid w:val="005F6FF0"/>
    <w:rsid w:val="005F71E6"/>
    <w:rsid w:val="005F73E4"/>
    <w:rsid w:val="005F74E4"/>
    <w:rsid w:val="005F7780"/>
    <w:rsid w:val="005F781C"/>
    <w:rsid w:val="005F7ABE"/>
    <w:rsid w:val="005F7CE7"/>
    <w:rsid w:val="005F7EDB"/>
    <w:rsid w:val="005F7F36"/>
    <w:rsid w:val="006004C5"/>
    <w:rsid w:val="0060071D"/>
    <w:rsid w:val="00600848"/>
    <w:rsid w:val="0060086A"/>
    <w:rsid w:val="00600A65"/>
    <w:rsid w:val="00600B93"/>
    <w:rsid w:val="00600D50"/>
    <w:rsid w:val="00600F0F"/>
    <w:rsid w:val="0060109B"/>
    <w:rsid w:val="006019CC"/>
    <w:rsid w:val="00601AF6"/>
    <w:rsid w:val="006020B2"/>
    <w:rsid w:val="00602215"/>
    <w:rsid w:val="00602398"/>
    <w:rsid w:val="006025D8"/>
    <w:rsid w:val="00602643"/>
    <w:rsid w:val="006026CF"/>
    <w:rsid w:val="006027AE"/>
    <w:rsid w:val="006027E6"/>
    <w:rsid w:val="00602840"/>
    <w:rsid w:val="00602E03"/>
    <w:rsid w:val="00602EE6"/>
    <w:rsid w:val="00603296"/>
    <w:rsid w:val="0060382D"/>
    <w:rsid w:val="0060390C"/>
    <w:rsid w:val="0060392E"/>
    <w:rsid w:val="00603A4E"/>
    <w:rsid w:val="00603B5F"/>
    <w:rsid w:val="00603BF9"/>
    <w:rsid w:val="00603C99"/>
    <w:rsid w:val="00603D2E"/>
    <w:rsid w:val="00603E3A"/>
    <w:rsid w:val="00603ECA"/>
    <w:rsid w:val="00603EE1"/>
    <w:rsid w:val="00604625"/>
    <w:rsid w:val="0060496E"/>
    <w:rsid w:val="00604AEC"/>
    <w:rsid w:val="00604CB0"/>
    <w:rsid w:val="00604E51"/>
    <w:rsid w:val="00605016"/>
    <w:rsid w:val="006051BA"/>
    <w:rsid w:val="00605253"/>
    <w:rsid w:val="00605458"/>
    <w:rsid w:val="006057C1"/>
    <w:rsid w:val="00605840"/>
    <w:rsid w:val="00605CA0"/>
    <w:rsid w:val="0060601D"/>
    <w:rsid w:val="00606264"/>
    <w:rsid w:val="00606453"/>
    <w:rsid w:val="006067C2"/>
    <w:rsid w:val="00606833"/>
    <w:rsid w:val="006069C0"/>
    <w:rsid w:val="006069C1"/>
    <w:rsid w:val="006069EB"/>
    <w:rsid w:val="00606AFD"/>
    <w:rsid w:val="00606B94"/>
    <w:rsid w:val="00606C84"/>
    <w:rsid w:val="00606DED"/>
    <w:rsid w:val="00606E4F"/>
    <w:rsid w:val="0060707E"/>
    <w:rsid w:val="00607773"/>
    <w:rsid w:val="0060784B"/>
    <w:rsid w:val="00607E66"/>
    <w:rsid w:val="00610070"/>
    <w:rsid w:val="006102C2"/>
    <w:rsid w:val="0061054A"/>
    <w:rsid w:val="006106BD"/>
    <w:rsid w:val="006108A3"/>
    <w:rsid w:val="00610BB6"/>
    <w:rsid w:val="00610E91"/>
    <w:rsid w:val="006115F2"/>
    <w:rsid w:val="0061170F"/>
    <w:rsid w:val="0061183A"/>
    <w:rsid w:val="0061187F"/>
    <w:rsid w:val="00611CD6"/>
    <w:rsid w:val="00611DF5"/>
    <w:rsid w:val="00611E91"/>
    <w:rsid w:val="006120FC"/>
    <w:rsid w:val="00612158"/>
    <w:rsid w:val="00612436"/>
    <w:rsid w:val="006127A3"/>
    <w:rsid w:val="006129DE"/>
    <w:rsid w:val="00613331"/>
    <w:rsid w:val="00613768"/>
    <w:rsid w:val="00613972"/>
    <w:rsid w:val="00613B2D"/>
    <w:rsid w:val="00614379"/>
    <w:rsid w:val="006143BD"/>
    <w:rsid w:val="00614434"/>
    <w:rsid w:val="006146A0"/>
    <w:rsid w:val="006154CF"/>
    <w:rsid w:val="006156A2"/>
    <w:rsid w:val="00615A56"/>
    <w:rsid w:val="00615B25"/>
    <w:rsid w:val="00615BB6"/>
    <w:rsid w:val="00615E42"/>
    <w:rsid w:val="0061600B"/>
    <w:rsid w:val="0061608F"/>
    <w:rsid w:val="0061622D"/>
    <w:rsid w:val="00616280"/>
    <w:rsid w:val="006166FD"/>
    <w:rsid w:val="006168DB"/>
    <w:rsid w:val="00616C60"/>
    <w:rsid w:val="006172AA"/>
    <w:rsid w:val="006173D6"/>
    <w:rsid w:val="00617708"/>
    <w:rsid w:val="00617A6D"/>
    <w:rsid w:val="00617AC0"/>
    <w:rsid w:val="00617B21"/>
    <w:rsid w:val="00617BA2"/>
    <w:rsid w:val="00617E32"/>
    <w:rsid w:val="00617EBA"/>
    <w:rsid w:val="0062018E"/>
    <w:rsid w:val="0062029B"/>
    <w:rsid w:val="00620357"/>
    <w:rsid w:val="006204F0"/>
    <w:rsid w:val="0062069A"/>
    <w:rsid w:val="006206B4"/>
    <w:rsid w:val="00620865"/>
    <w:rsid w:val="0062087E"/>
    <w:rsid w:val="00620AAD"/>
    <w:rsid w:val="00620B6F"/>
    <w:rsid w:val="00620C87"/>
    <w:rsid w:val="00620D9B"/>
    <w:rsid w:val="00620E9C"/>
    <w:rsid w:val="0062117F"/>
    <w:rsid w:val="00621248"/>
    <w:rsid w:val="006219AD"/>
    <w:rsid w:val="00621A71"/>
    <w:rsid w:val="00621ED8"/>
    <w:rsid w:val="006221AF"/>
    <w:rsid w:val="006221D0"/>
    <w:rsid w:val="0062234B"/>
    <w:rsid w:val="0062244D"/>
    <w:rsid w:val="00622529"/>
    <w:rsid w:val="006225B1"/>
    <w:rsid w:val="0062267B"/>
    <w:rsid w:val="006226F6"/>
    <w:rsid w:val="006227A8"/>
    <w:rsid w:val="006227ED"/>
    <w:rsid w:val="00622A3F"/>
    <w:rsid w:val="00622AC0"/>
    <w:rsid w:val="00622BEE"/>
    <w:rsid w:val="0062310B"/>
    <w:rsid w:val="0062355E"/>
    <w:rsid w:val="00623660"/>
    <w:rsid w:val="00623769"/>
    <w:rsid w:val="0062376A"/>
    <w:rsid w:val="006239A6"/>
    <w:rsid w:val="00623B8C"/>
    <w:rsid w:val="00623E38"/>
    <w:rsid w:val="00624086"/>
    <w:rsid w:val="00624631"/>
    <w:rsid w:val="00624DAD"/>
    <w:rsid w:val="0062504D"/>
    <w:rsid w:val="006251D4"/>
    <w:rsid w:val="0062522D"/>
    <w:rsid w:val="006253C4"/>
    <w:rsid w:val="0062551B"/>
    <w:rsid w:val="006259F7"/>
    <w:rsid w:val="00625BA5"/>
    <w:rsid w:val="00625D49"/>
    <w:rsid w:val="0062627F"/>
    <w:rsid w:val="006265B8"/>
    <w:rsid w:val="0062666B"/>
    <w:rsid w:val="00626784"/>
    <w:rsid w:val="006267B3"/>
    <w:rsid w:val="0062695F"/>
    <w:rsid w:val="00626968"/>
    <w:rsid w:val="00626F98"/>
    <w:rsid w:val="006271D8"/>
    <w:rsid w:val="006273F4"/>
    <w:rsid w:val="006275FC"/>
    <w:rsid w:val="006276CA"/>
    <w:rsid w:val="00627847"/>
    <w:rsid w:val="00627947"/>
    <w:rsid w:val="00627980"/>
    <w:rsid w:val="00627A39"/>
    <w:rsid w:val="00627B60"/>
    <w:rsid w:val="00627E98"/>
    <w:rsid w:val="00630327"/>
    <w:rsid w:val="006306A9"/>
    <w:rsid w:val="006306D4"/>
    <w:rsid w:val="006308F8"/>
    <w:rsid w:val="00630A5F"/>
    <w:rsid w:val="00630AA9"/>
    <w:rsid w:val="00630D37"/>
    <w:rsid w:val="00630D51"/>
    <w:rsid w:val="00630DF2"/>
    <w:rsid w:val="00630EEB"/>
    <w:rsid w:val="00630F07"/>
    <w:rsid w:val="00630F3C"/>
    <w:rsid w:val="00630F6A"/>
    <w:rsid w:val="0063139B"/>
    <w:rsid w:val="00631849"/>
    <w:rsid w:val="00631987"/>
    <w:rsid w:val="00631B46"/>
    <w:rsid w:val="00632048"/>
    <w:rsid w:val="006322B0"/>
    <w:rsid w:val="00632388"/>
    <w:rsid w:val="006323C7"/>
    <w:rsid w:val="00632519"/>
    <w:rsid w:val="00632C17"/>
    <w:rsid w:val="00632FCB"/>
    <w:rsid w:val="0063310B"/>
    <w:rsid w:val="006331B3"/>
    <w:rsid w:val="00633AA5"/>
    <w:rsid w:val="00633E65"/>
    <w:rsid w:val="00633EFB"/>
    <w:rsid w:val="00634077"/>
    <w:rsid w:val="006342B4"/>
    <w:rsid w:val="00634774"/>
    <w:rsid w:val="00634A44"/>
    <w:rsid w:val="00635A17"/>
    <w:rsid w:val="00635A86"/>
    <w:rsid w:val="00635B44"/>
    <w:rsid w:val="00635D1F"/>
    <w:rsid w:val="006362F7"/>
    <w:rsid w:val="006364E6"/>
    <w:rsid w:val="00636E66"/>
    <w:rsid w:val="00636F2E"/>
    <w:rsid w:val="00636FC6"/>
    <w:rsid w:val="00637084"/>
    <w:rsid w:val="006371A3"/>
    <w:rsid w:val="006379E0"/>
    <w:rsid w:val="00637A0F"/>
    <w:rsid w:val="00637AEA"/>
    <w:rsid w:val="00637BE9"/>
    <w:rsid w:val="00637F49"/>
    <w:rsid w:val="00637F54"/>
    <w:rsid w:val="00640030"/>
    <w:rsid w:val="006403DE"/>
    <w:rsid w:val="00640613"/>
    <w:rsid w:val="00640848"/>
    <w:rsid w:val="00640866"/>
    <w:rsid w:val="00640871"/>
    <w:rsid w:val="00640A20"/>
    <w:rsid w:val="00640AAD"/>
    <w:rsid w:val="00640C68"/>
    <w:rsid w:val="00641073"/>
    <w:rsid w:val="00641295"/>
    <w:rsid w:val="006413FB"/>
    <w:rsid w:val="0064168F"/>
    <w:rsid w:val="006418F0"/>
    <w:rsid w:val="00641AC9"/>
    <w:rsid w:val="00641B1C"/>
    <w:rsid w:val="00641B61"/>
    <w:rsid w:val="00641B74"/>
    <w:rsid w:val="00641BFA"/>
    <w:rsid w:val="00641CAD"/>
    <w:rsid w:val="00642045"/>
    <w:rsid w:val="0064219E"/>
    <w:rsid w:val="006421F6"/>
    <w:rsid w:val="006422DB"/>
    <w:rsid w:val="00642730"/>
    <w:rsid w:val="00642905"/>
    <w:rsid w:val="00642ED1"/>
    <w:rsid w:val="00643700"/>
    <w:rsid w:val="006437DC"/>
    <w:rsid w:val="00643A1E"/>
    <w:rsid w:val="00643E05"/>
    <w:rsid w:val="00643E38"/>
    <w:rsid w:val="006440CD"/>
    <w:rsid w:val="006440FC"/>
    <w:rsid w:val="00644108"/>
    <w:rsid w:val="0064448B"/>
    <w:rsid w:val="00644584"/>
    <w:rsid w:val="00644608"/>
    <w:rsid w:val="00644715"/>
    <w:rsid w:val="006448A1"/>
    <w:rsid w:val="0064496D"/>
    <w:rsid w:val="006449C7"/>
    <w:rsid w:val="00644C33"/>
    <w:rsid w:val="00644E20"/>
    <w:rsid w:val="00644EF4"/>
    <w:rsid w:val="006452A6"/>
    <w:rsid w:val="006455D4"/>
    <w:rsid w:val="006456B6"/>
    <w:rsid w:val="00645703"/>
    <w:rsid w:val="006457C7"/>
    <w:rsid w:val="00645A03"/>
    <w:rsid w:val="00645B26"/>
    <w:rsid w:val="00645BC6"/>
    <w:rsid w:val="00645CC8"/>
    <w:rsid w:val="00645DB2"/>
    <w:rsid w:val="00646165"/>
    <w:rsid w:val="00646D85"/>
    <w:rsid w:val="00646E94"/>
    <w:rsid w:val="00647083"/>
    <w:rsid w:val="00647490"/>
    <w:rsid w:val="00647639"/>
    <w:rsid w:val="0064771D"/>
    <w:rsid w:val="00647729"/>
    <w:rsid w:val="006477DE"/>
    <w:rsid w:val="00647801"/>
    <w:rsid w:val="00647834"/>
    <w:rsid w:val="00647B4F"/>
    <w:rsid w:val="00647D38"/>
    <w:rsid w:val="0065012A"/>
    <w:rsid w:val="006502D9"/>
    <w:rsid w:val="00650416"/>
    <w:rsid w:val="006507A2"/>
    <w:rsid w:val="006508C2"/>
    <w:rsid w:val="0065095F"/>
    <w:rsid w:val="00650B79"/>
    <w:rsid w:val="00650C2E"/>
    <w:rsid w:val="00650EAF"/>
    <w:rsid w:val="0065121C"/>
    <w:rsid w:val="006512EF"/>
    <w:rsid w:val="006513AC"/>
    <w:rsid w:val="00651463"/>
    <w:rsid w:val="006517F1"/>
    <w:rsid w:val="006518C9"/>
    <w:rsid w:val="00651996"/>
    <w:rsid w:val="00651A67"/>
    <w:rsid w:val="00651CE8"/>
    <w:rsid w:val="006520F6"/>
    <w:rsid w:val="00652107"/>
    <w:rsid w:val="00652162"/>
    <w:rsid w:val="0065233F"/>
    <w:rsid w:val="006525BF"/>
    <w:rsid w:val="006525E1"/>
    <w:rsid w:val="006526BE"/>
    <w:rsid w:val="006526CB"/>
    <w:rsid w:val="006526FD"/>
    <w:rsid w:val="006527DE"/>
    <w:rsid w:val="00652B69"/>
    <w:rsid w:val="00652BB6"/>
    <w:rsid w:val="00652E54"/>
    <w:rsid w:val="00653427"/>
    <w:rsid w:val="00653736"/>
    <w:rsid w:val="006537CC"/>
    <w:rsid w:val="006538E5"/>
    <w:rsid w:val="00653C88"/>
    <w:rsid w:val="00654C45"/>
    <w:rsid w:val="0065532B"/>
    <w:rsid w:val="006556F8"/>
    <w:rsid w:val="00655709"/>
    <w:rsid w:val="00655793"/>
    <w:rsid w:val="006558DE"/>
    <w:rsid w:val="00656807"/>
    <w:rsid w:val="006569F0"/>
    <w:rsid w:val="00656A08"/>
    <w:rsid w:val="00656EE9"/>
    <w:rsid w:val="00656F7F"/>
    <w:rsid w:val="0065706E"/>
    <w:rsid w:val="006570D6"/>
    <w:rsid w:val="00657619"/>
    <w:rsid w:val="006577AE"/>
    <w:rsid w:val="00657883"/>
    <w:rsid w:val="00657B4F"/>
    <w:rsid w:val="00657D0D"/>
    <w:rsid w:val="00657E5E"/>
    <w:rsid w:val="006601D5"/>
    <w:rsid w:val="006601E2"/>
    <w:rsid w:val="00660232"/>
    <w:rsid w:val="00660453"/>
    <w:rsid w:val="00660511"/>
    <w:rsid w:val="006605A3"/>
    <w:rsid w:val="006605F6"/>
    <w:rsid w:val="00660BA2"/>
    <w:rsid w:val="006615C1"/>
    <w:rsid w:val="0066174C"/>
    <w:rsid w:val="00661848"/>
    <w:rsid w:val="00661BAE"/>
    <w:rsid w:val="00661D8D"/>
    <w:rsid w:val="0066202E"/>
    <w:rsid w:val="00662594"/>
    <w:rsid w:val="006626B7"/>
    <w:rsid w:val="006629A0"/>
    <w:rsid w:val="00662A70"/>
    <w:rsid w:val="00662F3A"/>
    <w:rsid w:val="00662FBD"/>
    <w:rsid w:val="0066303E"/>
    <w:rsid w:val="00663097"/>
    <w:rsid w:val="00663165"/>
    <w:rsid w:val="00663346"/>
    <w:rsid w:val="00663384"/>
    <w:rsid w:val="006633A9"/>
    <w:rsid w:val="006633EA"/>
    <w:rsid w:val="006635A6"/>
    <w:rsid w:val="006635D8"/>
    <w:rsid w:val="00663628"/>
    <w:rsid w:val="0066366D"/>
    <w:rsid w:val="00663913"/>
    <w:rsid w:val="00663A6D"/>
    <w:rsid w:val="00663B48"/>
    <w:rsid w:val="00663C35"/>
    <w:rsid w:val="00663F45"/>
    <w:rsid w:val="0066420E"/>
    <w:rsid w:val="00664446"/>
    <w:rsid w:val="00664644"/>
    <w:rsid w:val="00664970"/>
    <w:rsid w:val="0066498F"/>
    <w:rsid w:val="00664A64"/>
    <w:rsid w:val="00664BA5"/>
    <w:rsid w:val="00664C56"/>
    <w:rsid w:val="00664D5C"/>
    <w:rsid w:val="00664DD2"/>
    <w:rsid w:val="00664FCB"/>
    <w:rsid w:val="00665019"/>
    <w:rsid w:val="00665386"/>
    <w:rsid w:val="0066542E"/>
    <w:rsid w:val="006654DA"/>
    <w:rsid w:val="00665631"/>
    <w:rsid w:val="00665766"/>
    <w:rsid w:val="00665A4F"/>
    <w:rsid w:val="00665A6F"/>
    <w:rsid w:val="00665AF9"/>
    <w:rsid w:val="00665B32"/>
    <w:rsid w:val="006660D0"/>
    <w:rsid w:val="00666426"/>
    <w:rsid w:val="00666903"/>
    <w:rsid w:val="00666A2F"/>
    <w:rsid w:val="00666AAA"/>
    <w:rsid w:val="00666B84"/>
    <w:rsid w:val="00666E48"/>
    <w:rsid w:val="00666F63"/>
    <w:rsid w:val="0066719A"/>
    <w:rsid w:val="00667389"/>
    <w:rsid w:val="00667505"/>
    <w:rsid w:val="00667594"/>
    <w:rsid w:val="00667C26"/>
    <w:rsid w:val="006700D4"/>
    <w:rsid w:val="006701D0"/>
    <w:rsid w:val="00670252"/>
    <w:rsid w:val="006704EA"/>
    <w:rsid w:val="006704F2"/>
    <w:rsid w:val="006705A8"/>
    <w:rsid w:val="0067077B"/>
    <w:rsid w:val="006708AB"/>
    <w:rsid w:val="00670931"/>
    <w:rsid w:val="00670EC1"/>
    <w:rsid w:val="00670F01"/>
    <w:rsid w:val="00670FC2"/>
    <w:rsid w:val="00671092"/>
    <w:rsid w:val="00671277"/>
    <w:rsid w:val="00671527"/>
    <w:rsid w:val="006716D8"/>
    <w:rsid w:val="006716E6"/>
    <w:rsid w:val="0067197C"/>
    <w:rsid w:val="006721A8"/>
    <w:rsid w:val="00672208"/>
    <w:rsid w:val="006723B2"/>
    <w:rsid w:val="006725D5"/>
    <w:rsid w:val="006725EC"/>
    <w:rsid w:val="0067268F"/>
    <w:rsid w:val="006727DF"/>
    <w:rsid w:val="00672937"/>
    <w:rsid w:val="00672E22"/>
    <w:rsid w:val="00672E5F"/>
    <w:rsid w:val="00672F88"/>
    <w:rsid w:val="006730E4"/>
    <w:rsid w:val="00673131"/>
    <w:rsid w:val="00673191"/>
    <w:rsid w:val="0067323C"/>
    <w:rsid w:val="00673527"/>
    <w:rsid w:val="006735C6"/>
    <w:rsid w:val="00673A4F"/>
    <w:rsid w:val="00673ADA"/>
    <w:rsid w:val="00673BB3"/>
    <w:rsid w:val="00673C28"/>
    <w:rsid w:val="00673DF8"/>
    <w:rsid w:val="00673F3B"/>
    <w:rsid w:val="0067407B"/>
    <w:rsid w:val="00674141"/>
    <w:rsid w:val="0067415B"/>
    <w:rsid w:val="00674193"/>
    <w:rsid w:val="0067423E"/>
    <w:rsid w:val="00674393"/>
    <w:rsid w:val="006744B6"/>
    <w:rsid w:val="0067460A"/>
    <w:rsid w:val="0067475C"/>
    <w:rsid w:val="00674764"/>
    <w:rsid w:val="00674785"/>
    <w:rsid w:val="00674860"/>
    <w:rsid w:val="006748DB"/>
    <w:rsid w:val="00674A4D"/>
    <w:rsid w:val="00674A8C"/>
    <w:rsid w:val="0067507F"/>
    <w:rsid w:val="00675231"/>
    <w:rsid w:val="00675276"/>
    <w:rsid w:val="006755B4"/>
    <w:rsid w:val="00675885"/>
    <w:rsid w:val="006758BD"/>
    <w:rsid w:val="00675990"/>
    <w:rsid w:val="00675AB1"/>
    <w:rsid w:val="00675AB6"/>
    <w:rsid w:val="00675CE9"/>
    <w:rsid w:val="00675D49"/>
    <w:rsid w:val="00676333"/>
    <w:rsid w:val="006765F0"/>
    <w:rsid w:val="0067663A"/>
    <w:rsid w:val="00676652"/>
    <w:rsid w:val="006767D9"/>
    <w:rsid w:val="00676879"/>
    <w:rsid w:val="0067687B"/>
    <w:rsid w:val="0067696D"/>
    <w:rsid w:val="0067699F"/>
    <w:rsid w:val="00676B8E"/>
    <w:rsid w:val="00676E1F"/>
    <w:rsid w:val="00676F1D"/>
    <w:rsid w:val="00676FE1"/>
    <w:rsid w:val="00677043"/>
    <w:rsid w:val="00677201"/>
    <w:rsid w:val="0067767C"/>
    <w:rsid w:val="006779C5"/>
    <w:rsid w:val="00677CF4"/>
    <w:rsid w:val="00677EA5"/>
    <w:rsid w:val="00680067"/>
    <w:rsid w:val="006800A1"/>
    <w:rsid w:val="006801DF"/>
    <w:rsid w:val="0068026D"/>
    <w:rsid w:val="0068043C"/>
    <w:rsid w:val="0068083C"/>
    <w:rsid w:val="00680B34"/>
    <w:rsid w:val="00680B3F"/>
    <w:rsid w:val="00680F29"/>
    <w:rsid w:val="00681670"/>
    <w:rsid w:val="0068176B"/>
    <w:rsid w:val="00681E41"/>
    <w:rsid w:val="006823CF"/>
    <w:rsid w:val="00682448"/>
    <w:rsid w:val="00682687"/>
    <w:rsid w:val="00682967"/>
    <w:rsid w:val="00682AC4"/>
    <w:rsid w:val="00682CA6"/>
    <w:rsid w:val="00682D5A"/>
    <w:rsid w:val="00682E59"/>
    <w:rsid w:val="006833BA"/>
    <w:rsid w:val="00683711"/>
    <w:rsid w:val="006837D6"/>
    <w:rsid w:val="00683906"/>
    <w:rsid w:val="0068392B"/>
    <w:rsid w:val="00683DD2"/>
    <w:rsid w:val="00684027"/>
    <w:rsid w:val="006840F7"/>
    <w:rsid w:val="00684181"/>
    <w:rsid w:val="006841B9"/>
    <w:rsid w:val="00684221"/>
    <w:rsid w:val="006843DC"/>
    <w:rsid w:val="00684549"/>
    <w:rsid w:val="006845CE"/>
    <w:rsid w:val="006846A1"/>
    <w:rsid w:val="0068484C"/>
    <w:rsid w:val="00684B9A"/>
    <w:rsid w:val="00684FD1"/>
    <w:rsid w:val="00685023"/>
    <w:rsid w:val="006850D1"/>
    <w:rsid w:val="0068517A"/>
    <w:rsid w:val="0068530E"/>
    <w:rsid w:val="006855A3"/>
    <w:rsid w:val="00685836"/>
    <w:rsid w:val="0068585A"/>
    <w:rsid w:val="00685866"/>
    <w:rsid w:val="00685954"/>
    <w:rsid w:val="00685955"/>
    <w:rsid w:val="006859F7"/>
    <w:rsid w:val="00685B15"/>
    <w:rsid w:val="00685CB2"/>
    <w:rsid w:val="00685F91"/>
    <w:rsid w:val="0068605C"/>
    <w:rsid w:val="00686223"/>
    <w:rsid w:val="006862B9"/>
    <w:rsid w:val="0068650C"/>
    <w:rsid w:val="00686615"/>
    <w:rsid w:val="006866F0"/>
    <w:rsid w:val="0068684B"/>
    <w:rsid w:val="00686A6F"/>
    <w:rsid w:val="00686AFF"/>
    <w:rsid w:val="00686C25"/>
    <w:rsid w:val="00686D4A"/>
    <w:rsid w:val="00686D7F"/>
    <w:rsid w:val="00686E61"/>
    <w:rsid w:val="00686ECE"/>
    <w:rsid w:val="006870F5"/>
    <w:rsid w:val="00687438"/>
    <w:rsid w:val="00687506"/>
    <w:rsid w:val="006879AE"/>
    <w:rsid w:val="006879B9"/>
    <w:rsid w:val="00687AB9"/>
    <w:rsid w:val="00687D2E"/>
    <w:rsid w:val="006906D7"/>
    <w:rsid w:val="00690DD3"/>
    <w:rsid w:val="00690EBF"/>
    <w:rsid w:val="00690F49"/>
    <w:rsid w:val="006912BD"/>
    <w:rsid w:val="006912F5"/>
    <w:rsid w:val="0069162A"/>
    <w:rsid w:val="006916AD"/>
    <w:rsid w:val="006916D6"/>
    <w:rsid w:val="00691BBB"/>
    <w:rsid w:val="00691D2A"/>
    <w:rsid w:val="00691DA8"/>
    <w:rsid w:val="00691E18"/>
    <w:rsid w:val="00692026"/>
    <w:rsid w:val="0069205F"/>
    <w:rsid w:val="0069208C"/>
    <w:rsid w:val="00692475"/>
    <w:rsid w:val="00692477"/>
    <w:rsid w:val="00692577"/>
    <w:rsid w:val="00692A98"/>
    <w:rsid w:val="00692FA1"/>
    <w:rsid w:val="0069307B"/>
    <w:rsid w:val="0069346B"/>
    <w:rsid w:val="0069359A"/>
    <w:rsid w:val="0069371E"/>
    <w:rsid w:val="0069386E"/>
    <w:rsid w:val="00693A0D"/>
    <w:rsid w:val="00693BCE"/>
    <w:rsid w:val="00693BF3"/>
    <w:rsid w:val="00693EB7"/>
    <w:rsid w:val="0069406F"/>
    <w:rsid w:val="00694149"/>
    <w:rsid w:val="0069423D"/>
    <w:rsid w:val="0069434F"/>
    <w:rsid w:val="0069440B"/>
    <w:rsid w:val="0069450A"/>
    <w:rsid w:val="00694698"/>
    <w:rsid w:val="0069490E"/>
    <w:rsid w:val="00694A8F"/>
    <w:rsid w:val="00694B95"/>
    <w:rsid w:val="00694FDF"/>
    <w:rsid w:val="00695132"/>
    <w:rsid w:val="00695A92"/>
    <w:rsid w:val="00695C41"/>
    <w:rsid w:val="00695D3C"/>
    <w:rsid w:val="00695F61"/>
    <w:rsid w:val="00696222"/>
    <w:rsid w:val="0069675B"/>
    <w:rsid w:val="0069687F"/>
    <w:rsid w:val="00696B23"/>
    <w:rsid w:val="00696B26"/>
    <w:rsid w:val="00696C09"/>
    <w:rsid w:val="006970C5"/>
    <w:rsid w:val="0069726A"/>
    <w:rsid w:val="0069738C"/>
    <w:rsid w:val="0069751E"/>
    <w:rsid w:val="006975C4"/>
    <w:rsid w:val="00697813"/>
    <w:rsid w:val="00697A3D"/>
    <w:rsid w:val="00697A65"/>
    <w:rsid w:val="00697B7B"/>
    <w:rsid w:val="00697CA8"/>
    <w:rsid w:val="00697F86"/>
    <w:rsid w:val="006A0105"/>
    <w:rsid w:val="006A036B"/>
    <w:rsid w:val="006A08D7"/>
    <w:rsid w:val="006A0950"/>
    <w:rsid w:val="006A09F0"/>
    <w:rsid w:val="006A0A80"/>
    <w:rsid w:val="006A0B77"/>
    <w:rsid w:val="006A136E"/>
    <w:rsid w:val="006A1951"/>
    <w:rsid w:val="006A1A6C"/>
    <w:rsid w:val="006A1A7F"/>
    <w:rsid w:val="006A1BE0"/>
    <w:rsid w:val="006A1C3E"/>
    <w:rsid w:val="006A1E6F"/>
    <w:rsid w:val="006A21FE"/>
    <w:rsid w:val="006A2839"/>
    <w:rsid w:val="006A28AC"/>
    <w:rsid w:val="006A2CF0"/>
    <w:rsid w:val="006A2D64"/>
    <w:rsid w:val="006A3054"/>
    <w:rsid w:val="006A34B7"/>
    <w:rsid w:val="006A35C2"/>
    <w:rsid w:val="006A378D"/>
    <w:rsid w:val="006A3A0C"/>
    <w:rsid w:val="006A41A7"/>
    <w:rsid w:val="006A41B9"/>
    <w:rsid w:val="006A43AB"/>
    <w:rsid w:val="006A44C0"/>
    <w:rsid w:val="006A450A"/>
    <w:rsid w:val="006A45F1"/>
    <w:rsid w:val="006A46E4"/>
    <w:rsid w:val="006A4DDA"/>
    <w:rsid w:val="006A4F25"/>
    <w:rsid w:val="006A4F7B"/>
    <w:rsid w:val="006A4FD0"/>
    <w:rsid w:val="006A536E"/>
    <w:rsid w:val="006A5409"/>
    <w:rsid w:val="006A56A6"/>
    <w:rsid w:val="006A596A"/>
    <w:rsid w:val="006A5A45"/>
    <w:rsid w:val="006A5BAB"/>
    <w:rsid w:val="006A5D26"/>
    <w:rsid w:val="006A5FAA"/>
    <w:rsid w:val="006A622E"/>
    <w:rsid w:val="006A6287"/>
    <w:rsid w:val="006A6353"/>
    <w:rsid w:val="006A647C"/>
    <w:rsid w:val="006A667F"/>
    <w:rsid w:val="006A6858"/>
    <w:rsid w:val="006A6F3E"/>
    <w:rsid w:val="006A6F65"/>
    <w:rsid w:val="006A6FAF"/>
    <w:rsid w:val="006A7131"/>
    <w:rsid w:val="006A71CA"/>
    <w:rsid w:val="006A71E9"/>
    <w:rsid w:val="006A7350"/>
    <w:rsid w:val="006A763B"/>
    <w:rsid w:val="006A76A4"/>
    <w:rsid w:val="006A7EF5"/>
    <w:rsid w:val="006B011F"/>
    <w:rsid w:val="006B020B"/>
    <w:rsid w:val="006B043C"/>
    <w:rsid w:val="006B06A2"/>
    <w:rsid w:val="006B0763"/>
    <w:rsid w:val="006B086E"/>
    <w:rsid w:val="006B092B"/>
    <w:rsid w:val="006B0B59"/>
    <w:rsid w:val="006B0C53"/>
    <w:rsid w:val="006B1059"/>
    <w:rsid w:val="006B1106"/>
    <w:rsid w:val="006B11B2"/>
    <w:rsid w:val="006B139E"/>
    <w:rsid w:val="006B1E43"/>
    <w:rsid w:val="006B1F49"/>
    <w:rsid w:val="006B24A5"/>
    <w:rsid w:val="006B24DA"/>
    <w:rsid w:val="006B24E8"/>
    <w:rsid w:val="006B2591"/>
    <w:rsid w:val="006B25F1"/>
    <w:rsid w:val="006B27BB"/>
    <w:rsid w:val="006B2882"/>
    <w:rsid w:val="006B2895"/>
    <w:rsid w:val="006B28C5"/>
    <w:rsid w:val="006B2924"/>
    <w:rsid w:val="006B2D2C"/>
    <w:rsid w:val="006B2D39"/>
    <w:rsid w:val="006B3218"/>
    <w:rsid w:val="006B334D"/>
    <w:rsid w:val="006B3508"/>
    <w:rsid w:val="006B3FA3"/>
    <w:rsid w:val="006B40E2"/>
    <w:rsid w:val="006B4744"/>
    <w:rsid w:val="006B4B8D"/>
    <w:rsid w:val="006B4C0D"/>
    <w:rsid w:val="006B4D56"/>
    <w:rsid w:val="006B50EB"/>
    <w:rsid w:val="006B510B"/>
    <w:rsid w:val="006B52D6"/>
    <w:rsid w:val="006B545B"/>
    <w:rsid w:val="006B5524"/>
    <w:rsid w:val="006B591E"/>
    <w:rsid w:val="006B5B0C"/>
    <w:rsid w:val="006B5D05"/>
    <w:rsid w:val="006B5D4F"/>
    <w:rsid w:val="006B5E39"/>
    <w:rsid w:val="006B633D"/>
    <w:rsid w:val="006B657B"/>
    <w:rsid w:val="006B65B3"/>
    <w:rsid w:val="006B65C6"/>
    <w:rsid w:val="006B662F"/>
    <w:rsid w:val="006B6840"/>
    <w:rsid w:val="006B6E11"/>
    <w:rsid w:val="006B718E"/>
    <w:rsid w:val="006B77B4"/>
    <w:rsid w:val="006B78F7"/>
    <w:rsid w:val="006C012E"/>
    <w:rsid w:val="006C01B8"/>
    <w:rsid w:val="006C023D"/>
    <w:rsid w:val="006C0306"/>
    <w:rsid w:val="006C03F1"/>
    <w:rsid w:val="006C0BE5"/>
    <w:rsid w:val="006C0EE4"/>
    <w:rsid w:val="006C12FD"/>
    <w:rsid w:val="006C155C"/>
    <w:rsid w:val="006C16CA"/>
    <w:rsid w:val="006C17AC"/>
    <w:rsid w:val="006C18AA"/>
    <w:rsid w:val="006C1955"/>
    <w:rsid w:val="006C1A76"/>
    <w:rsid w:val="006C1E79"/>
    <w:rsid w:val="006C2243"/>
    <w:rsid w:val="006C2926"/>
    <w:rsid w:val="006C29A6"/>
    <w:rsid w:val="006C2A39"/>
    <w:rsid w:val="006C2A4A"/>
    <w:rsid w:val="006C2A9C"/>
    <w:rsid w:val="006C2CE9"/>
    <w:rsid w:val="006C32E8"/>
    <w:rsid w:val="006C333F"/>
    <w:rsid w:val="006C3715"/>
    <w:rsid w:val="006C383D"/>
    <w:rsid w:val="006C39C9"/>
    <w:rsid w:val="006C3B9C"/>
    <w:rsid w:val="006C3C8F"/>
    <w:rsid w:val="006C3D19"/>
    <w:rsid w:val="006C3E4E"/>
    <w:rsid w:val="006C47A3"/>
    <w:rsid w:val="006C4887"/>
    <w:rsid w:val="006C4B09"/>
    <w:rsid w:val="006C4B18"/>
    <w:rsid w:val="006C4BB7"/>
    <w:rsid w:val="006C4C66"/>
    <w:rsid w:val="006C5069"/>
    <w:rsid w:val="006C51D5"/>
    <w:rsid w:val="006C5266"/>
    <w:rsid w:val="006C538E"/>
    <w:rsid w:val="006C5994"/>
    <w:rsid w:val="006C5E6D"/>
    <w:rsid w:val="006C5F85"/>
    <w:rsid w:val="006C6185"/>
    <w:rsid w:val="006C6332"/>
    <w:rsid w:val="006C6501"/>
    <w:rsid w:val="006C6833"/>
    <w:rsid w:val="006C6DF6"/>
    <w:rsid w:val="006C6E6C"/>
    <w:rsid w:val="006C6EC0"/>
    <w:rsid w:val="006C6F38"/>
    <w:rsid w:val="006C6FDD"/>
    <w:rsid w:val="006C73C7"/>
    <w:rsid w:val="006C7601"/>
    <w:rsid w:val="006C769C"/>
    <w:rsid w:val="006C791D"/>
    <w:rsid w:val="006C7B7D"/>
    <w:rsid w:val="006D0077"/>
    <w:rsid w:val="006D00A4"/>
    <w:rsid w:val="006D044A"/>
    <w:rsid w:val="006D0888"/>
    <w:rsid w:val="006D0929"/>
    <w:rsid w:val="006D098C"/>
    <w:rsid w:val="006D0AA7"/>
    <w:rsid w:val="006D0C02"/>
    <w:rsid w:val="006D0E50"/>
    <w:rsid w:val="006D0F9D"/>
    <w:rsid w:val="006D1132"/>
    <w:rsid w:val="006D1157"/>
    <w:rsid w:val="006D11E9"/>
    <w:rsid w:val="006D12DC"/>
    <w:rsid w:val="006D13C6"/>
    <w:rsid w:val="006D1846"/>
    <w:rsid w:val="006D1A75"/>
    <w:rsid w:val="006D1CFF"/>
    <w:rsid w:val="006D2040"/>
    <w:rsid w:val="006D2134"/>
    <w:rsid w:val="006D22F0"/>
    <w:rsid w:val="006D262C"/>
    <w:rsid w:val="006D27F8"/>
    <w:rsid w:val="006D2915"/>
    <w:rsid w:val="006D2D4F"/>
    <w:rsid w:val="006D2DDB"/>
    <w:rsid w:val="006D2F17"/>
    <w:rsid w:val="006D355B"/>
    <w:rsid w:val="006D3722"/>
    <w:rsid w:val="006D3749"/>
    <w:rsid w:val="006D37D0"/>
    <w:rsid w:val="006D38B5"/>
    <w:rsid w:val="006D3928"/>
    <w:rsid w:val="006D39C6"/>
    <w:rsid w:val="006D3A93"/>
    <w:rsid w:val="006D3C0C"/>
    <w:rsid w:val="006D3D02"/>
    <w:rsid w:val="006D3EE8"/>
    <w:rsid w:val="006D3F2E"/>
    <w:rsid w:val="006D40FB"/>
    <w:rsid w:val="006D4191"/>
    <w:rsid w:val="006D41ED"/>
    <w:rsid w:val="006D428B"/>
    <w:rsid w:val="006D43A6"/>
    <w:rsid w:val="006D4466"/>
    <w:rsid w:val="006D4687"/>
    <w:rsid w:val="006D4694"/>
    <w:rsid w:val="006D46DD"/>
    <w:rsid w:val="006D47F6"/>
    <w:rsid w:val="006D4B89"/>
    <w:rsid w:val="006D4B8B"/>
    <w:rsid w:val="006D4C17"/>
    <w:rsid w:val="006D4F8D"/>
    <w:rsid w:val="006D55DC"/>
    <w:rsid w:val="006D5CBB"/>
    <w:rsid w:val="006D5D77"/>
    <w:rsid w:val="006D5FFE"/>
    <w:rsid w:val="006D6059"/>
    <w:rsid w:val="006D6296"/>
    <w:rsid w:val="006D62AC"/>
    <w:rsid w:val="006D633D"/>
    <w:rsid w:val="006D69F0"/>
    <w:rsid w:val="006D69F2"/>
    <w:rsid w:val="006D6A25"/>
    <w:rsid w:val="006D6A5F"/>
    <w:rsid w:val="006D6BC8"/>
    <w:rsid w:val="006D6C23"/>
    <w:rsid w:val="006D6C3B"/>
    <w:rsid w:val="006D6FC9"/>
    <w:rsid w:val="006D70B7"/>
    <w:rsid w:val="006D71ED"/>
    <w:rsid w:val="006D72B3"/>
    <w:rsid w:val="006D733A"/>
    <w:rsid w:val="006D74DE"/>
    <w:rsid w:val="006D7648"/>
    <w:rsid w:val="006D7AF1"/>
    <w:rsid w:val="006D7B27"/>
    <w:rsid w:val="006D7DAF"/>
    <w:rsid w:val="006D7F1D"/>
    <w:rsid w:val="006E0192"/>
    <w:rsid w:val="006E0228"/>
    <w:rsid w:val="006E02DC"/>
    <w:rsid w:val="006E0351"/>
    <w:rsid w:val="006E04CC"/>
    <w:rsid w:val="006E04CE"/>
    <w:rsid w:val="006E05A1"/>
    <w:rsid w:val="006E0C03"/>
    <w:rsid w:val="006E0FAC"/>
    <w:rsid w:val="006E1017"/>
    <w:rsid w:val="006E12C6"/>
    <w:rsid w:val="006E15C3"/>
    <w:rsid w:val="006E15EE"/>
    <w:rsid w:val="006E16ED"/>
    <w:rsid w:val="006E1874"/>
    <w:rsid w:val="006E1E20"/>
    <w:rsid w:val="006E204C"/>
    <w:rsid w:val="006E20E1"/>
    <w:rsid w:val="006E214B"/>
    <w:rsid w:val="006E251A"/>
    <w:rsid w:val="006E277D"/>
    <w:rsid w:val="006E2849"/>
    <w:rsid w:val="006E29A6"/>
    <w:rsid w:val="006E2B89"/>
    <w:rsid w:val="006E2C8A"/>
    <w:rsid w:val="006E310C"/>
    <w:rsid w:val="006E3122"/>
    <w:rsid w:val="006E3865"/>
    <w:rsid w:val="006E39F9"/>
    <w:rsid w:val="006E3BAE"/>
    <w:rsid w:val="006E4049"/>
    <w:rsid w:val="006E40C9"/>
    <w:rsid w:val="006E4BA7"/>
    <w:rsid w:val="006E4F51"/>
    <w:rsid w:val="006E502A"/>
    <w:rsid w:val="006E5113"/>
    <w:rsid w:val="006E5675"/>
    <w:rsid w:val="006E579E"/>
    <w:rsid w:val="006E58BA"/>
    <w:rsid w:val="006E5A94"/>
    <w:rsid w:val="006E5DA9"/>
    <w:rsid w:val="006E5E2B"/>
    <w:rsid w:val="006E5F2C"/>
    <w:rsid w:val="006E6045"/>
    <w:rsid w:val="006E618A"/>
    <w:rsid w:val="006E6422"/>
    <w:rsid w:val="006E644B"/>
    <w:rsid w:val="006E67C6"/>
    <w:rsid w:val="006E6864"/>
    <w:rsid w:val="006E69EF"/>
    <w:rsid w:val="006E6F3B"/>
    <w:rsid w:val="006E6F8C"/>
    <w:rsid w:val="006E6FA1"/>
    <w:rsid w:val="006E7109"/>
    <w:rsid w:val="006E73E6"/>
    <w:rsid w:val="006E75A2"/>
    <w:rsid w:val="006E7664"/>
    <w:rsid w:val="006E7A2F"/>
    <w:rsid w:val="006E7AA2"/>
    <w:rsid w:val="006E7C97"/>
    <w:rsid w:val="006F0081"/>
    <w:rsid w:val="006F0095"/>
    <w:rsid w:val="006F01D1"/>
    <w:rsid w:val="006F0394"/>
    <w:rsid w:val="006F0D60"/>
    <w:rsid w:val="006F156D"/>
    <w:rsid w:val="006F17F5"/>
    <w:rsid w:val="006F1B52"/>
    <w:rsid w:val="006F1BB3"/>
    <w:rsid w:val="006F1D86"/>
    <w:rsid w:val="006F1F1D"/>
    <w:rsid w:val="006F2063"/>
    <w:rsid w:val="006F2136"/>
    <w:rsid w:val="006F2232"/>
    <w:rsid w:val="006F2B97"/>
    <w:rsid w:val="006F2C7F"/>
    <w:rsid w:val="006F2D4F"/>
    <w:rsid w:val="006F2DD0"/>
    <w:rsid w:val="006F2F12"/>
    <w:rsid w:val="006F3072"/>
    <w:rsid w:val="006F3079"/>
    <w:rsid w:val="006F30FD"/>
    <w:rsid w:val="006F316B"/>
    <w:rsid w:val="006F322E"/>
    <w:rsid w:val="006F327C"/>
    <w:rsid w:val="006F3501"/>
    <w:rsid w:val="006F3778"/>
    <w:rsid w:val="006F37A4"/>
    <w:rsid w:val="006F37C9"/>
    <w:rsid w:val="006F3A03"/>
    <w:rsid w:val="006F3A2B"/>
    <w:rsid w:val="006F3DB3"/>
    <w:rsid w:val="006F421C"/>
    <w:rsid w:val="006F424F"/>
    <w:rsid w:val="006F43E8"/>
    <w:rsid w:val="006F45EF"/>
    <w:rsid w:val="006F4741"/>
    <w:rsid w:val="006F4E89"/>
    <w:rsid w:val="006F50DD"/>
    <w:rsid w:val="006F51B7"/>
    <w:rsid w:val="006F5246"/>
    <w:rsid w:val="006F5683"/>
    <w:rsid w:val="006F5703"/>
    <w:rsid w:val="006F592E"/>
    <w:rsid w:val="006F5A1C"/>
    <w:rsid w:val="006F5A2F"/>
    <w:rsid w:val="006F63ED"/>
    <w:rsid w:val="006F6441"/>
    <w:rsid w:val="006F6793"/>
    <w:rsid w:val="006F689F"/>
    <w:rsid w:val="006F6AE5"/>
    <w:rsid w:val="006F7098"/>
    <w:rsid w:val="006F71FA"/>
    <w:rsid w:val="006F721B"/>
    <w:rsid w:val="006F75D7"/>
    <w:rsid w:val="006F79C7"/>
    <w:rsid w:val="006F7C66"/>
    <w:rsid w:val="006F7D84"/>
    <w:rsid w:val="006F7E65"/>
    <w:rsid w:val="006F7EAB"/>
    <w:rsid w:val="00700509"/>
    <w:rsid w:val="007006D0"/>
    <w:rsid w:val="00700A19"/>
    <w:rsid w:val="00700B7C"/>
    <w:rsid w:val="00700C86"/>
    <w:rsid w:val="00700CDD"/>
    <w:rsid w:val="00700E74"/>
    <w:rsid w:val="007010B9"/>
    <w:rsid w:val="0070115B"/>
    <w:rsid w:val="0070118A"/>
    <w:rsid w:val="00701236"/>
    <w:rsid w:val="007014D9"/>
    <w:rsid w:val="007018C2"/>
    <w:rsid w:val="007018F8"/>
    <w:rsid w:val="00701A8B"/>
    <w:rsid w:val="00701D30"/>
    <w:rsid w:val="00701D92"/>
    <w:rsid w:val="00701E49"/>
    <w:rsid w:val="00701F58"/>
    <w:rsid w:val="00701F9F"/>
    <w:rsid w:val="00702114"/>
    <w:rsid w:val="0070213F"/>
    <w:rsid w:val="00702171"/>
    <w:rsid w:val="007021B0"/>
    <w:rsid w:val="007022A9"/>
    <w:rsid w:val="007024C9"/>
    <w:rsid w:val="0070254E"/>
    <w:rsid w:val="0070257C"/>
    <w:rsid w:val="00702622"/>
    <w:rsid w:val="00702899"/>
    <w:rsid w:val="00702D95"/>
    <w:rsid w:val="0070331B"/>
    <w:rsid w:val="00703824"/>
    <w:rsid w:val="0070382C"/>
    <w:rsid w:val="00703940"/>
    <w:rsid w:val="00703A78"/>
    <w:rsid w:val="00704240"/>
    <w:rsid w:val="007042A5"/>
    <w:rsid w:val="0070446D"/>
    <w:rsid w:val="007047B1"/>
    <w:rsid w:val="007047C0"/>
    <w:rsid w:val="007047C2"/>
    <w:rsid w:val="0070495A"/>
    <w:rsid w:val="00704A9E"/>
    <w:rsid w:val="00704AAF"/>
    <w:rsid w:val="00704AE6"/>
    <w:rsid w:val="00704B5C"/>
    <w:rsid w:val="00704D7B"/>
    <w:rsid w:val="00704DB0"/>
    <w:rsid w:val="00704EF3"/>
    <w:rsid w:val="00704FE4"/>
    <w:rsid w:val="00705360"/>
    <w:rsid w:val="0070536B"/>
    <w:rsid w:val="0070547E"/>
    <w:rsid w:val="0070554E"/>
    <w:rsid w:val="007057AE"/>
    <w:rsid w:val="00705897"/>
    <w:rsid w:val="00705B0D"/>
    <w:rsid w:val="00705EAD"/>
    <w:rsid w:val="00705ED1"/>
    <w:rsid w:val="007064B5"/>
    <w:rsid w:val="00706B03"/>
    <w:rsid w:val="00706C06"/>
    <w:rsid w:val="00706FEC"/>
    <w:rsid w:val="007070FF"/>
    <w:rsid w:val="0070781D"/>
    <w:rsid w:val="007078C9"/>
    <w:rsid w:val="00707AA3"/>
    <w:rsid w:val="0071000C"/>
    <w:rsid w:val="00710300"/>
    <w:rsid w:val="007103AC"/>
    <w:rsid w:val="00710593"/>
    <w:rsid w:val="007109B4"/>
    <w:rsid w:val="00710A69"/>
    <w:rsid w:val="00710DF3"/>
    <w:rsid w:val="0071105D"/>
    <w:rsid w:val="00711326"/>
    <w:rsid w:val="00711368"/>
    <w:rsid w:val="007116FD"/>
    <w:rsid w:val="007118B8"/>
    <w:rsid w:val="007119C9"/>
    <w:rsid w:val="007119E6"/>
    <w:rsid w:val="00711AAB"/>
    <w:rsid w:val="00711F0E"/>
    <w:rsid w:val="00711F35"/>
    <w:rsid w:val="00711FDD"/>
    <w:rsid w:val="007121A3"/>
    <w:rsid w:val="00712204"/>
    <w:rsid w:val="00712208"/>
    <w:rsid w:val="007126B7"/>
    <w:rsid w:val="007129D1"/>
    <w:rsid w:val="00712B8E"/>
    <w:rsid w:val="00712C58"/>
    <w:rsid w:val="00712D5D"/>
    <w:rsid w:val="00712F06"/>
    <w:rsid w:val="00713016"/>
    <w:rsid w:val="00713081"/>
    <w:rsid w:val="007136D1"/>
    <w:rsid w:val="00713742"/>
    <w:rsid w:val="00713C43"/>
    <w:rsid w:val="00713E68"/>
    <w:rsid w:val="00713ED6"/>
    <w:rsid w:val="00713FA1"/>
    <w:rsid w:val="00714016"/>
    <w:rsid w:val="0071486A"/>
    <w:rsid w:val="00714A3B"/>
    <w:rsid w:val="00714CFE"/>
    <w:rsid w:val="00714DC3"/>
    <w:rsid w:val="00714DF9"/>
    <w:rsid w:val="00714FB6"/>
    <w:rsid w:val="00715026"/>
    <w:rsid w:val="007150A6"/>
    <w:rsid w:val="007150EB"/>
    <w:rsid w:val="00715317"/>
    <w:rsid w:val="00715336"/>
    <w:rsid w:val="007156A1"/>
    <w:rsid w:val="00715872"/>
    <w:rsid w:val="00715AF4"/>
    <w:rsid w:val="00715BD1"/>
    <w:rsid w:val="00715CA2"/>
    <w:rsid w:val="00715D3C"/>
    <w:rsid w:val="00715F1A"/>
    <w:rsid w:val="007161B9"/>
    <w:rsid w:val="007161D1"/>
    <w:rsid w:val="0071633E"/>
    <w:rsid w:val="00716695"/>
    <w:rsid w:val="007166D4"/>
    <w:rsid w:val="00716AB0"/>
    <w:rsid w:val="00716D04"/>
    <w:rsid w:val="00716E67"/>
    <w:rsid w:val="00717185"/>
    <w:rsid w:val="0071723D"/>
    <w:rsid w:val="007175A0"/>
    <w:rsid w:val="007175FD"/>
    <w:rsid w:val="007177DE"/>
    <w:rsid w:val="00717A40"/>
    <w:rsid w:val="00717A92"/>
    <w:rsid w:val="00717D08"/>
    <w:rsid w:val="00717FAE"/>
    <w:rsid w:val="00720007"/>
    <w:rsid w:val="00720074"/>
    <w:rsid w:val="007200B6"/>
    <w:rsid w:val="0072031F"/>
    <w:rsid w:val="00720524"/>
    <w:rsid w:val="007205CA"/>
    <w:rsid w:val="007205DC"/>
    <w:rsid w:val="00720A49"/>
    <w:rsid w:val="00720D11"/>
    <w:rsid w:val="00721129"/>
    <w:rsid w:val="00721380"/>
    <w:rsid w:val="00721487"/>
    <w:rsid w:val="007216AD"/>
    <w:rsid w:val="00721787"/>
    <w:rsid w:val="007217D9"/>
    <w:rsid w:val="00721C24"/>
    <w:rsid w:val="00721F78"/>
    <w:rsid w:val="0072237C"/>
    <w:rsid w:val="00722412"/>
    <w:rsid w:val="007227A7"/>
    <w:rsid w:val="007228E5"/>
    <w:rsid w:val="00722B56"/>
    <w:rsid w:val="00722BA5"/>
    <w:rsid w:val="00722D7A"/>
    <w:rsid w:val="00723154"/>
    <w:rsid w:val="007234B6"/>
    <w:rsid w:val="007234E7"/>
    <w:rsid w:val="00723525"/>
    <w:rsid w:val="007236F1"/>
    <w:rsid w:val="00723ADC"/>
    <w:rsid w:val="00723B86"/>
    <w:rsid w:val="00723E68"/>
    <w:rsid w:val="007242BD"/>
    <w:rsid w:val="0072444A"/>
    <w:rsid w:val="007244DC"/>
    <w:rsid w:val="00724560"/>
    <w:rsid w:val="00724586"/>
    <w:rsid w:val="0072468E"/>
    <w:rsid w:val="00724691"/>
    <w:rsid w:val="00724907"/>
    <w:rsid w:val="00724A2E"/>
    <w:rsid w:val="00724A5C"/>
    <w:rsid w:val="00724AD5"/>
    <w:rsid w:val="00724D8F"/>
    <w:rsid w:val="00724E6E"/>
    <w:rsid w:val="00724EE9"/>
    <w:rsid w:val="00725023"/>
    <w:rsid w:val="0072503E"/>
    <w:rsid w:val="007250A9"/>
    <w:rsid w:val="007265D5"/>
    <w:rsid w:val="00726738"/>
    <w:rsid w:val="007267AA"/>
    <w:rsid w:val="00726A28"/>
    <w:rsid w:val="00726A6D"/>
    <w:rsid w:val="00726D64"/>
    <w:rsid w:val="00726EBD"/>
    <w:rsid w:val="00727352"/>
    <w:rsid w:val="00727865"/>
    <w:rsid w:val="00727A9B"/>
    <w:rsid w:val="007301E0"/>
    <w:rsid w:val="00730353"/>
    <w:rsid w:val="00730487"/>
    <w:rsid w:val="00730558"/>
    <w:rsid w:val="00730616"/>
    <w:rsid w:val="0073074F"/>
    <w:rsid w:val="00730774"/>
    <w:rsid w:val="00730861"/>
    <w:rsid w:val="007308EA"/>
    <w:rsid w:val="00730C94"/>
    <w:rsid w:val="00730EDA"/>
    <w:rsid w:val="0073104F"/>
    <w:rsid w:val="00731053"/>
    <w:rsid w:val="007310F1"/>
    <w:rsid w:val="007312AA"/>
    <w:rsid w:val="00731426"/>
    <w:rsid w:val="007314CA"/>
    <w:rsid w:val="00731840"/>
    <w:rsid w:val="00731960"/>
    <w:rsid w:val="00731C63"/>
    <w:rsid w:val="00732049"/>
    <w:rsid w:val="00732897"/>
    <w:rsid w:val="00732B2E"/>
    <w:rsid w:val="00732DA0"/>
    <w:rsid w:val="00733201"/>
    <w:rsid w:val="00733A8B"/>
    <w:rsid w:val="00733B00"/>
    <w:rsid w:val="00733CE6"/>
    <w:rsid w:val="00733F2E"/>
    <w:rsid w:val="0073411A"/>
    <w:rsid w:val="00734304"/>
    <w:rsid w:val="00734511"/>
    <w:rsid w:val="007349B9"/>
    <w:rsid w:val="00734BC1"/>
    <w:rsid w:val="00734DCE"/>
    <w:rsid w:val="00734F1B"/>
    <w:rsid w:val="00734F21"/>
    <w:rsid w:val="007350B8"/>
    <w:rsid w:val="0073537C"/>
    <w:rsid w:val="00735464"/>
    <w:rsid w:val="0073550F"/>
    <w:rsid w:val="007357BB"/>
    <w:rsid w:val="00735C88"/>
    <w:rsid w:val="00735D9B"/>
    <w:rsid w:val="00735DBE"/>
    <w:rsid w:val="00735EDB"/>
    <w:rsid w:val="00736042"/>
    <w:rsid w:val="00736426"/>
    <w:rsid w:val="00736496"/>
    <w:rsid w:val="0073652C"/>
    <w:rsid w:val="00736671"/>
    <w:rsid w:val="007368F2"/>
    <w:rsid w:val="00736B7A"/>
    <w:rsid w:val="00736CC9"/>
    <w:rsid w:val="00736D1B"/>
    <w:rsid w:val="00736DB1"/>
    <w:rsid w:val="00736DD2"/>
    <w:rsid w:val="00737670"/>
    <w:rsid w:val="007377C9"/>
    <w:rsid w:val="0073782F"/>
    <w:rsid w:val="0073787B"/>
    <w:rsid w:val="00737C8D"/>
    <w:rsid w:val="00737D6D"/>
    <w:rsid w:val="00740303"/>
    <w:rsid w:val="0074038F"/>
    <w:rsid w:val="00740795"/>
    <w:rsid w:val="00740BA4"/>
    <w:rsid w:val="00740C88"/>
    <w:rsid w:val="00740D64"/>
    <w:rsid w:val="00741683"/>
    <w:rsid w:val="00741776"/>
    <w:rsid w:val="00741C1E"/>
    <w:rsid w:val="00741CAC"/>
    <w:rsid w:val="00741CD0"/>
    <w:rsid w:val="00741DC6"/>
    <w:rsid w:val="00741E03"/>
    <w:rsid w:val="00741EBB"/>
    <w:rsid w:val="00741FE1"/>
    <w:rsid w:val="00742138"/>
    <w:rsid w:val="00742402"/>
    <w:rsid w:val="007426B4"/>
    <w:rsid w:val="00742741"/>
    <w:rsid w:val="007429C2"/>
    <w:rsid w:val="007429D6"/>
    <w:rsid w:val="00742D72"/>
    <w:rsid w:val="00743116"/>
    <w:rsid w:val="00743272"/>
    <w:rsid w:val="0074327E"/>
    <w:rsid w:val="007435F9"/>
    <w:rsid w:val="00743680"/>
    <w:rsid w:val="007439BD"/>
    <w:rsid w:val="00743A5A"/>
    <w:rsid w:val="00743AAB"/>
    <w:rsid w:val="00743C06"/>
    <w:rsid w:val="00743C8D"/>
    <w:rsid w:val="00743FF6"/>
    <w:rsid w:val="007446C4"/>
    <w:rsid w:val="007447E2"/>
    <w:rsid w:val="00744859"/>
    <w:rsid w:val="00744B30"/>
    <w:rsid w:val="00744CDB"/>
    <w:rsid w:val="00744D56"/>
    <w:rsid w:val="00744DFB"/>
    <w:rsid w:val="00744E09"/>
    <w:rsid w:val="00745532"/>
    <w:rsid w:val="00745560"/>
    <w:rsid w:val="00745836"/>
    <w:rsid w:val="00745D64"/>
    <w:rsid w:val="00745E9A"/>
    <w:rsid w:val="00745E9E"/>
    <w:rsid w:val="00745F0E"/>
    <w:rsid w:val="00745FE9"/>
    <w:rsid w:val="0074613F"/>
    <w:rsid w:val="007462B0"/>
    <w:rsid w:val="007467E4"/>
    <w:rsid w:val="00746A79"/>
    <w:rsid w:val="00746E30"/>
    <w:rsid w:val="00746E90"/>
    <w:rsid w:val="00746E9E"/>
    <w:rsid w:val="007470CA"/>
    <w:rsid w:val="007471C0"/>
    <w:rsid w:val="00747A5E"/>
    <w:rsid w:val="00747A75"/>
    <w:rsid w:val="00747B48"/>
    <w:rsid w:val="00747BF0"/>
    <w:rsid w:val="00747D03"/>
    <w:rsid w:val="007504B7"/>
    <w:rsid w:val="007505F1"/>
    <w:rsid w:val="007507D7"/>
    <w:rsid w:val="0075088D"/>
    <w:rsid w:val="00750936"/>
    <w:rsid w:val="00750BD4"/>
    <w:rsid w:val="00750D17"/>
    <w:rsid w:val="00750D3B"/>
    <w:rsid w:val="0075110F"/>
    <w:rsid w:val="007516BC"/>
    <w:rsid w:val="00751755"/>
    <w:rsid w:val="0075177C"/>
    <w:rsid w:val="00751963"/>
    <w:rsid w:val="00751AA9"/>
    <w:rsid w:val="00751D4B"/>
    <w:rsid w:val="007520DD"/>
    <w:rsid w:val="00752126"/>
    <w:rsid w:val="00752245"/>
    <w:rsid w:val="0075226A"/>
    <w:rsid w:val="00752323"/>
    <w:rsid w:val="0075246C"/>
    <w:rsid w:val="00752640"/>
    <w:rsid w:val="00752941"/>
    <w:rsid w:val="0075325C"/>
    <w:rsid w:val="007537C2"/>
    <w:rsid w:val="00753803"/>
    <w:rsid w:val="00753DCB"/>
    <w:rsid w:val="00753E79"/>
    <w:rsid w:val="00753FAC"/>
    <w:rsid w:val="0075444F"/>
    <w:rsid w:val="007545AC"/>
    <w:rsid w:val="00754651"/>
    <w:rsid w:val="00754709"/>
    <w:rsid w:val="00754A59"/>
    <w:rsid w:val="00754D30"/>
    <w:rsid w:val="007552CF"/>
    <w:rsid w:val="00755507"/>
    <w:rsid w:val="007559CE"/>
    <w:rsid w:val="00755B60"/>
    <w:rsid w:val="00755DAE"/>
    <w:rsid w:val="00755E66"/>
    <w:rsid w:val="00756084"/>
    <w:rsid w:val="0075626C"/>
    <w:rsid w:val="00756380"/>
    <w:rsid w:val="007565A2"/>
    <w:rsid w:val="00756A61"/>
    <w:rsid w:val="00756AC8"/>
    <w:rsid w:val="00756B7E"/>
    <w:rsid w:val="00756DE4"/>
    <w:rsid w:val="00756F6A"/>
    <w:rsid w:val="007571A3"/>
    <w:rsid w:val="007604D6"/>
    <w:rsid w:val="007605A5"/>
    <w:rsid w:val="00760915"/>
    <w:rsid w:val="00760D7F"/>
    <w:rsid w:val="00760F24"/>
    <w:rsid w:val="007610C0"/>
    <w:rsid w:val="00761ABE"/>
    <w:rsid w:val="00761B19"/>
    <w:rsid w:val="00761CA7"/>
    <w:rsid w:val="00761DED"/>
    <w:rsid w:val="00761E4C"/>
    <w:rsid w:val="0076211B"/>
    <w:rsid w:val="007621DF"/>
    <w:rsid w:val="00762224"/>
    <w:rsid w:val="00762341"/>
    <w:rsid w:val="00762436"/>
    <w:rsid w:val="00762629"/>
    <w:rsid w:val="00762AEB"/>
    <w:rsid w:val="00762B9A"/>
    <w:rsid w:val="00762D38"/>
    <w:rsid w:val="00762EBA"/>
    <w:rsid w:val="007631CA"/>
    <w:rsid w:val="007631EC"/>
    <w:rsid w:val="0076321A"/>
    <w:rsid w:val="00763253"/>
    <w:rsid w:val="007632D5"/>
    <w:rsid w:val="00763328"/>
    <w:rsid w:val="00763365"/>
    <w:rsid w:val="0076357A"/>
    <w:rsid w:val="007636F9"/>
    <w:rsid w:val="007637D2"/>
    <w:rsid w:val="00763AAF"/>
    <w:rsid w:val="00763D7A"/>
    <w:rsid w:val="00763DAE"/>
    <w:rsid w:val="00763E24"/>
    <w:rsid w:val="00763E4F"/>
    <w:rsid w:val="00763F7B"/>
    <w:rsid w:val="007640D0"/>
    <w:rsid w:val="00764240"/>
    <w:rsid w:val="0076462A"/>
    <w:rsid w:val="00764777"/>
    <w:rsid w:val="007648BB"/>
    <w:rsid w:val="007648EC"/>
    <w:rsid w:val="007649BB"/>
    <w:rsid w:val="00764DE8"/>
    <w:rsid w:val="00764E22"/>
    <w:rsid w:val="00764EC5"/>
    <w:rsid w:val="007650E6"/>
    <w:rsid w:val="007651D9"/>
    <w:rsid w:val="00765540"/>
    <w:rsid w:val="007655E8"/>
    <w:rsid w:val="0076561F"/>
    <w:rsid w:val="0076565C"/>
    <w:rsid w:val="00765778"/>
    <w:rsid w:val="007657FC"/>
    <w:rsid w:val="00765C42"/>
    <w:rsid w:val="00765D6C"/>
    <w:rsid w:val="0076603A"/>
    <w:rsid w:val="0076615D"/>
    <w:rsid w:val="007661D0"/>
    <w:rsid w:val="0076692C"/>
    <w:rsid w:val="00766BC6"/>
    <w:rsid w:val="00766D80"/>
    <w:rsid w:val="007671E2"/>
    <w:rsid w:val="007674AA"/>
    <w:rsid w:val="00767596"/>
    <w:rsid w:val="00767971"/>
    <w:rsid w:val="00767AC5"/>
    <w:rsid w:val="00767C2A"/>
    <w:rsid w:val="00767FAF"/>
    <w:rsid w:val="007701C7"/>
    <w:rsid w:val="00770259"/>
    <w:rsid w:val="007702E9"/>
    <w:rsid w:val="00770341"/>
    <w:rsid w:val="007704A8"/>
    <w:rsid w:val="00770506"/>
    <w:rsid w:val="007706EE"/>
    <w:rsid w:val="007706F0"/>
    <w:rsid w:val="00770D64"/>
    <w:rsid w:val="00770DE4"/>
    <w:rsid w:val="00770E02"/>
    <w:rsid w:val="00770EB2"/>
    <w:rsid w:val="00770EBE"/>
    <w:rsid w:val="00770F01"/>
    <w:rsid w:val="00770FAC"/>
    <w:rsid w:val="007710F8"/>
    <w:rsid w:val="0077113D"/>
    <w:rsid w:val="00771733"/>
    <w:rsid w:val="007717E8"/>
    <w:rsid w:val="00771990"/>
    <w:rsid w:val="007719A3"/>
    <w:rsid w:val="007719A4"/>
    <w:rsid w:val="00771A82"/>
    <w:rsid w:val="00771AC5"/>
    <w:rsid w:val="00771ACA"/>
    <w:rsid w:val="00771B55"/>
    <w:rsid w:val="00772020"/>
    <w:rsid w:val="007722EE"/>
    <w:rsid w:val="00772440"/>
    <w:rsid w:val="00772753"/>
    <w:rsid w:val="007729DE"/>
    <w:rsid w:val="00773169"/>
    <w:rsid w:val="007732A6"/>
    <w:rsid w:val="00773328"/>
    <w:rsid w:val="0077337F"/>
    <w:rsid w:val="007734B1"/>
    <w:rsid w:val="007734F6"/>
    <w:rsid w:val="00773564"/>
    <w:rsid w:val="007738AD"/>
    <w:rsid w:val="00773CDF"/>
    <w:rsid w:val="00773E7B"/>
    <w:rsid w:val="007740D0"/>
    <w:rsid w:val="007741B7"/>
    <w:rsid w:val="00774237"/>
    <w:rsid w:val="007742F9"/>
    <w:rsid w:val="0077482B"/>
    <w:rsid w:val="0077498E"/>
    <w:rsid w:val="00774A7F"/>
    <w:rsid w:val="00774C67"/>
    <w:rsid w:val="00774F8F"/>
    <w:rsid w:val="007750D8"/>
    <w:rsid w:val="0077512D"/>
    <w:rsid w:val="007751BB"/>
    <w:rsid w:val="007753FD"/>
    <w:rsid w:val="00775CF4"/>
    <w:rsid w:val="00775F5C"/>
    <w:rsid w:val="00775FC2"/>
    <w:rsid w:val="00775FFC"/>
    <w:rsid w:val="00776311"/>
    <w:rsid w:val="00776332"/>
    <w:rsid w:val="007764FD"/>
    <w:rsid w:val="0077660E"/>
    <w:rsid w:val="00776821"/>
    <w:rsid w:val="00776957"/>
    <w:rsid w:val="00776A8B"/>
    <w:rsid w:val="0077703A"/>
    <w:rsid w:val="007770A3"/>
    <w:rsid w:val="007771F9"/>
    <w:rsid w:val="007774D4"/>
    <w:rsid w:val="007776B6"/>
    <w:rsid w:val="007776F7"/>
    <w:rsid w:val="007779E3"/>
    <w:rsid w:val="00777BCE"/>
    <w:rsid w:val="00777C73"/>
    <w:rsid w:val="00777F3D"/>
    <w:rsid w:val="007800F7"/>
    <w:rsid w:val="00780306"/>
    <w:rsid w:val="007803FD"/>
    <w:rsid w:val="00780494"/>
    <w:rsid w:val="00780518"/>
    <w:rsid w:val="007806FB"/>
    <w:rsid w:val="0078083B"/>
    <w:rsid w:val="00780930"/>
    <w:rsid w:val="00780B84"/>
    <w:rsid w:val="00780CED"/>
    <w:rsid w:val="00781205"/>
    <w:rsid w:val="007812CE"/>
    <w:rsid w:val="007814C2"/>
    <w:rsid w:val="00781749"/>
    <w:rsid w:val="0078182F"/>
    <w:rsid w:val="00781967"/>
    <w:rsid w:val="00781BE6"/>
    <w:rsid w:val="00782164"/>
    <w:rsid w:val="007823AE"/>
    <w:rsid w:val="007827AD"/>
    <w:rsid w:val="00782C65"/>
    <w:rsid w:val="00782EDC"/>
    <w:rsid w:val="00783012"/>
    <w:rsid w:val="00783286"/>
    <w:rsid w:val="0078355D"/>
    <w:rsid w:val="0078377E"/>
    <w:rsid w:val="007837F2"/>
    <w:rsid w:val="007839A3"/>
    <w:rsid w:val="00783A19"/>
    <w:rsid w:val="00783BE5"/>
    <w:rsid w:val="00783E94"/>
    <w:rsid w:val="00784784"/>
    <w:rsid w:val="00784A11"/>
    <w:rsid w:val="00784AE4"/>
    <w:rsid w:val="00784C95"/>
    <w:rsid w:val="00784D5B"/>
    <w:rsid w:val="00784FBA"/>
    <w:rsid w:val="0078526A"/>
    <w:rsid w:val="00785547"/>
    <w:rsid w:val="007855C2"/>
    <w:rsid w:val="007857BF"/>
    <w:rsid w:val="007857CC"/>
    <w:rsid w:val="00785B6E"/>
    <w:rsid w:val="00785DE0"/>
    <w:rsid w:val="00786131"/>
    <w:rsid w:val="0078621E"/>
    <w:rsid w:val="0078651C"/>
    <w:rsid w:val="00786576"/>
    <w:rsid w:val="007867B9"/>
    <w:rsid w:val="0078687F"/>
    <w:rsid w:val="00786999"/>
    <w:rsid w:val="00786CA2"/>
    <w:rsid w:val="00786DF4"/>
    <w:rsid w:val="00787117"/>
    <w:rsid w:val="007871CF"/>
    <w:rsid w:val="00787503"/>
    <w:rsid w:val="007876F3"/>
    <w:rsid w:val="007877FD"/>
    <w:rsid w:val="00787826"/>
    <w:rsid w:val="007879C9"/>
    <w:rsid w:val="00787AC8"/>
    <w:rsid w:val="00790000"/>
    <w:rsid w:val="00790042"/>
    <w:rsid w:val="00790542"/>
    <w:rsid w:val="007905FB"/>
    <w:rsid w:val="00790724"/>
    <w:rsid w:val="007909CA"/>
    <w:rsid w:val="00790AF2"/>
    <w:rsid w:val="00790BFA"/>
    <w:rsid w:val="00790F1B"/>
    <w:rsid w:val="0079129D"/>
    <w:rsid w:val="0079193D"/>
    <w:rsid w:val="00791A57"/>
    <w:rsid w:val="00791B00"/>
    <w:rsid w:val="00791CC1"/>
    <w:rsid w:val="007920C1"/>
    <w:rsid w:val="007920F2"/>
    <w:rsid w:val="00792171"/>
    <w:rsid w:val="0079231C"/>
    <w:rsid w:val="00792383"/>
    <w:rsid w:val="00792548"/>
    <w:rsid w:val="00792583"/>
    <w:rsid w:val="0079261F"/>
    <w:rsid w:val="007927FB"/>
    <w:rsid w:val="007931D0"/>
    <w:rsid w:val="0079324B"/>
    <w:rsid w:val="00793322"/>
    <w:rsid w:val="0079343B"/>
    <w:rsid w:val="007934B1"/>
    <w:rsid w:val="00793564"/>
    <w:rsid w:val="0079358F"/>
    <w:rsid w:val="00793AE3"/>
    <w:rsid w:val="00793E3B"/>
    <w:rsid w:val="00793F1D"/>
    <w:rsid w:val="00793FD7"/>
    <w:rsid w:val="007942E5"/>
    <w:rsid w:val="00794306"/>
    <w:rsid w:val="00794360"/>
    <w:rsid w:val="007945A9"/>
    <w:rsid w:val="00794867"/>
    <w:rsid w:val="007948D1"/>
    <w:rsid w:val="00794922"/>
    <w:rsid w:val="007952A4"/>
    <w:rsid w:val="007955CB"/>
    <w:rsid w:val="007955D4"/>
    <w:rsid w:val="0079565D"/>
    <w:rsid w:val="007957A0"/>
    <w:rsid w:val="00795968"/>
    <w:rsid w:val="00795AD6"/>
    <w:rsid w:val="00795E76"/>
    <w:rsid w:val="00796243"/>
    <w:rsid w:val="007966A9"/>
    <w:rsid w:val="00796917"/>
    <w:rsid w:val="007969FD"/>
    <w:rsid w:val="007970AE"/>
    <w:rsid w:val="00797343"/>
    <w:rsid w:val="00797453"/>
    <w:rsid w:val="007974E4"/>
    <w:rsid w:val="007977BE"/>
    <w:rsid w:val="007978FA"/>
    <w:rsid w:val="00797991"/>
    <w:rsid w:val="00797B7F"/>
    <w:rsid w:val="00797F9F"/>
    <w:rsid w:val="00797FD8"/>
    <w:rsid w:val="007A0105"/>
    <w:rsid w:val="007A01FE"/>
    <w:rsid w:val="007A0315"/>
    <w:rsid w:val="007A04CF"/>
    <w:rsid w:val="007A0B72"/>
    <w:rsid w:val="007A0CB9"/>
    <w:rsid w:val="007A0D3F"/>
    <w:rsid w:val="007A1100"/>
    <w:rsid w:val="007A112E"/>
    <w:rsid w:val="007A123D"/>
    <w:rsid w:val="007A1277"/>
    <w:rsid w:val="007A1348"/>
    <w:rsid w:val="007A135F"/>
    <w:rsid w:val="007A138F"/>
    <w:rsid w:val="007A15F9"/>
    <w:rsid w:val="007A18B5"/>
    <w:rsid w:val="007A1904"/>
    <w:rsid w:val="007A1C02"/>
    <w:rsid w:val="007A1C26"/>
    <w:rsid w:val="007A1D7A"/>
    <w:rsid w:val="007A1E9B"/>
    <w:rsid w:val="007A1ECA"/>
    <w:rsid w:val="007A215E"/>
    <w:rsid w:val="007A22AD"/>
    <w:rsid w:val="007A23F0"/>
    <w:rsid w:val="007A25F7"/>
    <w:rsid w:val="007A2AEB"/>
    <w:rsid w:val="007A2FF8"/>
    <w:rsid w:val="007A3217"/>
    <w:rsid w:val="007A3297"/>
    <w:rsid w:val="007A37D6"/>
    <w:rsid w:val="007A392C"/>
    <w:rsid w:val="007A3BD4"/>
    <w:rsid w:val="007A3FB5"/>
    <w:rsid w:val="007A4012"/>
    <w:rsid w:val="007A4158"/>
    <w:rsid w:val="007A4669"/>
    <w:rsid w:val="007A4775"/>
    <w:rsid w:val="007A4C2F"/>
    <w:rsid w:val="007A4D29"/>
    <w:rsid w:val="007A51A8"/>
    <w:rsid w:val="007A5863"/>
    <w:rsid w:val="007A5B23"/>
    <w:rsid w:val="007A5BB1"/>
    <w:rsid w:val="007A5BF8"/>
    <w:rsid w:val="007A5C7E"/>
    <w:rsid w:val="007A614C"/>
    <w:rsid w:val="007A62AA"/>
    <w:rsid w:val="007A63D5"/>
    <w:rsid w:val="007A65F3"/>
    <w:rsid w:val="007A675E"/>
    <w:rsid w:val="007A69DA"/>
    <w:rsid w:val="007A6E04"/>
    <w:rsid w:val="007A70DA"/>
    <w:rsid w:val="007A714B"/>
    <w:rsid w:val="007A716A"/>
    <w:rsid w:val="007A7365"/>
    <w:rsid w:val="007A7516"/>
    <w:rsid w:val="007A77A2"/>
    <w:rsid w:val="007A7A83"/>
    <w:rsid w:val="007A7C95"/>
    <w:rsid w:val="007A7ED8"/>
    <w:rsid w:val="007A7F99"/>
    <w:rsid w:val="007B00F5"/>
    <w:rsid w:val="007B0180"/>
    <w:rsid w:val="007B0351"/>
    <w:rsid w:val="007B06DC"/>
    <w:rsid w:val="007B082A"/>
    <w:rsid w:val="007B0982"/>
    <w:rsid w:val="007B0D98"/>
    <w:rsid w:val="007B114F"/>
    <w:rsid w:val="007B12B8"/>
    <w:rsid w:val="007B1350"/>
    <w:rsid w:val="007B1596"/>
    <w:rsid w:val="007B15C0"/>
    <w:rsid w:val="007B179F"/>
    <w:rsid w:val="007B194E"/>
    <w:rsid w:val="007B19D9"/>
    <w:rsid w:val="007B1BF7"/>
    <w:rsid w:val="007B203C"/>
    <w:rsid w:val="007B2230"/>
    <w:rsid w:val="007B28A5"/>
    <w:rsid w:val="007B2AE2"/>
    <w:rsid w:val="007B2B86"/>
    <w:rsid w:val="007B2EFD"/>
    <w:rsid w:val="007B33AB"/>
    <w:rsid w:val="007B35C0"/>
    <w:rsid w:val="007B36AE"/>
    <w:rsid w:val="007B3839"/>
    <w:rsid w:val="007B3869"/>
    <w:rsid w:val="007B3948"/>
    <w:rsid w:val="007B3960"/>
    <w:rsid w:val="007B3CE1"/>
    <w:rsid w:val="007B3D0B"/>
    <w:rsid w:val="007B4032"/>
    <w:rsid w:val="007B4136"/>
    <w:rsid w:val="007B43E4"/>
    <w:rsid w:val="007B453E"/>
    <w:rsid w:val="007B473B"/>
    <w:rsid w:val="007B4830"/>
    <w:rsid w:val="007B485E"/>
    <w:rsid w:val="007B487A"/>
    <w:rsid w:val="007B4D00"/>
    <w:rsid w:val="007B4D0A"/>
    <w:rsid w:val="007B4F84"/>
    <w:rsid w:val="007B514C"/>
    <w:rsid w:val="007B5490"/>
    <w:rsid w:val="007B5C44"/>
    <w:rsid w:val="007B5CF2"/>
    <w:rsid w:val="007B5D25"/>
    <w:rsid w:val="007B6094"/>
    <w:rsid w:val="007B60ED"/>
    <w:rsid w:val="007B6347"/>
    <w:rsid w:val="007B6436"/>
    <w:rsid w:val="007B6728"/>
    <w:rsid w:val="007B679A"/>
    <w:rsid w:val="007B6911"/>
    <w:rsid w:val="007B6B57"/>
    <w:rsid w:val="007B6FFE"/>
    <w:rsid w:val="007B7123"/>
    <w:rsid w:val="007B7213"/>
    <w:rsid w:val="007B7270"/>
    <w:rsid w:val="007B7568"/>
    <w:rsid w:val="007B7584"/>
    <w:rsid w:val="007B779D"/>
    <w:rsid w:val="007B7A06"/>
    <w:rsid w:val="007B7F19"/>
    <w:rsid w:val="007B7F94"/>
    <w:rsid w:val="007B7FE2"/>
    <w:rsid w:val="007C010A"/>
    <w:rsid w:val="007C03DB"/>
    <w:rsid w:val="007C0498"/>
    <w:rsid w:val="007C0625"/>
    <w:rsid w:val="007C0870"/>
    <w:rsid w:val="007C0910"/>
    <w:rsid w:val="007C0C65"/>
    <w:rsid w:val="007C0F86"/>
    <w:rsid w:val="007C10EC"/>
    <w:rsid w:val="007C1275"/>
    <w:rsid w:val="007C12C8"/>
    <w:rsid w:val="007C19A3"/>
    <w:rsid w:val="007C1A15"/>
    <w:rsid w:val="007C1D28"/>
    <w:rsid w:val="007C2149"/>
    <w:rsid w:val="007C22F9"/>
    <w:rsid w:val="007C24C3"/>
    <w:rsid w:val="007C24FD"/>
    <w:rsid w:val="007C258F"/>
    <w:rsid w:val="007C29BD"/>
    <w:rsid w:val="007C2F08"/>
    <w:rsid w:val="007C3154"/>
    <w:rsid w:val="007C331D"/>
    <w:rsid w:val="007C33A7"/>
    <w:rsid w:val="007C37DC"/>
    <w:rsid w:val="007C3802"/>
    <w:rsid w:val="007C3A62"/>
    <w:rsid w:val="007C3A72"/>
    <w:rsid w:val="007C3B17"/>
    <w:rsid w:val="007C3EA1"/>
    <w:rsid w:val="007C40E9"/>
    <w:rsid w:val="007C4102"/>
    <w:rsid w:val="007C41D1"/>
    <w:rsid w:val="007C45FB"/>
    <w:rsid w:val="007C46D3"/>
    <w:rsid w:val="007C485C"/>
    <w:rsid w:val="007C4C14"/>
    <w:rsid w:val="007C5019"/>
    <w:rsid w:val="007C5277"/>
    <w:rsid w:val="007C558B"/>
    <w:rsid w:val="007C5EBD"/>
    <w:rsid w:val="007C60F4"/>
    <w:rsid w:val="007C61A0"/>
    <w:rsid w:val="007C61C2"/>
    <w:rsid w:val="007C6342"/>
    <w:rsid w:val="007C6799"/>
    <w:rsid w:val="007C67B7"/>
    <w:rsid w:val="007C68A4"/>
    <w:rsid w:val="007C68A6"/>
    <w:rsid w:val="007C69F5"/>
    <w:rsid w:val="007C6B3A"/>
    <w:rsid w:val="007C6E21"/>
    <w:rsid w:val="007C7154"/>
    <w:rsid w:val="007C723A"/>
    <w:rsid w:val="007C7265"/>
    <w:rsid w:val="007C7ACF"/>
    <w:rsid w:val="007C7AD6"/>
    <w:rsid w:val="007C7B51"/>
    <w:rsid w:val="007C7D22"/>
    <w:rsid w:val="007C7DF7"/>
    <w:rsid w:val="007CF606"/>
    <w:rsid w:val="007D0170"/>
    <w:rsid w:val="007D01AC"/>
    <w:rsid w:val="007D029E"/>
    <w:rsid w:val="007D033D"/>
    <w:rsid w:val="007D0534"/>
    <w:rsid w:val="007D06F6"/>
    <w:rsid w:val="007D089F"/>
    <w:rsid w:val="007D0F91"/>
    <w:rsid w:val="007D1170"/>
    <w:rsid w:val="007D121D"/>
    <w:rsid w:val="007D1277"/>
    <w:rsid w:val="007D12E8"/>
    <w:rsid w:val="007D13B8"/>
    <w:rsid w:val="007D1762"/>
    <w:rsid w:val="007D17AD"/>
    <w:rsid w:val="007D1A3F"/>
    <w:rsid w:val="007D1AB9"/>
    <w:rsid w:val="007D1E61"/>
    <w:rsid w:val="007D1E67"/>
    <w:rsid w:val="007D1F3E"/>
    <w:rsid w:val="007D20EA"/>
    <w:rsid w:val="007D2101"/>
    <w:rsid w:val="007D214F"/>
    <w:rsid w:val="007D218A"/>
    <w:rsid w:val="007D2344"/>
    <w:rsid w:val="007D238C"/>
    <w:rsid w:val="007D2665"/>
    <w:rsid w:val="007D27F4"/>
    <w:rsid w:val="007D292C"/>
    <w:rsid w:val="007D2A43"/>
    <w:rsid w:val="007D2D9A"/>
    <w:rsid w:val="007D2F52"/>
    <w:rsid w:val="007D301C"/>
    <w:rsid w:val="007D32F6"/>
    <w:rsid w:val="007D33D2"/>
    <w:rsid w:val="007D36D7"/>
    <w:rsid w:val="007D3748"/>
    <w:rsid w:val="007D3A24"/>
    <w:rsid w:val="007D3B86"/>
    <w:rsid w:val="007D3C20"/>
    <w:rsid w:val="007D3F58"/>
    <w:rsid w:val="007D400C"/>
    <w:rsid w:val="007D4134"/>
    <w:rsid w:val="007D4252"/>
    <w:rsid w:val="007D43E3"/>
    <w:rsid w:val="007D48EC"/>
    <w:rsid w:val="007D4A2E"/>
    <w:rsid w:val="007D4AEC"/>
    <w:rsid w:val="007D4C5B"/>
    <w:rsid w:val="007D4CBE"/>
    <w:rsid w:val="007D5148"/>
    <w:rsid w:val="007D51B9"/>
    <w:rsid w:val="007D5493"/>
    <w:rsid w:val="007D55E2"/>
    <w:rsid w:val="007D5662"/>
    <w:rsid w:val="007D56C8"/>
    <w:rsid w:val="007D56D8"/>
    <w:rsid w:val="007D592E"/>
    <w:rsid w:val="007D5C60"/>
    <w:rsid w:val="007D5D34"/>
    <w:rsid w:val="007D6357"/>
    <w:rsid w:val="007D64F0"/>
    <w:rsid w:val="007D6638"/>
    <w:rsid w:val="007D667E"/>
    <w:rsid w:val="007D6766"/>
    <w:rsid w:val="007D678B"/>
    <w:rsid w:val="007D68ED"/>
    <w:rsid w:val="007D6A1A"/>
    <w:rsid w:val="007D6B59"/>
    <w:rsid w:val="007D6BA8"/>
    <w:rsid w:val="007D6BBC"/>
    <w:rsid w:val="007D6ECF"/>
    <w:rsid w:val="007D6F1D"/>
    <w:rsid w:val="007D773D"/>
    <w:rsid w:val="007D77BC"/>
    <w:rsid w:val="007D7B07"/>
    <w:rsid w:val="007D7BCB"/>
    <w:rsid w:val="007D7C1B"/>
    <w:rsid w:val="007D7C83"/>
    <w:rsid w:val="007E01C9"/>
    <w:rsid w:val="007E0218"/>
    <w:rsid w:val="007E063B"/>
    <w:rsid w:val="007E0833"/>
    <w:rsid w:val="007E084D"/>
    <w:rsid w:val="007E0BC4"/>
    <w:rsid w:val="007E0D05"/>
    <w:rsid w:val="007E0D88"/>
    <w:rsid w:val="007E0E18"/>
    <w:rsid w:val="007E0FF7"/>
    <w:rsid w:val="007E10A0"/>
    <w:rsid w:val="007E15BC"/>
    <w:rsid w:val="007E16A4"/>
    <w:rsid w:val="007E17B0"/>
    <w:rsid w:val="007E1AF7"/>
    <w:rsid w:val="007E1B54"/>
    <w:rsid w:val="007E1C2F"/>
    <w:rsid w:val="007E2962"/>
    <w:rsid w:val="007E2B3F"/>
    <w:rsid w:val="007E300C"/>
    <w:rsid w:val="007E341F"/>
    <w:rsid w:val="007E3A63"/>
    <w:rsid w:val="007E3AE6"/>
    <w:rsid w:val="007E3B12"/>
    <w:rsid w:val="007E3B7C"/>
    <w:rsid w:val="007E3CB1"/>
    <w:rsid w:val="007E41F3"/>
    <w:rsid w:val="007E4260"/>
    <w:rsid w:val="007E428C"/>
    <w:rsid w:val="007E42A5"/>
    <w:rsid w:val="007E4351"/>
    <w:rsid w:val="007E4489"/>
    <w:rsid w:val="007E44EF"/>
    <w:rsid w:val="007E459B"/>
    <w:rsid w:val="007E479D"/>
    <w:rsid w:val="007E4D49"/>
    <w:rsid w:val="007E4D68"/>
    <w:rsid w:val="007E4D86"/>
    <w:rsid w:val="007E4E18"/>
    <w:rsid w:val="007E527F"/>
    <w:rsid w:val="007E531A"/>
    <w:rsid w:val="007E537D"/>
    <w:rsid w:val="007E5509"/>
    <w:rsid w:val="007E551D"/>
    <w:rsid w:val="007E56C6"/>
    <w:rsid w:val="007E580D"/>
    <w:rsid w:val="007E5C04"/>
    <w:rsid w:val="007E5C4C"/>
    <w:rsid w:val="007E5DBF"/>
    <w:rsid w:val="007E5F6C"/>
    <w:rsid w:val="007E613B"/>
    <w:rsid w:val="007E62FA"/>
    <w:rsid w:val="007E632F"/>
    <w:rsid w:val="007E6694"/>
    <w:rsid w:val="007E6944"/>
    <w:rsid w:val="007E6A85"/>
    <w:rsid w:val="007E6E59"/>
    <w:rsid w:val="007E6E98"/>
    <w:rsid w:val="007E6F51"/>
    <w:rsid w:val="007E6F60"/>
    <w:rsid w:val="007E7099"/>
    <w:rsid w:val="007E72B8"/>
    <w:rsid w:val="007E7326"/>
    <w:rsid w:val="007E7357"/>
    <w:rsid w:val="007E73C0"/>
    <w:rsid w:val="007E7438"/>
    <w:rsid w:val="007E744A"/>
    <w:rsid w:val="007E76F7"/>
    <w:rsid w:val="007E7D69"/>
    <w:rsid w:val="007E7D86"/>
    <w:rsid w:val="007E7DA2"/>
    <w:rsid w:val="007E7DDB"/>
    <w:rsid w:val="007E7F12"/>
    <w:rsid w:val="007F02F3"/>
    <w:rsid w:val="007F039A"/>
    <w:rsid w:val="007F0893"/>
    <w:rsid w:val="007F0DD2"/>
    <w:rsid w:val="007F0F93"/>
    <w:rsid w:val="007F103B"/>
    <w:rsid w:val="007F1128"/>
    <w:rsid w:val="007F11A9"/>
    <w:rsid w:val="007F13A0"/>
    <w:rsid w:val="007F145F"/>
    <w:rsid w:val="007F1669"/>
    <w:rsid w:val="007F1CF8"/>
    <w:rsid w:val="007F1D52"/>
    <w:rsid w:val="007F235B"/>
    <w:rsid w:val="007F2902"/>
    <w:rsid w:val="007F2AFC"/>
    <w:rsid w:val="007F2E84"/>
    <w:rsid w:val="007F2E99"/>
    <w:rsid w:val="007F2EED"/>
    <w:rsid w:val="007F2FC4"/>
    <w:rsid w:val="007F3010"/>
    <w:rsid w:val="007F3066"/>
    <w:rsid w:val="007F31A4"/>
    <w:rsid w:val="007F32C6"/>
    <w:rsid w:val="007F3305"/>
    <w:rsid w:val="007F3419"/>
    <w:rsid w:val="007F3505"/>
    <w:rsid w:val="007F3703"/>
    <w:rsid w:val="007F370C"/>
    <w:rsid w:val="007F3864"/>
    <w:rsid w:val="007F3B89"/>
    <w:rsid w:val="007F3BED"/>
    <w:rsid w:val="007F3C38"/>
    <w:rsid w:val="007F3C3C"/>
    <w:rsid w:val="007F444A"/>
    <w:rsid w:val="007F4608"/>
    <w:rsid w:val="007F4721"/>
    <w:rsid w:val="007F4788"/>
    <w:rsid w:val="007F48E0"/>
    <w:rsid w:val="007F4BF5"/>
    <w:rsid w:val="007F4C12"/>
    <w:rsid w:val="007F4E28"/>
    <w:rsid w:val="007F4F1D"/>
    <w:rsid w:val="007F5222"/>
    <w:rsid w:val="007F536E"/>
    <w:rsid w:val="007F546E"/>
    <w:rsid w:val="007F5702"/>
    <w:rsid w:val="007F5841"/>
    <w:rsid w:val="007F593E"/>
    <w:rsid w:val="007F598E"/>
    <w:rsid w:val="007F5D28"/>
    <w:rsid w:val="007F5DCD"/>
    <w:rsid w:val="007F5FF7"/>
    <w:rsid w:val="007F6083"/>
    <w:rsid w:val="007F62F9"/>
    <w:rsid w:val="007F6496"/>
    <w:rsid w:val="007F6561"/>
    <w:rsid w:val="007F6771"/>
    <w:rsid w:val="007F6B3E"/>
    <w:rsid w:val="007F6BB6"/>
    <w:rsid w:val="007F6E3C"/>
    <w:rsid w:val="007F6EF8"/>
    <w:rsid w:val="007F7082"/>
    <w:rsid w:val="007F719B"/>
    <w:rsid w:val="007F71D0"/>
    <w:rsid w:val="007F7385"/>
    <w:rsid w:val="007F7391"/>
    <w:rsid w:val="007F76C0"/>
    <w:rsid w:val="007F7987"/>
    <w:rsid w:val="007F7B5B"/>
    <w:rsid w:val="007F7E65"/>
    <w:rsid w:val="00800026"/>
    <w:rsid w:val="008003AE"/>
    <w:rsid w:val="00800A6C"/>
    <w:rsid w:val="008012A9"/>
    <w:rsid w:val="00801683"/>
    <w:rsid w:val="008018FC"/>
    <w:rsid w:val="00801B62"/>
    <w:rsid w:val="00801D84"/>
    <w:rsid w:val="00801EEA"/>
    <w:rsid w:val="00801F3C"/>
    <w:rsid w:val="00801FE8"/>
    <w:rsid w:val="00802132"/>
    <w:rsid w:val="00802134"/>
    <w:rsid w:val="008022DB"/>
    <w:rsid w:val="0080235C"/>
    <w:rsid w:val="00802594"/>
    <w:rsid w:val="008025A4"/>
    <w:rsid w:val="00802631"/>
    <w:rsid w:val="00802EF6"/>
    <w:rsid w:val="00802F22"/>
    <w:rsid w:val="00803098"/>
    <w:rsid w:val="00803114"/>
    <w:rsid w:val="008032DF"/>
    <w:rsid w:val="0080332B"/>
    <w:rsid w:val="008033B9"/>
    <w:rsid w:val="0080359A"/>
    <w:rsid w:val="008036B1"/>
    <w:rsid w:val="008037E8"/>
    <w:rsid w:val="008039B1"/>
    <w:rsid w:val="00803A8F"/>
    <w:rsid w:val="00803B1E"/>
    <w:rsid w:val="00803C37"/>
    <w:rsid w:val="00803F3B"/>
    <w:rsid w:val="00804602"/>
    <w:rsid w:val="008046E7"/>
    <w:rsid w:val="00804A6D"/>
    <w:rsid w:val="0080502A"/>
    <w:rsid w:val="00805488"/>
    <w:rsid w:val="00805ED4"/>
    <w:rsid w:val="00805F59"/>
    <w:rsid w:val="008060CA"/>
    <w:rsid w:val="008061B5"/>
    <w:rsid w:val="0080634D"/>
    <w:rsid w:val="008063EA"/>
    <w:rsid w:val="0080665E"/>
    <w:rsid w:val="008066E9"/>
    <w:rsid w:val="0080693F"/>
    <w:rsid w:val="00806AF6"/>
    <w:rsid w:val="00806EF2"/>
    <w:rsid w:val="00807022"/>
    <w:rsid w:val="008072B6"/>
    <w:rsid w:val="008072D5"/>
    <w:rsid w:val="008074A2"/>
    <w:rsid w:val="008076D1"/>
    <w:rsid w:val="0080794E"/>
    <w:rsid w:val="00807A66"/>
    <w:rsid w:val="00807C10"/>
    <w:rsid w:val="00807FA1"/>
    <w:rsid w:val="008100B9"/>
    <w:rsid w:val="00810377"/>
    <w:rsid w:val="00810382"/>
    <w:rsid w:val="008107C6"/>
    <w:rsid w:val="008108AD"/>
    <w:rsid w:val="008109D3"/>
    <w:rsid w:val="00810BDF"/>
    <w:rsid w:val="0081108F"/>
    <w:rsid w:val="008114BA"/>
    <w:rsid w:val="0081155D"/>
    <w:rsid w:val="00811AD4"/>
    <w:rsid w:val="00811D4D"/>
    <w:rsid w:val="00812139"/>
    <w:rsid w:val="008122FD"/>
    <w:rsid w:val="00812368"/>
    <w:rsid w:val="0081260E"/>
    <w:rsid w:val="0081262C"/>
    <w:rsid w:val="008126F1"/>
    <w:rsid w:val="008127DB"/>
    <w:rsid w:val="0081280B"/>
    <w:rsid w:val="0081283B"/>
    <w:rsid w:val="00812977"/>
    <w:rsid w:val="00812B5A"/>
    <w:rsid w:val="00812CC9"/>
    <w:rsid w:val="00812E58"/>
    <w:rsid w:val="00813186"/>
    <w:rsid w:val="00813254"/>
    <w:rsid w:val="008138B2"/>
    <w:rsid w:val="008139C1"/>
    <w:rsid w:val="00813AAB"/>
    <w:rsid w:val="00813F32"/>
    <w:rsid w:val="00813FCC"/>
    <w:rsid w:val="00814036"/>
    <w:rsid w:val="0081408A"/>
    <w:rsid w:val="00814128"/>
    <w:rsid w:val="00814274"/>
    <w:rsid w:val="0081444B"/>
    <w:rsid w:val="00814535"/>
    <w:rsid w:val="00814731"/>
    <w:rsid w:val="00814867"/>
    <w:rsid w:val="00814995"/>
    <w:rsid w:val="008149D5"/>
    <w:rsid w:val="00814AB4"/>
    <w:rsid w:val="00814FBA"/>
    <w:rsid w:val="00814FE8"/>
    <w:rsid w:val="008150B9"/>
    <w:rsid w:val="008150D6"/>
    <w:rsid w:val="00815295"/>
    <w:rsid w:val="0081534D"/>
    <w:rsid w:val="008154CB"/>
    <w:rsid w:val="008157AA"/>
    <w:rsid w:val="00815AA7"/>
    <w:rsid w:val="00816373"/>
    <w:rsid w:val="008163D2"/>
    <w:rsid w:val="0081657A"/>
    <w:rsid w:val="008165BD"/>
    <w:rsid w:val="008168C3"/>
    <w:rsid w:val="00816B5D"/>
    <w:rsid w:val="00816C50"/>
    <w:rsid w:val="00816D32"/>
    <w:rsid w:val="00816D4D"/>
    <w:rsid w:val="00816DC7"/>
    <w:rsid w:val="0081713B"/>
    <w:rsid w:val="008171FE"/>
    <w:rsid w:val="008172A2"/>
    <w:rsid w:val="008172DE"/>
    <w:rsid w:val="00817310"/>
    <w:rsid w:val="00817354"/>
    <w:rsid w:val="00817761"/>
    <w:rsid w:val="008178BA"/>
    <w:rsid w:val="00817D91"/>
    <w:rsid w:val="00817DB2"/>
    <w:rsid w:val="00817FCD"/>
    <w:rsid w:val="008201A1"/>
    <w:rsid w:val="0082032C"/>
    <w:rsid w:val="00820767"/>
    <w:rsid w:val="008207CE"/>
    <w:rsid w:val="0082096F"/>
    <w:rsid w:val="00820D68"/>
    <w:rsid w:val="00821032"/>
    <w:rsid w:val="0082112B"/>
    <w:rsid w:val="008211E9"/>
    <w:rsid w:val="00821202"/>
    <w:rsid w:val="00821808"/>
    <w:rsid w:val="008218FC"/>
    <w:rsid w:val="00821B5F"/>
    <w:rsid w:val="00821D68"/>
    <w:rsid w:val="00822210"/>
    <w:rsid w:val="00822624"/>
    <w:rsid w:val="00822676"/>
    <w:rsid w:val="00822B45"/>
    <w:rsid w:val="00822BE0"/>
    <w:rsid w:val="00822C19"/>
    <w:rsid w:val="00822E17"/>
    <w:rsid w:val="0082306F"/>
    <w:rsid w:val="0082313F"/>
    <w:rsid w:val="0082321B"/>
    <w:rsid w:val="008232C3"/>
    <w:rsid w:val="008234BD"/>
    <w:rsid w:val="00823927"/>
    <w:rsid w:val="008239C8"/>
    <w:rsid w:val="00823DA1"/>
    <w:rsid w:val="00823DF5"/>
    <w:rsid w:val="00823E95"/>
    <w:rsid w:val="00824064"/>
    <w:rsid w:val="0082430F"/>
    <w:rsid w:val="008245BF"/>
    <w:rsid w:val="0082466D"/>
    <w:rsid w:val="008246C5"/>
    <w:rsid w:val="00824A8B"/>
    <w:rsid w:val="00824BFE"/>
    <w:rsid w:val="00824D84"/>
    <w:rsid w:val="00824E57"/>
    <w:rsid w:val="00824F73"/>
    <w:rsid w:val="00825D9C"/>
    <w:rsid w:val="00825F04"/>
    <w:rsid w:val="0082635D"/>
    <w:rsid w:val="008265CD"/>
    <w:rsid w:val="008265E9"/>
    <w:rsid w:val="00826763"/>
    <w:rsid w:val="008268DA"/>
    <w:rsid w:val="00826A64"/>
    <w:rsid w:val="00826B21"/>
    <w:rsid w:val="00826F1D"/>
    <w:rsid w:val="00826F7D"/>
    <w:rsid w:val="008270FB"/>
    <w:rsid w:val="00827293"/>
    <w:rsid w:val="008272C8"/>
    <w:rsid w:val="00827430"/>
    <w:rsid w:val="008274A3"/>
    <w:rsid w:val="0082790F"/>
    <w:rsid w:val="00827FC3"/>
    <w:rsid w:val="00830233"/>
    <w:rsid w:val="0083059E"/>
    <w:rsid w:val="00830632"/>
    <w:rsid w:val="008306C4"/>
    <w:rsid w:val="0083074F"/>
    <w:rsid w:val="008307DF"/>
    <w:rsid w:val="008311F5"/>
    <w:rsid w:val="00831219"/>
    <w:rsid w:val="0083124B"/>
    <w:rsid w:val="00831814"/>
    <w:rsid w:val="008318CC"/>
    <w:rsid w:val="0083198F"/>
    <w:rsid w:val="00831B47"/>
    <w:rsid w:val="00831C34"/>
    <w:rsid w:val="00831F6E"/>
    <w:rsid w:val="008323F1"/>
    <w:rsid w:val="0083285E"/>
    <w:rsid w:val="00832988"/>
    <w:rsid w:val="00832A8C"/>
    <w:rsid w:val="00832AE6"/>
    <w:rsid w:val="00832B8C"/>
    <w:rsid w:val="00832BA9"/>
    <w:rsid w:val="00832DDA"/>
    <w:rsid w:val="00832E27"/>
    <w:rsid w:val="00832F55"/>
    <w:rsid w:val="0083306C"/>
    <w:rsid w:val="0083333C"/>
    <w:rsid w:val="00833961"/>
    <w:rsid w:val="00833AB0"/>
    <w:rsid w:val="00833B16"/>
    <w:rsid w:val="00833B30"/>
    <w:rsid w:val="00833BCF"/>
    <w:rsid w:val="00833BD0"/>
    <w:rsid w:val="00833E95"/>
    <w:rsid w:val="00833F8D"/>
    <w:rsid w:val="008340B3"/>
    <w:rsid w:val="008343E9"/>
    <w:rsid w:val="008345AE"/>
    <w:rsid w:val="00834615"/>
    <w:rsid w:val="00834620"/>
    <w:rsid w:val="00834782"/>
    <w:rsid w:val="008349B7"/>
    <w:rsid w:val="00834BFD"/>
    <w:rsid w:val="00835018"/>
    <w:rsid w:val="008353BB"/>
    <w:rsid w:val="0083561B"/>
    <w:rsid w:val="00835708"/>
    <w:rsid w:val="0083582A"/>
    <w:rsid w:val="00835A76"/>
    <w:rsid w:val="00835B54"/>
    <w:rsid w:val="00835C9F"/>
    <w:rsid w:val="00835CCB"/>
    <w:rsid w:val="00835E25"/>
    <w:rsid w:val="00836153"/>
    <w:rsid w:val="00836699"/>
    <w:rsid w:val="00836C3C"/>
    <w:rsid w:val="00836E21"/>
    <w:rsid w:val="00836F14"/>
    <w:rsid w:val="0083706B"/>
    <w:rsid w:val="00837091"/>
    <w:rsid w:val="00837458"/>
    <w:rsid w:val="0083747C"/>
    <w:rsid w:val="008377B2"/>
    <w:rsid w:val="008378A7"/>
    <w:rsid w:val="00837906"/>
    <w:rsid w:val="00837EB4"/>
    <w:rsid w:val="008402CE"/>
    <w:rsid w:val="00840B14"/>
    <w:rsid w:val="00840E75"/>
    <w:rsid w:val="00840F12"/>
    <w:rsid w:val="00841111"/>
    <w:rsid w:val="0084142F"/>
    <w:rsid w:val="00841799"/>
    <w:rsid w:val="008418C1"/>
    <w:rsid w:val="0084193C"/>
    <w:rsid w:val="00841ABB"/>
    <w:rsid w:val="00841D3E"/>
    <w:rsid w:val="0084212F"/>
    <w:rsid w:val="008422EE"/>
    <w:rsid w:val="00842393"/>
    <w:rsid w:val="0084262B"/>
    <w:rsid w:val="00842637"/>
    <w:rsid w:val="0084270B"/>
    <w:rsid w:val="00842790"/>
    <w:rsid w:val="00842AB6"/>
    <w:rsid w:val="00842BB9"/>
    <w:rsid w:val="00842BD5"/>
    <w:rsid w:val="00842DAB"/>
    <w:rsid w:val="00842E8B"/>
    <w:rsid w:val="00842F0B"/>
    <w:rsid w:val="008430F1"/>
    <w:rsid w:val="008436FD"/>
    <w:rsid w:val="00843A37"/>
    <w:rsid w:val="00843AB4"/>
    <w:rsid w:val="00843DEB"/>
    <w:rsid w:val="00843E0E"/>
    <w:rsid w:val="00843EB1"/>
    <w:rsid w:val="008441E5"/>
    <w:rsid w:val="008441FF"/>
    <w:rsid w:val="00844200"/>
    <w:rsid w:val="008445A6"/>
    <w:rsid w:val="00844743"/>
    <w:rsid w:val="00844785"/>
    <w:rsid w:val="00844850"/>
    <w:rsid w:val="00844A6C"/>
    <w:rsid w:val="00844D03"/>
    <w:rsid w:val="00844DBE"/>
    <w:rsid w:val="00844F31"/>
    <w:rsid w:val="00844F4A"/>
    <w:rsid w:val="00845105"/>
    <w:rsid w:val="008454F5"/>
    <w:rsid w:val="00845532"/>
    <w:rsid w:val="00845799"/>
    <w:rsid w:val="00845820"/>
    <w:rsid w:val="008458F2"/>
    <w:rsid w:val="00845AAC"/>
    <w:rsid w:val="00845C89"/>
    <w:rsid w:val="00845FED"/>
    <w:rsid w:val="00846111"/>
    <w:rsid w:val="008468DC"/>
    <w:rsid w:val="00846D37"/>
    <w:rsid w:val="00847052"/>
    <w:rsid w:val="0084706C"/>
    <w:rsid w:val="0084737B"/>
    <w:rsid w:val="008474B6"/>
    <w:rsid w:val="008474EB"/>
    <w:rsid w:val="0084788E"/>
    <w:rsid w:val="008478D4"/>
    <w:rsid w:val="00847B37"/>
    <w:rsid w:val="00847CC4"/>
    <w:rsid w:val="00847D61"/>
    <w:rsid w:val="00847EDF"/>
    <w:rsid w:val="00847F93"/>
    <w:rsid w:val="00847F9E"/>
    <w:rsid w:val="0085020B"/>
    <w:rsid w:val="008502B1"/>
    <w:rsid w:val="0085033E"/>
    <w:rsid w:val="00850443"/>
    <w:rsid w:val="008504E9"/>
    <w:rsid w:val="00850528"/>
    <w:rsid w:val="0085063B"/>
    <w:rsid w:val="008507CC"/>
    <w:rsid w:val="00850B12"/>
    <w:rsid w:val="00850BDC"/>
    <w:rsid w:val="0085106D"/>
    <w:rsid w:val="00851122"/>
    <w:rsid w:val="008514C8"/>
    <w:rsid w:val="00851574"/>
    <w:rsid w:val="008517DC"/>
    <w:rsid w:val="00851924"/>
    <w:rsid w:val="0085198D"/>
    <w:rsid w:val="008519CB"/>
    <w:rsid w:val="00851E81"/>
    <w:rsid w:val="00851FAD"/>
    <w:rsid w:val="0085206B"/>
    <w:rsid w:val="00852147"/>
    <w:rsid w:val="00852220"/>
    <w:rsid w:val="008524A8"/>
    <w:rsid w:val="00852536"/>
    <w:rsid w:val="00852562"/>
    <w:rsid w:val="008525ED"/>
    <w:rsid w:val="00852B40"/>
    <w:rsid w:val="00852BCE"/>
    <w:rsid w:val="00852C60"/>
    <w:rsid w:val="00852DBF"/>
    <w:rsid w:val="00853385"/>
    <w:rsid w:val="008533DA"/>
    <w:rsid w:val="008535DF"/>
    <w:rsid w:val="008536A0"/>
    <w:rsid w:val="0085377D"/>
    <w:rsid w:val="00853895"/>
    <w:rsid w:val="00853BF0"/>
    <w:rsid w:val="00853DBF"/>
    <w:rsid w:val="00853E74"/>
    <w:rsid w:val="00853F2F"/>
    <w:rsid w:val="00854081"/>
    <w:rsid w:val="008544EA"/>
    <w:rsid w:val="008545A3"/>
    <w:rsid w:val="00854A89"/>
    <w:rsid w:val="00854B2A"/>
    <w:rsid w:val="00854C6F"/>
    <w:rsid w:val="0085508F"/>
    <w:rsid w:val="008551B4"/>
    <w:rsid w:val="0085521A"/>
    <w:rsid w:val="008553E5"/>
    <w:rsid w:val="0085580B"/>
    <w:rsid w:val="00855882"/>
    <w:rsid w:val="00855A58"/>
    <w:rsid w:val="00855B52"/>
    <w:rsid w:val="00855B76"/>
    <w:rsid w:val="00855EE6"/>
    <w:rsid w:val="008561F4"/>
    <w:rsid w:val="008567EC"/>
    <w:rsid w:val="0085696B"/>
    <w:rsid w:val="00856B32"/>
    <w:rsid w:val="00856DF3"/>
    <w:rsid w:val="00856FE9"/>
    <w:rsid w:val="00857265"/>
    <w:rsid w:val="008572BD"/>
    <w:rsid w:val="0085792E"/>
    <w:rsid w:val="00857E35"/>
    <w:rsid w:val="00860414"/>
    <w:rsid w:val="008605CA"/>
    <w:rsid w:val="00860BB2"/>
    <w:rsid w:val="00860F2C"/>
    <w:rsid w:val="00861851"/>
    <w:rsid w:val="008618F1"/>
    <w:rsid w:val="00861A0B"/>
    <w:rsid w:val="00861E24"/>
    <w:rsid w:val="00861EEF"/>
    <w:rsid w:val="00861FAB"/>
    <w:rsid w:val="00862AFB"/>
    <w:rsid w:val="00862BD9"/>
    <w:rsid w:val="00862C55"/>
    <w:rsid w:val="00862C5C"/>
    <w:rsid w:val="00862D22"/>
    <w:rsid w:val="00862D80"/>
    <w:rsid w:val="00862E44"/>
    <w:rsid w:val="00863255"/>
    <w:rsid w:val="00863368"/>
    <w:rsid w:val="008634AD"/>
    <w:rsid w:val="00863533"/>
    <w:rsid w:val="008636D3"/>
    <w:rsid w:val="00863937"/>
    <w:rsid w:val="0086394B"/>
    <w:rsid w:val="00863CD4"/>
    <w:rsid w:val="00863D5D"/>
    <w:rsid w:val="008642A0"/>
    <w:rsid w:val="0086447D"/>
    <w:rsid w:val="00864A3B"/>
    <w:rsid w:val="008652E2"/>
    <w:rsid w:val="00865352"/>
    <w:rsid w:val="0086558C"/>
    <w:rsid w:val="00865A68"/>
    <w:rsid w:val="00865BA1"/>
    <w:rsid w:val="00866016"/>
    <w:rsid w:val="00866514"/>
    <w:rsid w:val="0086656C"/>
    <w:rsid w:val="00867016"/>
    <w:rsid w:val="00867211"/>
    <w:rsid w:val="008676A4"/>
    <w:rsid w:val="008676B4"/>
    <w:rsid w:val="00867715"/>
    <w:rsid w:val="00867973"/>
    <w:rsid w:val="00867D04"/>
    <w:rsid w:val="00867F3E"/>
    <w:rsid w:val="0087001D"/>
    <w:rsid w:val="0087022F"/>
    <w:rsid w:val="0087032D"/>
    <w:rsid w:val="00870589"/>
    <w:rsid w:val="0087096D"/>
    <w:rsid w:val="00870C07"/>
    <w:rsid w:val="00870E85"/>
    <w:rsid w:val="00870FF1"/>
    <w:rsid w:val="00870FF9"/>
    <w:rsid w:val="00871B5D"/>
    <w:rsid w:val="00871FC1"/>
    <w:rsid w:val="008724EF"/>
    <w:rsid w:val="0087269E"/>
    <w:rsid w:val="008728F0"/>
    <w:rsid w:val="0087297F"/>
    <w:rsid w:val="008729B4"/>
    <w:rsid w:val="00872A87"/>
    <w:rsid w:val="00872C48"/>
    <w:rsid w:val="00872D9E"/>
    <w:rsid w:val="00872EEA"/>
    <w:rsid w:val="00873010"/>
    <w:rsid w:val="00873053"/>
    <w:rsid w:val="008730CC"/>
    <w:rsid w:val="00873126"/>
    <w:rsid w:val="008732D1"/>
    <w:rsid w:val="00873960"/>
    <w:rsid w:val="008739A6"/>
    <w:rsid w:val="00873A4C"/>
    <w:rsid w:val="00873B0B"/>
    <w:rsid w:val="00873B45"/>
    <w:rsid w:val="00873FF7"/>
    <w:rsid w:val="008742AB"/>
    <w:rsid w:val="0087434B"/>
    <w:rsid w:val="0087455A"/>
    <w:rsid w:val="00874873"/>
    <w:rsid w:val="00874882"/>
    <w:rsid w:val="008748F0"/>
    <w:rsid w:val="008749B2"/>
    <w:rsid w:val="008749B5"/>
    <w:rsid w:val="00874B5C"/>
    <w:rsid w:val="00874C87"/>
    <w:rsid w:val="00874E0C"/>
    <w:rsid w:val="00875227"/>
    <w:rsid w:val="008752D5"/>
    <w:rsid w:val="00875439"/>
    <w:rsid w:val="00875549"/>
    <w:rsid w:val="008756CB"/>
    <w:rsid w:val="0087572C"/>
    <w:rsid w:val="00875898"/>
    <w:rsid w:val="008758B7"/>
    <w:rsid w:val="008758C2"/>
    <w:rsid w:val="008758C4"/>
    <w:rsid w:val="00875A57"/>
    <w:rsid w:val="00875C73"/>
    <w:rsid w:val="00875DDF"/>
    <w:rsid w:val="00876141"/>
    <w:rsid w:val="00876459"/>
    <w:rsid w:val="00876515"/>
    <w:rsid w:val="0087696B"/>
    <w:rsid w:val="00876BDC"/>
    <w:rsid w:val="00876C14"/>
    <w:rsid w:val="00876DD5"/>
    <w:rsid w:val="008771C3"/>
    <w:rsid w:val="008771DC"/>
    <w:rsid w:val="0087741F"/>
    <w:rsid w:val="0087758F"/>
    <w:rsid w:val="00877722"/>
    <w:rsid w:val="00877C2F"/>
    <w:rsid w:val="00880016"/>
    <w:rsid w:val="0088015A"/>
    <w:rsid w:val="00880433"/>
    <w:rsid w:val="00880565"/>
    <w:rsid w:val="00880632"/>
    <w:rsid w:val="00880842"/>
    <w:rsid w:val="00880B71"/>
    <w:rsid w:val="00880BFD"/>
    <w:rsid w:val="00880ECA"/>
    <w:rsid w:val="00881100"/>
    <w:rsid w:val="00881375"/>
    <w:rsid w:val="00881463"/>
    <w:rsid w:val="008818B6"/>
    <w:rsid w:val="008818F7"/>
    <w:rsid w:val="00881B4B"/>
    <w:rsid w:val="00881C1B"/>
    <w:rsid w:val="00881D22"/>
    <w:rsid w:val="00881D60"/>
    <w:rsid w:val="00881EE0"/>
    <w:rsid w:val="0088211A"/>
    <w:rsid w:val="00882231"/>
    <w:rsid w:val="00882287"/>
    <w:rsid w:val="00882778"/>
    <w:rsid w:val="00882829"/>
    <w:rsid w:val="00882847"/>
    <w:rsid w:val="00882857"/>
    <w:rsid w:val="0088294E"/>
    <w:rsid w:val="00882A84"/>
    <w:rsid w:val="00882A96"/>
    <w:rsid w:val="00882B34"/>
    <w:rsid w:val="00882CBE"/>
    <w:rsid w:val="00882D81"/>
    <w:rsid w:val="00882EBA"/>
    <w:rsid w:val="00882FC0"/>
    <w:rsid w:val="00883009"/>
    <w:rsid w:val="008830EB"/>
    <w:rsid w:val="00883B5D"/>
    <w:rsid w:val="00883CB3"/>
    <w:rsid w:val="00883F7F"/>
    <w:rsid w:val="00883FE2"/>
    <w:rsid w:val="00884134"/>
    <w:rsid w:val="00884971"/>
    <w:rsid w:val="00884A7D"/>
    <w:rsid w:val="00884AEE"/>
    <w:rsid w:val="00884E0C"/>
    <w:rsid w:val="00884FEA"/>
    <w:rsid w:val="00885459"/>
    <w:rsid w:val="008855D4"/>
    <w:rsid w:val="008858E5"/>
    <w:rsid w:val="00885F89"/>
    <w:rsid w:val="0088634E"/>
    <w:rsid w:val="008863B4"/>
    <w:rsid w:val="008863F4"/>
    <w:rsid w:val="008865B6"/>
    <w:rsid w:val="00886699"/>
    <w:rsid w:val="00886A57"/>
    <w:rsid w:val="00886ACA"/>
    <w:rsid w:val="00886AE3"/>
    <w:rsid w:val="00886F83"/>
    <w:rsid w:val="00886F8C"/>
    <w:rsid w:val="00887110"/>
    <w:rsid w:val="00887301"/>
    <w:rsid w:val="008873D4"/>
    <w:rsid w:val="008875E1"/>
    <w:rsid w:val="00887A1F"/>
    <w:rsid w:val="00887CD0"/>
    <w:rsid w:val="00887CE7"/>
    <w:rsid w:val="00887F32"/>
    <w:rsid w:val="008901D1"/>
    <w:rsid w:val="00890397"/>
    <w:rsid w:val="008903CC"/>
    <w:rsid w:val="008904DF"/>
    <w:rsid w:val="00890698"/>
    <w:rsid w:val="00890857"/>
    <w:rsid w:val="00890989"/>
    <w:rsid w:val="00890A86"/>
    <w:rsid w:val="00890D69"/>
    <w:rsid w:val="0089103D"/>
    <w:rsid w:val="008910B5"/>
    <w:rsid w:val="00891576"/>
    <w:rsid w:val="0089183C"/>
    <w:rsid w:val="00891949"/>
    <w:rsid w:val="00891B0C"/>
    <w:rsid w:val="00892216"/>
    <w:rsid w:val="0089247E"/>
    <w:rsid w:val="008925CF"/>
    <w:rsid w:val="0089265A"/>
    <w:rsid w:val="008926C1"/>
    <w:rsid w:val="008926E0"/>
    <w:rsid w:val="00892940"/>
    <w:rsid w:val="00892C87"/>
    <w:rsid w:val="00892D4F"/>
    <w:rsid w:val="00892DD0"/>
    <w:rsid w:val="00892F9A"/>
    <w:rsid w:val="0089342A"/>
    <w:rsid w:val="0089378A"/>
    <w:rsid w:val="00893A80"/>
    <w:rsid w:val="00893B00"/>
    <w:rsid w:val="00893CE6"/>
    <w:rsid w:val="00893D8A"/>
    <w:rsid w:val="00893DC9"/>
    <w:rsid w:val="008944E2"/>
    <w:rsid w:val="00894547"/>
    <w:rsid w:val="008945C9"/>
    <w:rsid w:val="00894770"/>
    <w:rsid w:val="00894821"/>
    <w:rsid w:val="00894832"/>
    <w:rsid w:val="00894865"/>
    <w:rsid w:val="00894C18"/>
    <w:rsid w:val="00894CE0"/>
    <w:rsid w:val="00894D44"/>
    <w:rsid w:val="00894F21"/>
    <w:rsid w:val="008950B9"/>
    <w:rsid w:val="0089533A"/>
    <w:rsid w:val="0089536D"/>
    <w:rsid w:val="0089538F"/>
    <w:rsid w:val="0089579D"/>
    <w:rsid w:val="00895A18"/>
    <w:rsid w:val="00895D7A"/>
    <w:rsid w:val="00895EC7"/>
    <w:rsid w:val="008961A3"/>
    <w:rsid w:val="008961E3"/>
    <w:rsid w:val="00896499"/>
    <w:rsid w:val="0089675B"/>
    <w:rsid w:val="008968E9"/>
    <w:rsid w:val="0089699D"/>
    <w:rsid w:val="00896E2D"/>
    <w:rsid w:val="00897031"/>
    <w:rsid w:val="00897224"/>
    <w:rsid w:val="008974BA"/>
    <w:rsid w:val="008974F2"/>
    <w:rsid w:val="00897567"/>
    <w:rsid w:val="008A0249"/>
    <w:rsid w:val="008A02D4"/>
    <w:rsid w:val="008A06F7"/>
    <w:rsid w:val="008A0937"/>
    <w:rsid w:val="008A0C99"/>
    <w:rsid w:val="008A0D65"/>
    <w:rsid w:val="008A0F6E"/>
    <w:rsid w:val="008A1623"/>
    <w:rsid w:val="008A1B40"/>
    <w:rsid w:val="008A1C32"/>
    <w:rsid w:val="008A1D8D"/>
    <w:rsid w:val="008A221B"/>
    <w:rsid w:val="008A22F5"/>
    <w:rsid w:val="008A234A"/>
    <w:rsid w:val="008A2511"/>
    <w:rsid w:val="008A2B25"/>
    <w:rsid w:val="008A2B54"/>
    <w:rsid w:val="008A2CD7"/>
    <w:rsid w:val="008A2CDF"/>
    <w:rsid w:val="008A2EE9"/>
    <w:rsid w:val="008A3267"/>
    <w:rsid w:val="008A33EB"/>
    <w:rsid w:val="008A34A4"/>
    <w:rsid w:val="008A35B2"/>
    <w:rsid w:val="008A3627"/>
    <w:rsid w:val="008A3900"/>
    <w:rsid w:val="008A396B"/>
    <w:rsid w:val="008A3E52"/>
    <w:rsid w:val="008A403C"/>
    <w:rsid w:val="008A40F9"/>
    <w:rsid w:val="008A42DB"/>
    <w:rsid w:val="008A4774"/>
    <w:rsid w:val="008A4A71"/>
    <w:rsid w:val="008A4D2A"/>
    <w:rsid w:val="008A4E3C"/>
    <w:rsid w:val="008A4FE2"/>
    <w:rsid w:val="008A5435"/>
    <w:rsid w:val="008A55C5"/>
    <w:rsid w:val="008A56B3"/>
    <w:rsid w:val="008A5B0F"/>
    <w:rsid w:val="008A5C31"/>
    <w:rsid w:val="008A5C8C"/>
    <w:rsid w:val="008A60DE"/>
    <w:rsid w:val="008A61BC"/>
    <w:rsid w:val="008A622D"/>
    <w:rsid w:val="008A6378"/>
    <w:rsid w:val="008A649E"/>
    <w:rsid w:val="008A6501"/>
    <w:rsid w:val="008A65A0"/>
    <w:rsid w:val="008A6691"/>
    <w:rsid w:val="008A6776"/>
    <w:rsid w:val="008A6A11"/>
    <w:rsid w:val="008A6D75"/>
    <w:rsid w:val="008A6F77"/>
    <w:rsid w:val="008A733E"/>
    <w:rsid w:val="008A7773"/>
    <w:rsid w:val="008A77FF"/>
    <w:rsid w:val="008A7896"/>
    <w:rsid w:val="008A7B76"/>
    <w:rsid w:val="008A7DFE"/>
    <w:rsid w:val="008A7E1C"/>
    <w:rsid w:val="008B03F0"/>
    <w:rsid w:val="008B0478"/>
    <w:rsid w:val="008B0566"/>
    <w:rsid w:val="008B065C"/>
    <w:rsid w:val="008B067E"/>
    <w:rsid w:val="008B0B77"/>
    <w:rsid w:val="008B11D2"/>
    <w:rsid w:val="008B1368"/>
    <w:rsid w:val="008B16CC"/>
    <w:rsid w:val="008B1985"/>
    <w:rsid w:val="008B1C99"/>
    <w:rsid w:val="008B1E12"/>
    <w:rsid w:val="008B1EDB"/>
    <w:rsid w:val="008B2747"/>
    <w:rsid w:val="008B29C5"/>
    <w:rsid w:val="008B2AA6"/>
    <w:rsid w:val="008B2AB4"/>
    <w:rsid w:val="008B2D01"/>
    <w:rsid w:val="008B2DBF"/>
    <w:rsid w:val="008B2F81"/>
    <w:rsid w:val="008B33CA"/>
    <w:rsid w:val="008B3492"/>
    <w:rsid w:val="008B3527"/>
    <w:rsid w:val="008B3641"/>
    <w:rsid w:val="008B37E9"/>
    <w:rsid w:val="008B37F2"/>
    <w:rsid w:val="008B3E1A"/>
    <w:rsid w:val="008B4473"/>
    <w:rsid w:val="008B4475"/>
    <w:rsid w:val="008B44D5"/>
    <w:rsid w:val="008B4531"/>
    <w:rsid w:val="008B4A0C"/>
    <w:rsid w:val="008B4B45"/>
    <w:rsid w:val="008B4C20"/>
    <w:rsid w:val="008B4D85"/>
    <w:rsid w:val="008B4E48"/>
    <w:rsid w:val="008B4EEB"/>
    <w:rsid w:val="008B4F1A"/>
    <w:rsid w:val="008B4F5B"/>
    <w:rsid w:val="008B5271"/>
    <w:rsid w:val="008B52CB"/>
    <w:rsid w:val="008B53CB"/>
    <w:rsid w:val="008B54BF"/>
    <w:rsid w:val="008B54DC"/>
    <w:rsid w:val="008B5B09"/>
    <w:rsid w:val="008B5B10"/>
    <w:rsid w:val="008B5BC3"/>
    <w:rsid w:val="008B5F8B"/>
    <w:rsid w:val="008B634B"/>
    <w:rsid w:val="008B6400"/>
    <w:rsid w:val="008B64D6"/>
    <w:rsid w:val="008B6708"/>
    <w:rsid w:val="008B67FC"/>
    <w:rsid w:val="008B681C"/>
    <w:rsid w:val="008B6879"/>
    <w:rsid w:val="008B6A17"/>
    <w:rsid w:val="008B6B0A"/>
    <w:rsid w:val="008B6C15"/>
    <w:rsid w:val="008B6F98"/>
    <w:rsid w:val="008B7110"/>
    <w:rsid w:val="008B7641"/>
    <w:rsid w:val="008B797C"/>
    <w:rsid w:val="008B797E"/>
    <w:rsid w:val="008B7A7F"/>
    <w:rsid w:val="008B7E84"/>
    <w:rsid w:val="008C047F"/>
    <w:rsid w:val="008C0846"/>
    <w:rsid w:val="008C08EC"/>
    <w:rsid w:val="008C0BE2"/>
    <w:rsid w:val="008C0D0C"/>
    <w:rsid w:val="008C0F6B"/>
    <w:rsid w:val="008C1032"/>
    <w:rsid w:val="008C1220"/>
    <w:rsid w:val="008C12F9"/>
    <w:rsid w:val="008C1354"/>
    <w:rsid w:val="008C142E"/>
    <w:rsid w:val="008C16F9"/>
    <w:rsid w:val="008C18C1"/>
    <w:rsid w:val="008C1C00"/>
    <w:rsid w:val="008C1EB7"/>
    <w:rsid w:val="008C1F30"/>
    <w:rsid w:val="008C2207"/>
    <w:rsid w:val="008C22D0"/>
    <w:rsid w:val="008C22FF"/>
    <w:rsid w:val="008C275B"/>
    <w:rsid w:val="008C2FC2"/>
    <w:rsid w:val="008C2FE1"/>
    <w:rsid w:val="008C30DF"/>
    <w:rsid w:val="008C3226"/>
    <w:rsid w:val="008C3291"/>
    <w:rsid w:val="008C341F"/>
    <w:rsid w:val="008C3591"/>
    <w:rsid w:val="008C3EA4"/>
    <w:rsid w:val="008C426F"/>
    <w:rsid w:val="008C4872"/>
    <w:rsid w:val="008C4E1E"/>
    <w:rsid w:val="008C4F56"/>
    <w:rsid w:val="008C4F76"/>
    <w:rsid w:val="008C505F"/>
    <w:rsid w:val="008C50F7"/>
    <w:rsid w:val="008C52A3"/>
    <w:rsid w:val="008C5373"/>
    <w:rsid w:val="008C56B9"/>
    <w:rsid w:val="008C5811"/>
    <w:rsid w:val="008C58A8"/>
    <w:rsid w:val="008C58D8"/>
    <w:rsid w:val="008C5D09"/>
    <w:rsid w:val="008C5FF4"/>
    <w:rsid w:val="008C60B3"/>
    <w:rsid w:val="008C60F5"/>
    <w:rsid w:val="008C6111"/>
    <w:rsid w:val="008C63A1"/>
    <w:rsid w:val="008C6590"/>
    <w:rsid w:val="008C66B6"/>
    <w:rsid w:val="008C69F2"/>
    <w:rsid w:val="008C6F42"/>
    <w:rsid w:val="008C7179"/>
    <w:rsid w:val="008C767B"/>
    <w:rsid w:val="008C7854"/>
    <w:rsid w:val="008C7959"/>
    <w:rsid w:val="008C7B97"/>
    <w:rsid w:val="008C7D60"/>
    <w:rsid w:val="008C7F83"/>
    <w:rsid w:val="008D01D5"/>
    <w:rsid w:val="008D0241"/>
    <w:rsid w:val="008D02A2"/>
    <w:rsid w:val="008D0391"/>
    <w:rsid w:val="008D087F"/>
    <w:rsid w:val="008D089A"/>
    <w:rsid w:val="008D0A74"/>
    <w:rsid w:val="008D0AA7"/>
    <w:rsid w:val="008D0BFA"/>
    <w:rsid w:val="008D0C22"/>
    <w:rsid w:val="008D0FD2"/>
    <w:rsid w:val="008D15EE"/>
    <w:rsid w:val="008D16D2"/>
    <w:rsid w:val="008D16D6"/>
    <w:rsid w:val="008D189D"/>
    <w:rsid w:val="008D1ADA"/>
    <w:rsid w:val="008D1CFF"/>
    <w:rsid w:val="008D1DDD"/>
    <w:rsid w:val="008D1DEA"/>
    <w:rsid w:val="008D248B"/>
    <w:rsid w:val="008D2580"/>
    <w:rsid w:val="008D26E3"/>
    <w:rsid w:val="008D2C41"/>
    <w:rsid w:val="008D3397"/>
    <w:rsid w:val="008D33C4"/>
    <w:rsid w:val="008D3504"/>
    <w:rsid w:val="008D3517"/>
    <w:rsid w:val="008D353E"/>
    <w:rsid w:val="008D3712"/>
    <w:rsid w:val="008D389F"/>
    <w:rsid w:val="008D3973"/>
    <w:rsid w:val="008D3ADE"/>
    <w:rsid w:val="008D454B"/>
    <w:rsid w:val="008D4714"/>
    <w:rsid w:val="008D4AD3"/>
    <w:rsid w:val="008D4B93"/>
    <w:rsid w:val="008D4C2E"/>
    <w:rsid w:val="008D526A"/>
    <w:rsid w:val="008D5331"/>
    <w:rsid w:val="008D55CE"/>
    <w:rsid w:val="008D565F"/>
    <w:rsid w:val="008D57D6"/>
    <w:rsid w:val="008D5970"/>
    <w:rsid w:val="008D59BB"/>
    <w:rsid w:val="008D5B53"/>
    <w:rsid w:val="008D5C13"/>
    <w:rsid w:val="008D5D93"/>
    <w:rsid w:val="008D60E2"/>
    <w:rsid w:val="008D6198"/>
    <w:rsid w:val="008D62AF"/>
    <w:rsid w:val="008D636F"/>
    <w:rsid w:val="008D63A1"/>
    <w:rsid w:val="008D6765"/>
    <w:rsid w:val="008D68A4"/>
    <w:rsid w:val="008D68E5"/>
    <w:rsid w:val="008D69EA"/>
    <w:rsid w:val="008D6AAB"/>
    <w:rsid w:val="008D6D41"/>
    <w:rsid w:val="008D6E4D"/>
    <w:rsid w:val="008D6E8A"/>
    <w:rsid w:val="008D6F2D"/>
    <w:rsid w:val="008D70AE"/>
    <w:rsid w:val="008D7139"/>
    <w:rsid w:val="008D7270"/>
    <w:rsid w:val="008D72C1"/>
    <w:rsid w:val="008D773C"/>
    <w:rsid w:val="008D7749"/>
    <w:rsid w:val="008D778F"/>
    <w:rsid w:val="008D7877"/>
    <w:rsid w:val="008D7A6A"/>
    <w:rsid w:val="008D7EF7"/>
    <w:rsid w:val="008D7FC8"/>
    <w:rsid w:val="008E0093"/>
    <w:rsid w:val="008E045A"/>
    <w:rsid w:val="008E06D6"/>
    <w:rsid w:val="008E076A"/>
    <w:rsid w:val="008E0B42"/>
    <w:rsid w:val="008E0C4E"/>
    <w:rsid w:val="008E0F1E"/>
    <w:rsid w:val="008E0FAC"/>
    <w:rsid w:val="008E1196"/>
    <w:rsid w:val="008E1721"/>
    <w:rsid w:val="008E1746"/>
    <w:rsid w:val="008E1880"/>
    <w:rsid w:val="008E1B3D"/>
    <w:rsid w:val="008E1F4E"/>
    <w:rsid w:val="008E20DC"/>
    <w:rsid w:val="008E223C"/>
    <w:rsid w:val="008E268F"/>
    <w:rsid w:val="008E27EF"/>
    <w:rsid w:val="008E2B25"/>
    <w:rsid w:val="008E32C6"/>
    <w:rsid w:val="008E3445"/>
    <w:rsid w:val="008E36AD"/>
    <w:rsid w:val="008E390D"/>
    <w:rsid w:val="008E3C68"/>
    <w:rsid w:val="008E44F0"/>
    <w:rsid w:val="008E473A"/>
    <w:rsid w:val="008E49C5"/>
    <w:rsid w:val="008E4C6A"/>
    <w:rsid w:val="008E4EE8"/>
    <w:rsid w:val="008E4FE3"/>
    <w:rsid w:val="008E52A7"/>
    <w:rsid w:val="008E532F"/>
    <w:rsid w:val="008E5640"/>
    <w:rsid w:val="008E58E0"/>
    <w:rsid w:val="008E5960"/>
    <w:rsid w:val="008E5AEB"/>
    <w:rsid w:val="008E5F4A"/>
    <w:rsid w:val="008E5F80"/>
    <w:rsid w:val="008E64EB"/>
    <w:rsid w:val="008E6713"/>
    <w:rsid w:val="008E683C"/>
    <w:rsid w:val="008E68B5"/>
    <w:rsid w:val="008E68E6"/>
    <w:rsid w:val="008E709B"/>
    <w:rsid w:val="008E72A9"/>
    <w:rsid w:val="008E7359"/>
    <w:rsid w:val="008E73A0"/>
    <w:rsid w:val="008E74EA"/>
    <w:rsid w:val="008E76C4"/>
    <w:rsid w:val="008E7855"/>
    <w:rsid w:val="008E7A39"/>
    <w:rsid w:val="008E7AF7"/>
    <w:rsid w:val="008E7DB7"/>
    <w:rsid w:val="008E7F63"/>
    <w:rsid w:val="008F0153"/>
    <w:rsid w:val="008F047C"/>
    <w:rsid w:val="008F04E8"/>
    <w:rsid w:val="008F06A1"/>
    <w:rsid w:val="008F07EA"/>
    <w:rsid w:val="008F10DD"/>
    <w:rsid w:val="008F1260"/>
    <w:rsid w:val="008F167F"/>
    <w:rsid w:val="008F17B0"/>
    <w:rsid w:val="008F17B3"/>
    <w:rsid w:val="008F193A"/>
    <w:rsid w:val="008F20DB"/>
    <w:rsid w:val="008F213D"/>
    <w:rsid w:val="008F2344"/>
    <w:rsid w:val="008F29C6"/>
    <w:rsid w:val="008F2A99"/>
    <w:rsid w:val="008F2D11"/>
    <w:rsid w:val="008F2D79"/>
    <w:rsid w:val="008F2E19"/>
    <w:rsid w:val="008F2E22"/>
    <w:rsid w:val="008F3079"/>
    <w:rsid w:val="008F30DC"/>
    <w:rsid w:val="008F32BC"/>
    <w:rsid w:val="008F3343"/>
    <w:rsid w:val="008F34F3"/>
    <w:rsid w:val="008F358F"/>
    <w:rsid w:val="008F3F2C"/>
    <w:rsid w:val="008F3FCF"/>
    <w:rsid w:val="008F407B"/>
    <w:rsid w:val="008F43C0"/>
    <w:rsid w:val="008F45B8"/>
    <w:rsid w:val="008F46A7"/>
    <w:rsid w:val="008F4A3F"/>
    <w:rsid w:val="008F4F8D"/>
    <w:rsid w:val="008F5507"/>
    <w:rsid w:val="008F55FC"/>
    <w:rsid w:val="008F5B07"/>
    <w:rsid w:val="008F5CF0"/>
    <w:rsid w:val="008F5DF7"/>
    <w:rsid w:val="008F5E0D"/>
    <w:rsid w:val="008F5ED6"/>
    <w:rsid w:val="008F66A5"/>
    <w:rsid w:val="008F677E"/>
    <w:rsid w:val="008F69A8"/>
    <w:rsid w:val="008F6F0E"/>
    <w:rsid w:val="008F6F5D"/>
    <w:rsid w:val="008F72EB"/>
    <w:rsid w:val="008F7347"/>
    <w:rsid w:val="008F748D"/>
    <w:rsid w:val="008F761F"/>
    <w:rsid w:val="008F76B4"/>
    <w:rsid w:val="008F77A1"/>
    <w:rsid w:val="008F7C90"/>
    <w:rsid w:val="008F7CAD"/>
    <w:rsid w:val="009002B2"/>
    <w:rsid w:val="009003DD"/>
    <w:rsid w:val="00900479"/>
    <w:rsid w:val="009007F7"/>
    <w:rsid w:val="0090087A"/>
    <w:rsid w:val="009009E2"/>
    <w:rsid w:val="009009EA"/>
    <w:rsid w:val="00900B85"/>
    <w:rsid w:val="00900D2C"/>
    <w:rsid w:val="00900E7E"/>
    <w:rsid w:val="00900F9E"/>
    <w:rsid w:val="00901183"/>
    <w:rsid w:val="009011C4"/>
    <w:rsid w:val="00901228"/>
    <w:rsid w:val="009015B2"/>
    <w:rsid w:val="00901654"/>
    <w:rsid w:val="0090175E"/>
    <w:rsid w:val="00901822"/>
    <w:rsid w:val="0090192C"/>
    <w:rsid w:val="00901B34"/>
    <w:rsid w:val="00901C4C"/>
    <w:rsid w:val="00901D39"/>
    <w:rsid w:val="00902018"/>
    <w:rsid w:val="009022A1"/>
    <w:rsid w:val="009023AC"/>
    <w:rsid w:val="009023C8"/>
    <w:rsid w:val="009023D4"/>
    <w:rsid w:val="0090250F"/>
    <w:rsid w:val="00902524"/>
    <w:rsid w:val="009027C8"/>
    <w:rsid w:val="00902A07"/>
    <w:rsid w:val="00903507"/>
    <w:rsid w:val="0090355E"/>
    <w:rsid w:val="0090366A"/>
    <w:rsid w:val="009036CF"/>
    <w:rsid w:val="00903761"/>
    <w:rsid w:val="009038C9"/>
    <w:rsid w:val="00903A62"/>
    <w:rsid w:val="00903B92"/>
    <w:rsid w:val="009040A8"/>
    <w:rsid w:val="0090414C"/>
    <w:rsid w:val="00904259"/>
    <w:rsid w:val="00904271"/>
    <w:rsid w:val="009042AC"/>
    <w:rsid w:val="009042F3"/>
    <w:rsid w:val="00904382"/>
    <w:rsid w:val="0090463F"/>
    <w:rsid w:val="00904719"/>
    <w:rsid w:val="009047AF"/>
    <w:rsid w:val="009047FD"/>
    <w:rsid w:val="009048AD"/>
    <w:rsid w:val="009049E5"/>
    <w:rsid w:val="00904AD0"/>
    <w:rsid w:val="00904B0E"/>
    <w:rsid w:val="00904CFF"/>
    <w:rsid w:val="00904F4F"/>
    <w:rsid w:val="00905278"/>
    <w:rsid w:val="00905492"/>
    <w:rsid w:val="009055DD"/>
    <w:rsid w:val="00905C44"/>
    <w:rsid w:val="00905DB4"/>
    <w:rsid w:val="00906266"/>
    <w:rsid w:val="00906376"/>
    <w:rsid w:val="009063A3"/>
    <w:rsid w:val="009063AA"/>
    <w:rsid w:val="0090678C"/>
    <w:rsid w:val="00906D2F"/>
    <w:rsid w:val="00906D40"/>
    <w:rsid w:val="00906F30"/>
    <w:rsid w:val="00907043"/>
    <w:rsid w:val="0090720D"/>
    <w:rsid w:val="00907273"/>
    <w:rsid w:val="009072C3"/>
    <w:rsid w:val="009075F3"/>
    <w:rsid w:val="00907895"/>
    <w:rsid w:val="00907919"/>
    <w:rsid w:val="009079A6"/>
    <w:rsid w:val="00907F10"/>
    <w:rsid w:val="00907F9D"/>
    <w:rsid w:val="009100F8"/>
    <w:rsid w:val="009102F5"/>
    <w:rsid w:val="009104F0"/>
    <w:rsid w:val="009105D4"/>
    <w:rsid w:val="009105D8"/>
    <w:rsid w:val="00910731"/>
    <w:rsid w:val="0091089C"/>
    <w:rsid w:val="0091094F"/>
    <w:rsid w:val="00910A41"/>
    <w:rsid w:val="00910BE0"/>
    <w:rsid w:val="009112AF"/>
    <w:rsid w:val="009112B4"/>
    <w:rsid w:val="00911302"/>
    <w:rsid w:val="0091132A"/>
    <w:rsid w:val="009115BD"/>
    <w:rsid w:val="009118A8"/>
    <w:rsid w:val="0091190B"/>
    <w:rsid w:val="00911AB3"/>
    <w:rsid w:val="00911B1D"/>
    <w:rsid w:val="00911BA2"/>
    <w:rsid w:val="00911D8A"/>
    <w:rsid w:val="00911DF6"/>
    <w:rsid w:val="0091255F"/>
    <w:rsid w:val="00912A35"/>
    <w:rsid w:val="00912A45"/>
    <w:rsid w:val="00912B7D"/>
    <w:rsid w:val="00913057"/>
    <w:rsid w:val="00913372"/>
    <w:rsid w:val="0091370B"/>
    <w:rsid w:val="0091378F"/>
    <w:rsid w:val="00913819"/>
    <w:rsid w:val="00913965"/>
    <w:rsid w:val="00913B57"/>
    <w:rsid w:val="00913C22"/>
    <w:rsid w:val="00913D1F"/>
    <w:rsid w:val="00913DC0"/>
    <w:rsid w:val="00913EA1"/>
    <w:rsid w:val="00914466"/>
    <w:rsid w:val="0091446B"/>
    <w:rsid w:val="009145B8"/>
    <w:rsid w:val="009146A5"/>
    <w:rsid w:val="009146DF"/>
    <w:rsid w:val="00914C18"/>
    <w:rsid w:val="00915629"/>
    <w:rsid w:val="00915650"/>
    <w:rsid w:val="00915779"/>
    <w:rsid w:val="0091587B"/>
    <w:rsid w:val="00915BBC"/>
    <w:rsid w:val="00915BE2"/>
    <w:rsid w:val="00915C86"/>
    <w:rsid w:val="0091606D"/>
    <w:rsid w:val="009160DC"/>
    <w:rsid w:val="00916176"/>
    <w:rsid w:val="0091623D"/>
    <w:rsid w:val="00916307"/>
    <w:rsid w:val="00916570"/>
    <w:rsid w:val="0091665B"/>
    <w:rsid w:val="00916879"/>
    <w:rsid w:val="009169D8"/>
    <w:rsid w:val="00916B77"/>
    <w:rsid w:val="00916BDB"/>
    <w:rsid w:val="00916DB8"/>
    <w:rsid w:val="009171D8"/>
    <w:rsid w:val="00917448"/>
    <w:rsid w:val="009176B1"/>
    <w:rsid w:val="00917C5D"/>
    <w:rsid w:val="00917D95"/>
    <w:rsid w:val="00917EF4"/>
    <w:rsid w:val="009200D9"/>
    <w:rsid w:val="0092011A"/>
    <w:rsid w:val="00920389"/>
    <w:rsid w:val="0092042D"/>
    <w:rsid w:val="0092047C"/>
    <w:rsid w:val="00920813"/>
    <w:rsid w:val="00920885"/>
    <w:rsid w:val="009208BB"/>
    <w:rsid w:val="00920AD4"/>
    <w:rsid w:val="00920DBE"/>
    <w:rsid w:val="009211AC"/>
    <w:rsid w:val="009213D4"/>
    <w:rsid w:val="0092150F"/>
    <w:rsid w:val="00921840"/>
    <w:rsid w:val="00921920"/>
    <w:rsid w:val="00921B26"/>
    <w:rsid w:val="00921D07"/>
    <w:rsid w:val="00921E32"/>
    <w:rsid w:val="00921F5C"/>
    <w:rsid w:val="00921FE5"/>
    <w:rsid w:val="009222A8"/>
    <w:rsid w:val="0092234E"/>
    <w:rsid w:val="009224B4"/>
    <w:rsid w:val="009229B4"/>
    <w:rsid w:val="009229BA"/>
    <w:rsid w:val="00922AF1"/>
    <w:rsid w:val="00922C9E"/>
    <w:rsid w:val="00922CE8"/>
    <w:rsid w:val="00922F0A"/>
    <w:rsid w:val="009230EB"/>
    <w:rsid w:val="00923238"/>
    <w:rsid w:val="0092328D"/>
    <w:rsid w:val="00923372"/>
    <w:rsid w:val="009234E2"/>
    <w:rsid w:val="009237A1"/>
    <w:rsid w:val="00923AD4"/>
    <w:rsid w:val="00923B7A"/>
    <w:rsid w:val="00923DD2"/>
    <w:rsid w:val="0092430C"/>
    <w:rsid w:val="0092431B"/>
    <w:rsid w:val="00924B4C"/>
    <w:rsid w:val="00924B59"/>
    <w:rsid w:val="00924C4C"/>
    <w:rsid w:val="0092502C"/>
    <w:rsid w:val="00925160"/>
    <w:rsid w:val="00925181"/>
    <w:rsid w:val="00925316"/>
    <w:rsid w:val="00925424"/>
    <w:rsid w:val="0092587A"/>
    <w:rsid w:val="00925B56"/>
    <w:rsid w:val="00925DBA"/>
    <w:rsid w:val="00925F31"/>
    <w:rsid w:val="0092614E"/>
    <w:rsid w:val="00926481"/>
    <w:rsid w:val="009268B9"/>
    <w:rsid w:val="00926975"/>
    <w:rsid w:val="00926BB7"/>
    <w:rsid w:val="00926CA3"/>
    <w:rsid w:val="00926CB2"/>
    <w:rsid w:val="00926CCE"/>
    <w:rsid w:val="00927075"/>
    <w:rsid w:val="009271A5"/>
    <w:rsid w:val="00927437"/>
    <w:rsid w:val="00927561"/>
    <w:rsid w:val="009276C5"/>
    <w:rsid w:val="009276F7"/>
    <w:rsid w:val="009278B0"/>
    <w:rsid w:val="00927C61"/>
    <w:rsid w:val="0093029E"/>
    <w:rsid w:val="00930409"/>
    <w:rsid w:val="009304A5"/>
    <w:rsid w:val="009306D5"/>
    <w:rsid w:val="0093077D"/>
    <w:rsid w:val="009309BF"/>
    <w:rsid w:val="00930A48"/>
    <w:rsid w:val="00930B7D"/>
    <w:rsid w:val="00930D03"/>
    <w:rsid w:val="00931259"/>
    <w:rsid w:val="009312AF"/>
    <w:rsid w:val="0093141B"/>
    <w:rsid w:val="00931670"/>
    <w:rsid w:val="00931818"/>
    <w:rsid w:val="009318C8"/>
    <w:rsid w:val="009318D5"/>
    <w:rsid w:val="00931959"/>
    <w:rsid w:val="00931A46"/>
    <w:rsid w:val="00931BEF"/>
    <w:rsid w:val="00931C71"/>
    <w:rsid w:val="00931F83"/>
    <w:rsid w:val="00932186"/>
    <w:rsid w:val="00932493"/>
    <w:rsid w:val="00932695"/>
    <w:rsid w:val="009327C7"/>
    <w:rsid w:val="00932D24"/>
    <w:rsid w:val="0093301D"/>
    <w:rsid w:val="009330CB"/>
    <w:rsid w:val="0093331C"/>
    <w:rsid w:val="0093359A"/>
    <w:rsid w:val="00933911"/>
    <w:rsid w:val="00933EA5"/>
    <w:rsid w:val="00933EA8"/>
    <w:rsid w:val="009342B0"/>
    <w:rsid w:val="009344D0"/>
    <w:rsid w:val="00934725"/>
    <w:rsid w:val="00934921"/>
    <w:rsid w:val="00934992"/>
    <w:rsid w:val="00934D72"/>
    <w:rsid w:val="00934F1E"/>
    <w:rsid w:val="009352AF"/>
    <w:rsid w:val="00935362"/>
    <w:rsid w:val="009354B0"/>
    <w:rsid w:val="00935956"/>
    <w:rsid w:val="009359A3"/>
    <w:rsid w:val="009359BE"/>
    <w:rsid w:val="00935FC1"/>
    <w:rsid w:val="009364A6"/>
    <w:rsid w:val="00936A1D"/>
    <w:rsid w:val="00936C94"/>
    <w:rsid w:val="00936EAC"/>
    <w:rsid w:val="00936FDC"/>
    <w:rsid w:val="00937645"/>
    <w:rsid w:val="0093777B"/>
    <w:rsid w:val="009377B0"/>
    <w:rsid w:val="0093783B"/>
    <w:rsid w:val="009378F1"/>
    <w:rsid w:val="00937904"/>
    <w:rsid w:val="00937A40"/>
    <w:rsid w:val="00937CB9"/>
    <w:rsid w:val="00937D9A"/>
    <w:rsid w:val="00937E17"/>
    <w:rsid w:val="00937E51"/>
    <w:rsid w:val="00937E7D"/>
    <w:rsid w:val="00937ECD"/>
    <w:rsid w:val="00937FB6"/>
    <w:rsid w:val="00940392"/>
    <w:rsid w:val="00940781"/>
    <w:rsid w:val="0094084B"/>
    <w:rsid w:val="00940A50"/>
    <w:rsid w:val="00940BF6"/>
    <w:rsid w:val="00940C35"/>
    <w:rsid w:val="00940DE9"/>
    <w:rsid w:val="00940E11"/>
    <w:rsid w:val="00940E50"/>
    <w:rsid w:val="00940EB1"/>
    <w:rsid w:val="00941007"/>
    <w:rsid w:val="00941179"/>
    <w:rsid w:val="00941250"/>
    <w:rsid w:val="00941292"/>
    <w:rsid w:val="00941296"/>
    <w:rsid w:val="009414AC"/>
    <w:rsid w:val="00941A81"/>
    <w:rsid w:val="00941AA3"/>
    <w:rsid w:val="00941C2F"/>
    <w:rsid w:val="00941D30"/>
    <w:rsid w:val="0094218E"/>
    <w:rsid w:val="0094298D"/>
    <w:rsid w:val="00942AC2"/>
    <w:rsid w:val="00942C31"/>
    <w:rsid w:val="00942C50"/>
    <w:rsid w:val="00942CBD"/>
    <w:rsid w:val="00942DB2"/>
    <w:rsid w:val="00942DC4"/>
    <w:rsid w:val="00942E2E"/>
    <w:rsid w:val="009430F6"/>
    <w:rsid w:val="00943153"/>
    <w:rsid w:val="0094331C"/>
    <w:rsid w:val="009434F1"/>
    <w:rsid w:val="009435A1"/>
    <w:rsid w:val="009437A3"/>
    <w:rsid w:val="00943A6A"/>
    <w:rsid w:val="00943ABF"/>
    <w:rsid w:val="00943E48"/>
    <w:rsid w:val="00944101"/>
    <w:rsid w:val="009445E0"/>
    <w:rsid w:val="00944650"/>
    <w:rsid w:val="00944DBC"/>
    <w:rsid w:val="00944F25"/>
    <w:rsid w:val="00944F83"/>
    <w:rsid w:val="00945019"/>
    <w:rsid w:val="009454D8"/>
    <w:rsid w:val="0094557C"/>
    <w:rsid w:val="009457F8"/>
    <w:rsid w:val="00945867"/>
    <w:rsid w:val="00945DF1"/>
    <w:rsid w:val="00945EDB"/>
    <w:rsid w:val="009460A1"/>
    <w:rsid w:val="00946202"/>
    <w:rsid w:val="0094644C"/>
    <w:rsid w:val="0094649D"/>
    <w:rsid w:val="009466B2"/>
    <w:rsid w:val="00946B22"/>
    <w:rsid w:val="0094744F"/>
    <w:rsid w:val="009474A5"/>
    <w:rsid w:val="009476E1"/>
    <w:rsid w:val="00947812"/>
    <w:rsid w:val="00947986"/>
    <w:rsid w:val="00947BF0"/>
    <w:rsid w:val="00947C03"/>
    <w:rsid w:val="00947C4E"/>
    <w:rsid w:val="00947DA5"/>
    <w:rsid w:val="00950071"/>
    <w:rsid w:val="009501BF"/>
    <w:rsid w:val="009502C3"/>
    <w:rsid w:val="00950440"/>
    <w:rsid w:val="0095063D"/>
    <w:rsid w:val="0095067B"/>
    <w:rsid w:val="009509F6"/>
    <w:rsid w:val="00950BAA"/>
    <w:rsid w:val="00950E28"/>
    <w:rsid w:val="00950E34"/>
    <w:rsid w:val="0095108C"/>
    <w:rsid w:val="00951583"/>
    <w:rsid w:val="0095177A"/>
    <w:rsid w:val="009517F3"/>
    <w:rsid w:val="0095199B"/>
    <w:rsid w:val="009519CB"/>
    <w:rsid w:val="00951A84"/>
    <w:rsid w:val="00951A93"/>
    <w:rsid w:val="00951B64"/>
    <w:rsid w:val="00951D4A"/>
    <w:rsid w:val="00951DB1"/>
    <w:rsid w:val="00951E0D"/>
    <w:rsid w:val="00951E50"/>
    <w:rsid w:val="0095210C"/>
    <w:rsid w:val="009521AB"/>
    <w:rsid w:val="00952395"/>
    <w:rsid w:val="009523BE"/>
    <w:rsid w:val="0095261C"/>
    <w:rsid w:val="009526A7"/>
    <w:rsid w:val="00952856"/>
    <w:rsid w:val="00952971"/>
    <w:rsid w:val="009529C8"/>
    <w:rsid w:val="009529D7"/>
    <w:rsid w:val="00952ACE"/>
    <w:rsid w:val="00952BB4"/>
    <w:rsid w:val="00952BF9"/>
    <w:rsid w:val="00952F03"/>
    <w:rsid w:val="00953194"/>
    <w:rsid w:val="009534F8"/>
    <w:rsid w:val="00953CD5"/>
    <w:rsid w:val="00953DA1"/>
    <w:rsid w:val="009540D8"/>
    <w:rsid w:val="00954447"/>
    <w:rsid w:val="00954560"/>
    <w:rsid w:val="00954994"/>
    <w:rsid w:val="00954BEC"/>
    <w:rsid w:val="00954C2C"/>
    <w:rsid w:val="00954E7A"/>
    <w:rsid w:val="00954EA6"/>
    <w:rsid w:val="00954EFA"/>
    <w:rsid w:val="00955030"/>
    <w:rsid w:val="009550AE"/>
    <w:rsid w:val="009550CA"/>
    <w:rsid w:val="009552C9"/>
    <w:rsid w:val="00955489"/>
    <w:rsid w:val="0095561E"/>
    <w:rsid w:val="0095565A"/>
    <w:rsid w:val="009557A4"/>
    <w:rsid w:val="009558A8"/>
    <w:rsid w:val="00955953"/>
    <w:rsid w:val="009559DD"/>
    <w:rsid w:val="00955AA5"/>
    <w:rsid w:val="00955C84"/>
    <w:rsid w:val="00955DC1"/>
    <w:rsid w:val="00955F85"/>
    <w:rsid w:val="0095605D"/>
    <w:rsid w:val="0095606D"/>
    <w:rsid w:val="0095650B"/>
    <w:rsid w:val="00956530"/>
    <w:rsid w:val="0095701A"/>
    <w:rsid w:val="00957040"/>
    <w:rsid w:val="0095713D"/>
    <w:rsid w:val="009572D3"/>
    <w:rsid w:val="00957330"/>
    <w:rsid w:val="00957343"/>
    <w:rsid w:val="0095739F"/>
    <w:rsid w:val="00957576"/>
    <w:rsid w:val="009576DE"/>
    <w:rsid w:val="009578B0"/>
    <w:rsid w:val="00957DA7"/>
    <w:rsid w:val="00960041"/>
    <w:rsid w:val="0096021D"/>
    <w:rsid w:val="00960244"/>
    <w:rsid w:val="009603B6"/>
    <w:rsid w:val="00960549"/>
    <w:rsid w:val="00960CF6"/>
    <w:rsid w:val="00960D14"/>
    <w:rsid w:val="00960D98"/>
    <w:rsid w:val="00960E78"/>
    <w:rsid w:val="00960ED6"/>
    <w:rsid w:val="0096117F"/>
    <w:rsid w:val="0096129E"/>
    <w:rsid w:val="00961323"/>
    <w:rsid w:val="0096137C"/>
    <w:rsid w:val="00961467"/>
    <w:rsid w:val="009614B3"/>
    <w:rsid w:val="009616F3"/>
    <w:rsid w:val="009617CB"/>
    <w:rsid w:val="0096183C"/>
    <w:rsid w:val="00961949"/>
    <w:rsid w:val="00961AD6"/>
    <w:rsid w:val="00961E57"/>
    <w:rsid w:val="00961F8C"/>
    <w:rsid w:val="009622AD"/>
    <w:rsid w:val="00962813"/>
    <w:rsid w:val="00962827"/>
    <w:rsid w:val="0096289F"/>
    <w:rsid w:val="00962FEB"/>
    <w:rsid w:val="00963121"/>
    <w:rsid w:val="00963152"/>
    <w:rsid w:val="009632AD"/>
    <w:rsid w:val="009633C7"/>
    <w:rsid w:val="00963400"/>
    <w:rsid w:val="00963428"/>
    <w:rsid w:val="00963E7B"/>
    <w:rsid w:val="00963F2A"/>
    <w:rsid w:val="00964313"/>
    <w:rsid w:val="00964504"/>
    <w:rsid w:val="00964916"/>
    <w:rsid w:val="00964BA8"/>
    <w:rsid w:val="00964C2C"/>
    <w:rsid w:val="00964E89"/>
    <w:rsid w:val="00964FC3"/>
    <w:rsid w:val="009650CA"/>
    <w:rsid w:val="00965229"/>
    <w:rsid w:val="00965249"/>
    <w:rsid w:val="0096527E"/>
    <w:rsid w:val="0096529A"/>
    <w:rsid w:val="00965355"/>
    <w:rsid w:val="009654F9"/>
    <w:rsid w:val="009658DA"/>
    <w:rsid w:val="00965C06"/>
    <w:rsid w:val="00965C1B"/>
    <w:rsid w:val="00965D0F"/>
    <w:rsid w:val="00965D2A"/>
    <w:rsid w:val="00965D63"/>
    <w:rsid w:val="00965E13"/>
    <w:rsid w:val="00965E67"/>
    <w:rsid w:val="00965F2C"/>
    <w:rsid w:val="009660D9"/>
    <w:rsid w:val="009660DF"/>
    <w:rsid w:val="00966303"/>
    <w:rsid w:val="009663D5"/>
    <w:rsid w:val="009668F9"/>
    <w:rsid w:val="00966A39"/>
    <w:rsid w:val="00966CEB"/>
    <w:rsid w:val="00966D0A"/>
    <w:rsid w:val="00966D86"/>
    <w:rsid w:val="00966FBE"/>
    <w:rsid w:val="0096712A"/>
    <w:rsid w:val="009672CD"/>
    <w:rsid w:val="00967392"/>
    <w:rsid w:val="009674BD"/>
    <w:rsid w:val="00967875"/>
    <w:rsid w:val="0096787A"/>
    <w:rsid w:val="00967B71"/>
    <w:rsid w:val="00967BB4"/>
    <w:rsid w:val="00967C46"/>
    <w:rsid w:val="00967DD4"/>
    <w:rsid w:val="00967E37"/>
    <w:rsid w:val="00967EDE"/>
    <w:rsid w:val="00967F90"/>
    <w:rsid w:val="00967FA4"/>
    <w:rsid w:val="00967FD4"/>
    <w:rsid w:val="00970034"/>
    <w:rsid w:val="00970065"/>
    <w:rsid w:val="009700D3"/>
    <w:rsid w:val="009704A2"/>
    <w:rsid w:val="009706A7"/>
    <w:rsid w:val="009706B1"/>
    <w:rsid w:val="00970BC7"/>
    <w:rsid w:val="00971048"/>
    <w:rsid w:val="009711E6"/>
    <w:rsid w:val="0097146F"/>
    <w:rsid w:val="0097194F"/>
    <w:rsid w:val="00971A2C"/>
    <w:rsid w:val="00971BF0"/>
    <w:rsid w:val="00971E13"/>
    <w:rsid w:val="00972475"/>
    <w:rsid w:val="009725BE"/>
    <w:rsid w:val="00972844"/>
    <w:rsid w:val="009729C1"/>
    <w:rsid w:val="00972AFC"/>
    <w:rsid w:val="00972B09"/>
    <w:rsid w:val="00972B0D"/>
    <w:rsid w:val="00972E2F"/>
    <w:rsid w:val="009731D6"/>
    <w:rsid w:val="009733AE"/>
    <w:rsid w:val="00973439"/>
    <w:rsid w:val="009738CA"/>
    <w:rsid w:val="00973962"/>
    <w:rsid w:val="00973D7F"/>
    <w:rsid w:val="00973EF7"/>
    <w:rsid w:val="0097404B"/>
    <w:rsid w:val="00974353"/>
    <w:rsid w:val="009743B8"/>
    <w:rsid w:val="0097466D"/>
    <w:rsid w:val="009746AE"/>
    <w:rsid w:val="00974908"/>
    <w:rsid w:val="0097490A"/>
    <w:rsid w:val="009749DD"/>
    <w:rsid w:val="00974B04"/>
    <w:rsid w:val="00974B06"/>
    <w:rsid w:val="00974F3D"/>
    <w:rsid w:val="00974F91"/>
    <w:rsid w:val="00975338"/>
    <w:rsid w:val="0097544C"/>
    <w:rsid w:val="0097550D"/>
    <w:rsid w:val="00975A3E"/>
    <w:rsid w:val="00975A54"/>
    <w:rsid w:val="00975AB8"/>
    <w:rsid w:val="00975D94"/>
    <w:rsid w:val="00975E45"/>
    <w:rsid w:val="009760FD"/>
    <w:rsid w:val="009764CC"/>
    <w:rsid w:val="00976552"/>
    <w:rsid w:val="00976923"/>
    <w:rsid w:val="00976A6E"/>
    <w:rsid w:val="00976CB6"/>
    <w:rsid w:val="00976EEF"/>
    <w:rsid w:val="0097702B"/>
    <w:rsid w:val="00977099"/>
    <w:rsid w:val="009771F3"/>
    <w:rsid w:val="009775F2"/>
    <w:rsid w:val="009777E8"/>
    <w:rsid w:val="00977938"/>
    <w:rsid w:val="009779AE"/>
    <w:rsid w:val="009779CA"/>
    <w:rsid w:val="00977C1C"/>
    <w:rsid w:val="00977FF1"/>
    <w:rsid w:val="00980023"/>
    <w:rsid w:val="00980269"/>
    <w:rsid w:val="009804BD"/>
    <w:rsid w:val="009809CE"/>
    <w:rsid w:val="00980AF2"/>
    <w:rsid w:val="00980D56"/>
    <w:rsid w:val="00980DE0"/>
    <w:rsid w:val="00980F51"/>
    <w:rsid w:val="009813EC"/>
    <w:rsid w:val="009816FF"/>
    <w:rsid w:val="00981726"/>
    <w:rsid w:val="009818CB"/>
    <w:rsid w:val="009818D6"/>
    <w:rsid w:val="009819C5"/>
    <w:rsid w:val="009819E4"/>
    <w:rsid w:val="00981BEB"/>
    <w:rsid w:val="00981F3A"/>
    <w:rsid w:val="00981F65"/>
    <w:rsid w:val="0098201F"/>
    <w:rsid w:val="00982048"/>
    <w:rsid w:val="0098229E"/>
    <w:rsid w:val="00982435"/>
    <w:rsid w:val="00982677"/>
    <w:rsid w:val="00982783"/>
    <w:rsid w:val="00982857"/>
    <w:rsid w:val="0098293C"/>
    <w:rsid w:val="00982ABF"/>
    <w:rsid w:val="00982B56"/>
    <w:rsid w:val="00982C21"/>
    <w:rsid w:val="00982EBE"/>
    <w:rsid w:val="00982F1F"/>
    <w:rsid w:val="0098327C"/>
    <w:rsid w:val="00983387"/>
    <w:rsid w:val="0098356D"/>
    <w:rsid w:val="009836CA"/>
    <w:rsid w:val="00983882"/>
    <w:rsid w:val="00983AFA"/>
    <w:rsid w:val="00983D84"/>
    <w:rsid w:val="009841B3"/>
    <w:rsid w:val="00984265"/>
    <w:rsid w:val="0098442A"/>
    <w:rsid w:val="00984459"/>
    <w:rsid w:val="009845D0"/>
    <w:rsid w:val="009849EC"/>
    <w:rsid w:val="00984AC8"/>
    <w:rsid w:val="00984CCF"/>
    <w:rsid w:val="00984D5F"/>
    <w:rsid w:val="00984EEB"/>
    <w:rsid w:val="00985047"/>
    <w:rsid w:val="00985457"/>
    <w:rsid w:val="00985526"/>
    <w:rsid w:val="009856B8"/>
    <w:rsid w:val="00985A31"/>
    <w:rsid w:val="00985C9A"/>
    <w:rsid w:val="00985D5C"/>
    <w:rsid w:val="00985D5D"/>
    <w:rsid w:val="00985E51"/>
    <w:rsid w:val="00985F6F"/>
    <w:rsid w:val="00986104"/>
    <w:rsid w:val="00986650"/>
    <w:rsid w:val="0098687E"/>
    <w:rsid w:val="00986A1B"/>
    <w:rsid w:val="00986A5F"/>
    <w:rsid w:val="00986A91"/>
    <w:rsid w:val="00986C67"/>
    <w:rsid w:val="00986DE7"/>
    <w:rsid w:val="00986F5F"/>
    <w:rsid w:val="00986F9E"/>
    <w:rsid w:val="00987025"/>
    <w:rsid w:val="009871AA"/>
    <w:rsid w:val="009871DB"/>
    <w:rsid w:val="0098729D"/>
    <w:rsid w:val="00987819"/>
    <w:rsid w:val="0098790D"/>
    <w:rsid w:val="00987995"/>
    <w:rsid w:val="009879BD"/>
    <w:rsid w:val="00987C8A"/>
    <w:rsid w:val="00987DD1"/>
    <w:rsid w:val="0099001D"/>
    <w:rsid w:val="00990129"/>
    <w:rsid w:val="0099014F"/>
    <w:rsid w:val="0099022E"/>
    <w:rsid w:val="00990258"/>
    <w:rsid w:val="00990581"/>
    <w:rsid w:val="00990780"/>
    <w:rsid w:val="009907F8"/>
    <w:rsid w:val="0099087D"/>
    <w:rsid w:val="00990B92"/>
    <w:rsid w:val="00990C22"/>
    <w:rsid w:val="00990FD5"/>
    <w:rsid w:val="0099125D"/>
    <w:rsid w:val="00991659"/>
    <w:rsid w:val="009916D9"/>
    <w:rsid w:val="009917D5"/>
    <w:rsid w:val="00991836"/>
    <w:rsid w:val="0099187F"/>
    <w:rsid w:val="009918B8"/>
    <w:rsid w:val="00991CBB"/>
    <w:rsid w:val="00991F87"/>
    <w:rsid w:val="00992190"/>
    <w:rsid w:val="00992432"/>
    <w:rsid w:val="0099249F"/>
    <w:rsid w:val="009925EF"/>
    <w:rsid w:val="00992CA4"/>
    <w:rsid w:val="00992E9E"/>
    <w:rsid w:val="00993127"/>
    <w:rsid w:val="00993534"/>
    <w:rsid w:val="00993698"/>
    <w:rsid w:val="009936A0"/>
    <w:rsid w:val="009936DE"/>
    <w:rsid w:val="00993794"/>
    <w:rsid w:val="00993878"/>
    <w:rsid w:val="00993926"/>
    <w:rsid w:val="00993E83"/>
    <w:rsid w:val="00994025"/>
    <w:rsid w:val="009940FE"/>
    <w:rsid w:val="00994233"/>
    <w:rsid w:val="009945E1"/>
    <w:rsid w:val="0099469A"/>
    <w:rsid w:val="00994770"/>
    <w:rsid w:val="0099484E"/>
    <w:rsid w:val="00994A52"/>
    <w:rsid w:val="00994BD9"/>
    <w:rsid w:val="00994C46"/>
    <w:rsid w:val="009950BD"/>
    <w:rsid w:val="00995210"/>
    <w:rsid w:val="00995999"/>
    <w:rsid w:val="00995AF2"/>
    <w:rsid w:val="00995CBE"/>
    <w:rsid w:val="00995D7C"/>
    <w:rsid w:val="00995D86"/>
    <w:rsid w:val="00995DB0"/>
    <w:rsid w:val="00996225"/>
    <w:rsid w:val="0099630E"/>
    <w:rsid w:val="0099671E"/>
    <w:rsid w:val="00996EB2"/>
    <w:rsid w:val="00996F58"/>
    <w:rsid w:val="00996F5F"/>
    <w:rsid w:val="009971F0"/>
    <w:rsid w:val="009972A3"/>
    <w:rsid w:val="00997519"/>
    <w:rsid w:val="00997539"/>
    <w:rsid w:val="009978D1"/>
    <w:rsid w:val="00997972"/>
    <w:rsid w:val="00997C12"/>
    <w:rsid w:val="00997C5C"/>
    <w:rsid w:val="00997D6F"/>
    <w:rsid w:val="009A000F"/>
    <w:rsid w:val="009A0095"/>
    <w:rsid w:val="009A0108"/>
    <w:rsid w:val="009A012F"/>
    <w:rsid w:val="009A01C8"/>
    <w:rsid w:val="009A01FE"/>
    <w:rsid w:val="009A0268"/>
    <w:rsid w:val="009A02D2"/>
    <w:rsid w:val="009A0419"/>
    <w:rsid w:val="009A0438"/>
    <w:rsid w:val="009A08E9"/>
    <w:rsid w:val="009A094C"/>
    <w:rsid w:val="009A0E7A"/>
    <w:rsid w:val="009A1249"/>
    <w:rsid w:val="009A15E4"/>
    <w:rsid w:val="009A18CC"/>
    <w:rsid w:val="009A19D5"/>
    <w:rsid w:val="009A1D22"/>
    <w:rsid w:val="009A2128"/>
    <w:rsid w:val="009A23AA"/>
    <w:rsid w:val="009A23F0"/>
    <w:rsid w:val="009A2750"/>
    <w:rsid w:val="009A292A"/>
    <w:rsid w:val="009A2BEE"/>
    <w:rsid w:val="009A2C61"/>
    <w:rsid w:val="009A2CB3"/>
    <w:rsid w:val="009A2F96"/>
    <w:rsid w:val="009A307C"/>
    <w:rsid w:val="009A320F"/>
    <w:rsid w:val="009A3405"/>
    <w:rsid w:val="009A35C7"/>
    <w:rsid w:val="009A3699"/>
    <w:rsid w:val="009A395D"/>
    <w:rsid w:val="009A3AAF"/>
    <w:rsid w:val="009A404B"/>
    <w:rsid w:val="009A408B"/>
    <w:rsid w:val="009A420B"/>
    <w:rsid w:val="009A436C"/>
    <w:rsid w:val="009A4660"/>
    <w:rsid w:val="009A46A7"/>
    <w:rsid w:val="009A4934"/>
    <w:rsid w:val="009A4A04"/>
    <w:rsid w:val="009A4AC2"/>
    <w:rsid w:val="009A4B20"/>
    <w:rsid w:val="009A4D72"/>
    <w:rsid w:val="009A4DAB"/>
    <w:rsid w:val="009A519F"/>
    <w:rsid w:val="009A53A5"/>
    <w:rsid w:val="009A53A7"/>
    <w:rsid w:val="009A55DD"/>
    <w:rsid w:val="009A5660"/>
    <w:rsid w:val="009A5B39"/>
    <w:rsid w:val="009A629C"/>
    <w:rsid w:val="009A64C5"/>
    <w:rsid w:val="009A6542"/>
    <w:rsid w:val="009A663C"/>
    <w:rsid w:val="009A6727"/>
    <w:rsid w:val="009A6A6E"/>
    <w:rsid w:val="009A717C"/>
    <w:rsid w:val="009A7285"/>
    <w:rsid w:val="009A73A9"/>
    <w:rsid w:val="009A77C9"/>
    <w:rsid w:val="009A790B"/>
    <w:rsid w:val="009A7A17"/>
    <w:rsid w:val="009A7AE7"/>
    <w:rsid w:val="009A7CBF"/>
    <w:rsid w:val="009A7DD6"/>
    <w:rsid w:val="009A7E47"/>
    <w:rsid w:val="009A7F4C"/>
    <w:rsid w:val="009A7F78"/>
    <w:rsid w:val="009A7F7A"/>
    <w:rsid w:val="009B0026"/>
    <w:rsid w:val="009B02E8"/>
    <w:rsid w:val="009B05A2"/>
    <w:rsid w:val="009B087C"/>
    <w:rsid w:val="009B0A89"/>
    <w:rsid w:val="009B0C1E"/>
    <w:rsid w:val="009B0C52"/>
    <w:rsid w:val="009B0EF9"/>
    <w:rsid w:val="009B0F42"/>
    <w:rsid w:val="009B1087"/>
    <w:rsid w:val="009B147B"/>
    <w:rsid w:val="009B16AC"/>
    <w:rsid w:val="009B1D54"/>
    <w:rsid w:val="009B1E0A"/>
    <w:rsid w:val="009B2AD3"/>
    <w:rsid w:val="009B2E12"/>
    <w:rsid w:val="009B3184"/>
    <w:rsid w:val="009B325A"/>
    <w:rsid w:val="009B325B"/>
    <w:rsid w:val="009B3286"/>
    <w:rsid w:val="009B34C1"/>
    <w:rsid w:val="009B367C"/>
    <w:rsid w:val="009B3C0C"/>
    <w:rsid w:val="009B3EC4"/>
    <w:rsid w:val="009B3FAC"/>
    <w:rsid w:val="009B3FDE"/>
    <w:rsid w:val="009B4059"/>
    <w:rsid w:val="009B4398"/>
    <w:rsid w:val="009B4516"/>
    <w:rsid w:val="009B4619"/>
    <w:rsid w:val="009B462A"/>
    <w:rsid w:val="009B476A"/>
    <w:rsid w:val="009B4A22"/>
    <w:rsid w:val="009B4ABA"/>
    <w:rsid w:val="009B52A9"/>
    <w:rsid w:val="009B53E1"/>
    <w:rsid w:val="009B54E4"/>
    <w:rsid w:val="009B5729"/>
    <w:rsid w:val="009B5769"/>
    <w:rsid w:val="009B590F"/>
    <w:rsid w:val="009B5E83"/>
    <w:rsid w:val="009B5F66"/>
    <w:rsid w:val="009B66D5"/>
    <w:rsid w:val="009B67CA"/>
    <w:rsid w:val="009B68F0"/>
    <w:rsid w:val="009B6B96"/>
    <w:rsid w:val="009B6C19"/>
    <w:rsid w:val="009B6C66"/>
    <w:rsid w:val="009B6DC2"/>
    <w:rsid w:val="009B70C5"/>
    <w:rsid w:val="009B7309"/>
    <w:rsid w:val="009B733C"/>
    <w:rsid w:val="009B749D"/>
    <w:rsid w:val="009B74CB"/>
    <w:rsid w:val="009B79A6"/>
    <w:rsid w:val="009B7DDB"/>
    <w:rsid w:val="009B7E77"/>
    <w:rsid w:val="009C0093"/>
    <w:rsid w:val="009C00DC"/>
    <w:rsid w:val="009C011C"/>
    <w:rsid w:val="009C01EE"/>
    <w:rsid w:val="009C04FD"/>
    <w:rsid w:val="009C0863"/>
    <w:rsid w:val="009C0CC0"/>
    <w:rsid w:val="009C0E18"/>
    <w:rsid w:val="009C0EC9"/>
    <w:rsid w:val="009C1625"/>
    <w:rsid w:val="009C1651"/>
    <w:rsid w:val="009C16CD"/>
    <w:rsid w:val="009C1F0A"/>
    <w:rsid w:val="009C20A5"/>
    <w:rsid w:val="009C2593"/>
    <w:rsid w:val="009C29A8"/>
    <w:rsid w:val="009C2B56"/>
    <w:rsid w:val="009C3012"/>
    <w:rsid w:val="009C30C7"/>
    <w:rsid w:val="009C3197"/>
    <w:rsid w:val="009C360D"/>
    <w:rsid w:val="009C38EA"/>
    <w:rsid w:val="009C398D"/>
    <w:rsid w:val="009C3B1B"/>
    <w:rsid w:val="009C3C7C"/>
    <w:rsid w:val="009C3C86"/>
    <w:rsid w:val="009C3E60"/>
    <w:rsid w:val="009C42E1"/>
    <w:rsid w:val="009C46D0"/>
    <w:rsid w:val="009C47F2"/>
    <w:rsid w:val="009C4DAE"/>
    <w:rsid w:val="009C4E13"/>
    <w:rsid w:val="009C517A"/>
    <w:rsid w:val="009C5199"/>
    <w:rsid w:val="009C559A"/>
    <w:rsid w:val="009C5629"/>
    <w:rsid w:val="009C5866"/>
    <w:rsid w:val="009C5A14"/>
    <w:rsid w:val="009C5AE9"/>
    <w:rsid w:val="009C5CA1"/>
    <w:rsid w:val="009C62ED"/>
    <w:rsid w:val="009C669C"/>
    <w:rsid w:val="009C6879"/>
    <w:rsid w:val="009C68E9"/>
    <w:rsid w:val="009C6A08"/>
    <w:rsid w:val="009C6A3D"/>
    <w:rsid w:val="009C6DC1"/>
    <w:rsid w:val="009C6EB6"/>
    <w:rsid w:val="009C6F1C"/>
    <w:rsid w:val="009C750E"/>
    <w:rsid w:val="009C76A2"/>
    <w:rsid w:val="009C76BA"/>
    <w:rsid w:val="009C7895"/>
    <w:rsid w:val="009C7AF9"/>
    <w:rsid w:val="009C7B3B"/>
    <w:rsid w:val="009C7B7C"/>
    <w:rsid w:val="009C7C91"/>
    <w:rsid w:val="009C7EF8"/>
    <w:rsid w:val="009C7F14"/>
    <w:rsid w:val="009C7F7D"/>
    <w:rsid w:val="009D01CE"/>
    <w:rsid w:val="009D01EE"/>
    <w:rsid w:val="009D0373"/>
    <w:rsid w:val="009D03A4"/>
    <w:rsid w:val="009D0432"/>
    <w:rsid w:val="009D049D"/>
    <w:rsid w:val="009D04B3"/>
    <w:rsid w:val="009D052E"/>
    <w:rsid w:val="009D079D"/>
    <w:rsid w:val="009D0915"/>
    <w:rsid w:val="009D0F24"/>
    <w:rsid w:val="009D10D9"/>
    <w:rsid w:val="009D14DB"/>
    <w:rsid w:val="009D17B3"/>
    <w:rsid w:val="009D1B25"/>
    <w:rsid w:val="009D1B5D"/>
    <w:rsid w:val="009D1F06"/>
    <w:rsid w:val="009D1F75"/>
    <w:rsid w:val="009D234E"/>
    <w:rsid w:val="009D236F"/>
    <w:rsid w:val="009D2417"/>
    <w:rsid w:val="009D244C"/>
    <w:rsid w:val="009D2461"/>
    <w:rsid w:val="009D25D1"/>
    <w:rsid w:val="009D264F"/>
    <w:rsid w:val="009D27E8"/>
    <w:rsid w:val="009D2821"/>
    <w:rsid w:val="009D291F"/>
    <w:rsid w:val="009D29CC"/>
    <w:rsid w:val="009D2A22"/>
    <w:rsid w:val="009D2B18"/>
    <w:rsid w:val="009D2D5A"/>
    <w:rsid w:val="009D2D65"/>
    <w:rsid w:val="009D2E69"/>
    <w:rsid w:val="009D302F"/>
    <w:rsid w:val="009D3082"/>
    <w:rsid w:val="009D32C1"/>
    <w:rsid w:val="009D35E3"/>
    <w:rsid w:val="009D3A65"/>
    <w:rsid w:val="009D3A9D"/>
    <w:rsid w:val="009D3EB4"/>
    <w:rsid w:val="009D3ECE"/>
    <w:rsid w:val="009D40C9"/>
    <w:rsid w:val="009D43D6"/>
    <w:rsid w:val="009D44DD"/>
    <w:rsid w:val="009D469C"/>
    <w:rsid w:val="009D4760"/>
    <w:rsid w:val="009D480D"/>
    <w:rsid w:val="009D4848"/>
    <w:rsid w:val="009D4895"/>
    <w:rsid w:val="009D48FB"/>
    <w:rsid w:val="009D4EF5"/>
    <w:rsid w:val="009D4F26"/>
    <w:rsid w:val="009D4F91"/>
    <w:rsid w:val="009D5416"/>
    <w:rsid w:val="009D54EC"/>
    <w:rsid w:val="009D54EF"/>
    <w:rsid w:val="009D56BF"/>
    <w:rsid w:val="009D5844"/>
    <w:rsid w:val="009D5A41"/>
    <w:rsid w:val="009D5D8F"/>
    <w:rsid w:val="009D5DFA"/>
    <w:rsid w:val="009D5E35"/>
    <w:rsid w:val="009D5F31"/>
    <w:rsid w:val="009D61F0"/>
    <w:rsid w:val="009D647C"/>
    <w:rsid w:val="009D67DF"/>
    <w:rsid w:val="009D6CD3"/>
    <w:rsid w:val="009D6D09"/>
    <w:rsid w:val="009D6F3D"/>
    <w:rsid w:val="009D70BD"/>
    <w:rsid w:val="009D7875"/>
    <w:rsid w:val="009D78C0"/>
    <w:rsid w:val="009D7908"/>
    <w:rsid w:val="009D7984"/>
    <w:rsid w:val="009D7A80"/>
    <w:rsid w:val="009D7BCB"/>
    <w:rsid w:val="009D7C77"/>
    <w:rsid w:val="009D7DB5"/>
    <w:rsid w:val="009D7EF0"/>
    <w:rsid w:val="009E00AC"/>
    <w:rsid w:val="009E00E3"/>
    <w:rsid w:val="009E011B"/>
    <w:rsid w:val="009E0519"/>
    <w:rsid w:val="009E0907"/>
    <w:rsid w:val="009E092A"/>
    <w:rsid w:val="009E09DD"/>
    <w:rsid w:val="009E0A96"/>
    <w:rsid w:val="009E0C3C"/>
    <w:rsid w:val="009E0DBA"/>
    <w:rsid w:val="009E11DF"/>
    <w:rsid w:val="009E1207"/>
    <w:rsid w:val="009E12BB"/>
    <w:rsid w:val="009E1339"/>
    <w:rsid w:val="009E13E1"/>
    <w:rsid w:val="009E148A"/>
    <w:rsid w:val="009E18AB"/>
    <w:rsid w:val="009E1E85"/>
    <w:rsid w:val="009E1F3F"/>
    <w:rsid w:val="009E1FE6"/>
    <w:rsid w:val="009E22E2"/>
    <w:rsid w:val="009E2344"/>
    <w:rsid w:val="009E235C"/>
    <w:rsid w:val="009E26EE"/>
    <w:rsid w:val="009E27B2"/>
    <w:rsid w:val="009E2967"/>
    <w:rsid w:val="009E2A11"/>
    <w:rsid w:val="009E2FA3"/>
    <w:rsid w:val="009E31FF"/>
    <w:rsid w:val="009E364F"/>
    <w:rsid w:val="009E3755"/>
    <w:rsid w:val="009E3A88"/>
    <w:rsid w:val="009E3CD2"/>
    <w:rsid w:val="009E3E12"/>
    <w:rsid w:val="009E3E7D"/>
    <w:rsid w:val="009E3FA3"/>
    <w:rsid w:val="009E40E6"/>
    <w:rsid w:val="009E40EB"/>
    <w:rsid w:val="009E4172"/>
    <w:rsid w:val="009E41EF"/>
    <w:rsid w:val="009E475B"/>
    <w:rsid w:val="009E47BA"/>
    <w:rsid w:val="009E4B98"/>
    <w:rsid w:val="009E50BF"/>
    <w:rsid w:val="009E5402"/>
    <w:rsid w:val="009E548A"/>
    <w:rsid w:val="009E55BB"/>
    <w:rsid w:val="009E570E"/>
    <w:rsid w:val="009E5729"/>
    <w:rsid w:val="009E5945"/>
    <w:rsid w:val="009E59C3"/>
    <w:rsid w:val="009E59FC"/>
    <w:rsid w:val="009E64A3"/>
    <w:rsid w:val="009E64B4"/>
    <w:rsid w:val="009E6629"/>
    <w:rsid w:val="009E696F"/>
    <w:rsid w:val="009E6AA7"/>
    <w:rsid w:val="009E6B3D"/>
    <w:rsid w:val="009E6F00"/>
    <w:rsid w:val="009E717B"/>
    <w:rsid w:val="009E7260"/>
    <w:rsid w:val="009E748A"/>
    <w:rsid w:val="009E7732"/>
    <w:rsid w:val="009E7782"/>
    <w:rsid w:val="009E79DC"/>
    <w:rsid w:val="009E7A59"/>
    <w:rsid w:val="009E7D40"/>
    <w:rsid w:val="009E7D73"/>
    <w:rsid w:val="009E7DFD"/>
    <w:rsid w:val="009F00BB"/>
    <w:rsid w:val="009F08A5"/>
    <w:rsid w:val="009F0AA6"/>
    <w:rsid w:val="009F0F5A"/>
    <w:rsid w:val="009F0FB1"/>
    <w:rsid w:val="009F1105"/>
    <w:rsid w:val="009F13AB"/>
    <w:rsid w:val="009F1657"/>
    <w:rsid w:val="009F18A2"/>
    <w:rsid w:val="009F18EE"/>
    <w:rsid w:val="009F1D26"/>
    <w:rsid w:val="009F1D74"/>
    <w:rsid w:val="009F1FE9"/>
    <w:rsid w:val="009F22C0"/>
    <w:rsid w:val="009F259B"/>
    <w:rsid w:val="009F25B6"/>
    <w:rsid w:val="009F25D6"/>
    <w:rsid w:val="009F26C9"/>
    <w:rsid w:val="009F2805"/>
    <w:rsid w:val="009F2897"/>
    <w:rsid w:val="009F2BFF"/>
    <w:rsid w:val="009F2C53"/>
    <w:rsid w:val="009F2D06"/>
    <w:rsid w:val="009F2E10"/>
    <w:rsid w:val="009F2ED4"/>
    <w:rsid w:val="009F326D"/>
    <w:rsid w:val="009F36DE"/>
    <w:rsid w:val="009F36E1"/>
    <w:rsid w:val="009F3DD1"/>
    <w:rsid w:val="009F3EC4"/>
    <w:rsid w:val="009F3F01"/>
    <w:rsid w:val="009F41F1"/>
    <w:rsid w:val="009F45F0"/>
    <w:rsid w:val="009F48F8"/>
    <w:rsid w:val="009F49A8"/>
    <w:rsid w:val="009F4CA8"/>
    <w:rsid w:val="009F5386"/>
    <w:rsid w:val="009F5763"/>
    <w:rsid w:val="009F58BD"/>
    <w:rsid w:val="009F5AA7"/>
    <w:rsid w:val="009F5AE6"/>
    <w:rsid w:val="009F5B43"/>
    <w:rsid w:val="009F5CB1"/>
    <w:rsid w:val="009F5E84"/>
    <w:rsid w:val="009F65C4"/>
    <w:rsid w:val="009F65FD"/>
    <w:rsid w:val="009F673C"/>
    <w:rsid w:val="009F69F2"/>
    <w:rsid w:val="009F6B5A"/>
    <w:rsid w:val="009F6BA5"/>
    <w:rsid w:val="009F6BE9"/>
    <w:rsid w:val="009F6F17"/>
    <w:rsid w:val="009F6FB9"/>
    <w:rsid w:val="009F712B"/>
    <w:rsid w:val="009F720B"/>
    <w:rsid w:val="009F7283"/>
    <w:rsid w:val="009F76B3"/>
    <w:rsid w:val="009F795B"/>
    <w:rsid w:val="009F7AA2"/>
    <w:rsid w:val="009F7C39"/>
    <w:rsid w:val="009F7C40"/>
    <w:rsid w:val="009F7CB6"/>
    <w:rsid w:val="009F7D4D"/>
    <w:rsid w:val="009F7DA7"/>
    <w:rsid w:val="009F7DB0"/>
    <w:rsid w:val="009F7DD1"/>
    <w:rsid w:val="009F7FB4"/>
    <w:rsid w:val="00A001CD"/>
    <w:rsid w:val="00A00285"/>
    <w:rsid w:val="00A002E4"/>
    <w:rsid w:val="00A003CC"/>
    <w:rsid w:val="00A00A6E"/>
    <w:rsid w:val="00A00ABA"/>
    <w:rsid w:val="00A00B67"/>
    <w:rsid w:val="00A00CEC"/>
    <w:rsid w:val="00A00F3C"/>
    <w:rsid w:val="00A01364"/>
    <w:rsid w:val="00A0150B"/>
    <w:rsid w:val="00A01831"/>
    <w:rsid w:val="00A01982"/>
    <w:rsid w:val="00A019F3"/>
    <w:rsid w:val="00A01A8F"/>
    <w:rsid w:val="00A01BEB"/>
    <w:rsid w:val="00A01F74"/>
    <w:rsid w:val="00A023EF"/>
    <w:rsid w:val="00A02465"/>
    <w:rsid w:val="00A024E6"/>
    <w:rsid w:val="00A02500"/>
    <w:rsid w:val="00A02568"/>
    <w:rsid w:val="00A0261B"/>
    <w:rsid w:val="00A02A42"/>
    <w:rsid w:val="00A02A43"/>
    <w:rsid w:val="00A02B64"/>
    <w:rsid w:val="00A02BA0"/>
    <w:rsid w:val="00A02DA8"/>
    <w:rsid w:val="00A02E97"/>
    <w:rsid w:val="00A0330A"/>
    <w:rsid w:val="00A0357E"/>
    <w:rsid w:val="00A037F3"/>
    <w:rsid w:val="00A038A8"/>
    <w:rsid w:val="00A0390F"/>
    <w:rsid w:val="00A03DA2"/>
    <w:rsid w:val="00A03EC6"/>
    <w:rsid w:val="00A03F19"/>
    <w:rsid w:val="00A03F8A"/>
    <w:rsid w:val="00A03FAC"/>
    <w:rsid w:val="00A0403D"/>
    <w:rsid w:val="00A04461"/>
    <w:rsid w:val="00A0446D"/>
    <w:rsid w:val="00A044FD"/>
    <w:rsid w:val="00A045BA"/>
    <w:rsid w:val="00A04C01"/>
    <w:rsid w:val="00A04C79"/>
    <w:rsid w:val="00A04D25"/>
    <w:rsid w:val="00A04D39"/>
    <w:rsid w:val="00A04EF3"/>
    <w:rsid w:val="00A05066"/>
    <w:rsid w:val="00A0509C"/>
    <w:rsid w:val="00A050C1"/>
    <w:rsid w:val="00A050EF"/>
    <w:rsid w:val="00A0519E"/>
    <w:rsid w:val="00A0530D"/>
    <w:rsid w:val="00A0554C"/>
    <w:rsid w:val="00A055FB"/>
    <w:rsid w:val="00A05C67"/>
    <w:rsid w:val="00A05ECC"/>
    <w:rsid w:val="00A05EDB"/>
    <w:rsid w:val="00A06219"/>
    <w:rsid w:val="00A0624C"/>
    <w:rsid w:val="00A068DD"/>
    <w:rsid w:val="00A06BCE"/>
    <w:rsid w:val="00A06E94"/>
    <w:rsid w:val="00A07023"/>
    <w:rsid w:val="00A0724F"/>
    <w:rsid w:val="00A075BD"/>
    <w:rsid w:val="00A0779B"/>
    <w:rsid w:val="00A0792F"/>
    <w:rsid w:val="00A07B3E"/>
    <w:rsid w:val="00A07BCF"/>
    <w:rsid w:val="00A10171"/>
    <w:rsid w:val="00A10423"/>
    <w:rsid w:val="00A10450"/>
    <w:rsid w:val="00A104ED"/>
    <w:rsid w:val="00A1074F"/>
    <w:rsid w:val="00A10819"/>
    <w:rsid w:val="00A1088E"/>
    <w:rsid w:val="00A108FA"/>
    <w:rsid w:val="00A10965"/>
    <w:rsid w:val="00A10C16"/>
    <w:rsid w:val="00A10C72"/>
    <w:rsid w:val="00A10ED8"/>
    <w:rsid w:val="00A10F60"/>
    <w:rsid w:val="00A10FC2"/>
    <w:rsid w:val="00A11156"/>
    <w:rsid w:val="00A1119B"/>
    <w:rsid w:val="00A1157E"/>
    <w:rsid w:val="00A11634"/>
    <w:rsid w:val="00A11C1E"/>
    <w:rsid w:val="00A11C68"/>
    <w:rsid w:val="00A11D5C"/>
    <w:rsid w:val="00A11D8D"/>
    <w:rsid w:val="00A120AE"/>
    <w:rsid w:val="00A1247B"/>
    <w:rsid w:val="00A127B8"/>
    <w:rsid w:val="00A12865"/>
    <w:rsid w:val="00A12BDD"/>
    <w:rsid w:val="00A12D4E"/>
    <w:rsid w:val="00A12FB2"/>
    <w:rsid w:val="00A13361"/>
    <w:rsid w:val="00A1347E"/>
    <w:rsid w:val="00A13684"/>
    <w:rsid w:val="00A1392C"/>
    <w:rsid w:val="00A13AD4"/>
    <w:rsid w:val="00A13B2F"/>
    <w:rsid w:val="00A13B9C"/>
    <w:rsid w:val="00A13C49"/>
    <w:rsid w:val="00A13E20"/>
    <w:rsid w:val="00A1405C"/>
    <w:rsid w:val="00A14B8A"/>
    <w:rsid w:val="00A14CB9"/>
    <w:rsid w:val="00A14CE2"/>
    <w:rsid w:val="00A14D02"/>
    <w:rsid w:val="00A14E28"/>
    <w:rsid w:val="00A15061"/>
    <w:rsid w:val="00A151C5"/>
    <w:rsid w:val="00A1520B"/>
    <w:rsid w:val="00A152DB"/>
    <w:rsid w:val="00A15670"/>
    <w:rsid w:val="00A15673"/>
    <w:rsid w:val="00A157F2"/>
    <w:rsid w:val="00A15B23"/>
    <w:rsid w:val="00A160C9"/>
    <w:rsid w:val="00A1617D"/>
    <w:rsid w:val="00A161A3"/>
    <w:rsid w:val="00A162D4"/>
    <w:rsid w:val="00A163D8"/>
    <w:rsid w:val="00A16505"/>
    <w:rsid w:val="00A1670D"/>
    <w:rsid w:val="00A1689C"/>
    <w:rsid w:val="00A168BD"/>
    <w:rsid w:val="00A16BEB"/>
    <w:rsid w:val="00A16C36"/>
    <w:rsid w:val="00A16CFF"/>
    <w:rsid w:val="00A16EC4"/>
    <w:rsid w:val="00A17309"/>
    <w:rsid w:val="00A17349"/>
    <w:rsid w:val="00A1737C"/>
    <w:rsid w:val="00A1774B"/>
    <w:rsid w:val="00A17B1E"/>
    <w:rsid w:val="00A2018F"/>
    <w:rsid w:val="00A20335"/>
    <w:rsid w:val="00A2062E"/>
    <w:rsid w:val="00A2065D"/>
    <w:rsid w:val="00A206B5"/>
    <w:rsid w:val="00A20C10"/>
    <w:rsid w:val="00A20E92"/>
    <w:rsid w:val="00A20F26"/>
    <w:rsid w:val="00A20F27"/>
    <w:rsid w:val="00A213FA"/>
    <w:rsid w:val="00A21EC4"/>
    <w:rsid w:val="00A21EE4"/>
    <w:rsid w:val="00A21F8C"/>
    <w:rsid w:val="00A21FC1"/>
    <w:rsid w:val="00A222FE"/>
    <w:rsid w:val="00A22474"/>
    <w:rsid w:val="00A22575"/>
    <w:rsid w:val="00A22659"/>
    <w:rsid w:val="00A22865"/>
    <w:rsid w:val="00A228E8"/>
    <w:rsid w:val="00A22DB6"/>
    <w:rsid w:val="00A22E54"/>
    <w:rsid w:val="00A22FFC"/>
    <w:rsid w:val="00A231CE"/>
    <w:rsid w:val="00A236B2"/>
    <w:rsid w:val="00A237BD"/>
    <w:rsid w:val="00A23855"/>
    <w:rsid w:val="00A239A7"/>
    <w:rsid w:val="00A23DE0"/>
    <w:rsid w:val="00A240DA"/>
    <w:rsid w:val="00A24453"/>
    <w:rsid w:val="00A24521"/>
    <w:rsid w:val="00A2470C"/>
    <w:rsid w:val="00A24BD7"/>
    <w:rsid w:val="00A24C39"/>
    <w:rsid w:val="00A24F3F"/>
    <w:rsid w:val="00A250B6"/>
    <w:rsid w:val="00A25167"/>
    <w:rsid w:val="00A25371"/>
    <w:rsid w:val="00A2590A"/>
    <w:rsid w:val="00A25924"/>
    <w:rsid w:val="00A25937"/>
    <w:rsid w:val="00A2597D"/>
    <w:rsid w:val="00A25C1E"/>
    <w:rsid w:val="00A25E6E"/>
    <w:rsid w:val="00A26026"/>
    <w:rsid w:val="00A2611E"/>
    <w:rsid w:val="00A2614C"/>
    <w:rsid w:val="00A262FD"/>
    <w:rsid w:val="00A26871"/>
    <w:rsid w:val="00A268E5"/>
    <w:rsid w:val="00A269C9"/>
    <w:rsid w:val="00A26C31"/>
    <w:rsid w:val="00A26C43"/>
    <w:rsid w:val="00A26DFF"/>
    <w:rsid w:val="00A26EF4"/>
    <w:rsid w:val="00A26F06"/>
    <w:rsid w:val="00A27089"/>
    <w:rsid w:val="00A2721D"/>
    <w:rsid w:val="00A27354"/>
    <w:rsid w:val="00A273B1"/>
    <w:rsid w:val="00A27436"/>
    <w:rsid w:val="00A2751D"/>
    <w:rsid w:val="00A276DE"/>
    <w:rsid w:val="00A277CC"/>
    <w:rsid w:val="00A27862"/>
    <w:rsid w:val="00A2789C"/>
    <w:rsid w:val="00A27A63"/>
    <w:rsid w:val="00A27D32"/>
    <w:rsid w:val="00A27E36"/>
    <w:rsid w:val="00A27F18"/>
    <w:rsid w:val="00A301E2"/>
    <w:rsid w:val="00A30243"/>
    <w:rsid w:val="00A3038B"/>
    <w:rsid w:val="00A304CC"/>
    <w:rsid w:val="00A30529"/>
    <w:rsid w:val="00A30600"/>
    <w:rsid w:val="00A308A5"/>
    <w:rsid w:val="00A3137B"/>
    <w:rsid w:val="00A3154E"/>
    <w:rsid w:val="00A317AB"/>
    <w:rsid w:val="00A31A79"/>
    <w:rsid w:val="00A31A9D"/>
    <w:rsid w:val="00A3211F"/>
    <w:rsid w:val="00A32138"/>
    <w:rsid w:val="00A321CC"/>
    <w:rsid w:val="00A325B8"/>
    <w:rsid w:val="00A33061"/>
    <w:rsid w:val="00A330BB"/>
    <w:rsid w:val="00A33147"/>
    <w:rsid w:val="00A335E7"/>
    <w:rsid w:val="00A3399F"/>
    <w:rsid w:val="00A33C55"/>
    <w:rsid w:val="00A33D96"/>
    <w:rsid w:val="00A3411D"/>
    <w:rsid w:val="00A342A3"/>
    <w:rsid w:val="00A34507"/>
    <w:rsid w:val="00A3472F"/>
    <w:rsid w:val="00A34740"/>
    <w:rsid w:val="00A3476E"/>
    <w:rsid w:val="00A347BE"/>
    <w:rsid w:val="00A3489E"/>
    <w:rsid w:val="00A34B6D"/>
    <w:rsid w:val="00A34D41"/>
    <w:rsid w:val="00A34E3B"/>
    <w:rsid w:val="00A35167"/>
    <w:rsid w:val="00A357AE"/>
    <w:rsid w:val="00A35BE6"/>
    <w:rsid w:val="00A35CDA"/>
    <w:rsid w:val="00A35E21"/>
    <w:rsid w:val="00A36421"/>
    <w:rsid w:val="00A36685"/>
    <w:rsid w:val="00A3671C"/>
    <w:rsid w:val="00A36C52"/>
    <w:rsid w:val="00A36CF1"/>
    <w:rsid w:val="00A37556"/>
    <w:rsid w:val="00A3760C"/>
    <w:rsid w:val="00A377E7"/>
    <w:rsid w:val="00A378D0"/>
    <w:rsid w:val="00A37A4F"/>
    <w:rsid w:val="00A37B25"/>
    <w:rsid w:val="00A37CD5"/>
    <w:rsid w:val="00A37EAC"/>
    <w:rsid w:val="00A37FB2"/>
    <w:rsid w:val="00A405A0"/>
    <w:rsid w:val="00A406E7"/>
    <w:rsid w:val="00A4088B"/>
    <w:rsid w:val="00A40D90"/>
    <w:rsid w:val="00A40E79"/>
    <w:rsid w:val="00A4109E"/>
    <w:rsid w:val="00A41281"/>
    <w:rsid w:val="00A41331"/>
    <w:rsid w:val="00A414B0"/>
    <w:rsid w:val="00A4150D"/>
    <w:rsid w:val="00A4183C"/>
    <w:rsid w:val="00A41AD1"/>
    <w:rsid w:val="00A41AEE"/>
    <w:rsid w:val="00A41D4F"/>
    <w:rsid w:val="00A41EB0"/>
    <w:rsid w:val="00A42024"/>
    <w:rsid w:val="00A4208D"/>
    <w:rsid w:val="00A42127"/>
    <w:rsid w:val="00A421A3"/>
    <w:rsid w:val="00A422C2"/>
    <w:rsid w:val="00A42354"/>
    <w:rsid w:val="00A4245F"/>
    <w:rsid w:val="00A424C3"/>
    <w:rsid w:val="00A424E7"/>
    <w:rsid w:val="00A4252D"/>
    <w:rsid w:val="00A42E96"/>
    <w:rsid w:val="00A433FE"/>
    <w:rsid w:val="00A43407"/>
    <w:rsid w:val="00A43879"/>
    <w:rsid w:val="00A43918"/>
    <w:rsid w:val="00A43D5D"/>
    <w:rsid w:val="00A440DD"/>
    <w:rsid w:val="00A4420C"/>
    <w:rsid w:val="00A443AE"/>
    <w:rsid w:val="00A44681"/>
    <w:rsid w:val="00A447FC"/>
    <w:rsid w:val="00A448EC"/>
    <w:rsid w:val="00A44CE9"/>
    <w:rsid w:val="00A44F17"/>
    <w:rsid w:val="00A451C0"/>
    <w:rsid w:val="00A4529D"/>
    <w:rsid w:val="00A452B8"/>
    <w:rsid w:val="00A452C6"/>
    <w:rsid w:val="00A455C3"/>
    <w:rsid w:val="00A45A8B"/>
    <w:rsid w:val="00A45C1D"/>
    <w:rsid w:val="00A4604E"/>
    <w:rsid w:val="00A46065"/>
    <w:rsid w:val="00A4616C"/>
    <w:rsid w:val="00A46A33"/>
    <w:rsid w:val="00A46D0A"/>
    <w:rsid w:val="00A46DAC"/>
    <w:rsid w:val="00A46E48"/>
    <w:rsid w:val="00A470D9"/>
    <w:rsid w:val="00A473D7"/>
    <w:rsid w:val="00A4761A"/>
    <w:rsid w:val="00A47942"/>
    <w:rsid w:val="00A47C5D"/>
    <w:rsid w:val="00A47D54"/>
    <w:rsid w:val="00A47DB4"/>
    <w:rsid w:val="00A47EE5"/>
    <w:rsid w:val="00A5010A"/>
    <w:rsid w:val="00A5041C"/>
    <w:rsid w:val="00A506B1"/>
    <w:rsid w:val="00A507F6"/>
    <w:rsid w:val="00A509A8"/>
    <w:rsid w:val="00A50C3A"/>
    <w:rsid w:val="00A50C61"/>
    <w:rsid w:val="00A51012"/>
    <w:rsid w:val="00A5115D"/>
    <w:rsid w:val="00A511C0"/>
    <w:rsid w:val="00A511F6"/>
    <w:rsid w:val="00A5121A"/>
    <w:rsid w:val="00A512CB"/>
    <w:rsid w:val="00A51402"/>
    <w:rsid w:val="00A5146C"/>
    <w:rsid w:val="00A51522"/>
    <w:rsid w:val="00A51578"/>
    <w:rsid w:val="00A516F1"/>
    <w:rsid w:val="00A518B7"/>
    <w:rsid w:val="00A5199E"/>
    <w:rsid w:val="00A51C1A"/>
    <w:rsid w:val="00A51C9A"/>
    <w:rsid w:val="00A52375"/>
    <w:rsid w:val="00A523AC"/>
    <w:rsid w:val="00A523B4"/>
    <w:rsid w:val="00A5258E"/>
    <w:rsid w:val="00A52599"/>
    <w:rsid w:val="00A52622"/>
    <w:rsid w:val="00A52B8C"/>
    <w:rsid w:val="00A52C48"/>
    <w:rsid w:val="00A52CA8"/>
    <w:rsid w:val="00A52E02"/>
    <w:rsid w:val="00A5300A"/>
    <w:rsid w:val="00A5311B"/>
    <w:rsid w:val="00A535DB"/>
    <w:rsid w:val="00A53B3D"/>
    <w:rsid w:val="00A53C3B"/>
    <w:rsid w:val="00A53DB5"/>
    <w:rsid w:val="00A53DD0"/>
    <w:rsid w:val="00A53F04"/>
    <w:rsid w:val="00A544CE"/>
    <w:rsid w:val="00A544D5"/>
    <w:rsid w:val="00A55187"/>
    <w:rsid w:val="00A555C9"/>
    <w:rsid w:val="00A555F2"/>
    <w:rsid w:val="00A5578A"/>
    <w:rsid w:val="00A55844"/>
    <w:rsid w:val="00A5598E"/>
    <w:rsid w:val="00A559CE"/>
    <w:rsid w:val="00A55ACC"/>
    <w:rsid w:val="00A55B28"/>
    <w:rsid w:val="00A55C8A"/>
    <w:rsid w:val="00A55F3C"/>
    <w:rsid w:val="00A5605F"/>
    <w:rsid w:val="00A56190"/>
    <w:rsid w:val="00A56520"/>
    <w:rsid w:val="00A565D5"/>
    <w:rsid w:val="00A566DC"/>
    <w:rsid w:val="00A566DE"/>
    <w:rsid w:val="00A5692A"/>
    <w:rsid w:val="00A56A1B"/>
    <w:rsid w:val="00A56BD1"/>
    <w:rsid w:val="00A56DFC"/>
    <w:rsid w:val="00A5700F"/>
    <w:rsid w:val="00A5711F"/>
    <w:rsid w:val="00A578C7"/>
    <w:rsid w:val="00A578F5"/>
    <w:rsid w:val="00A57A07"/>
    <w:rsid w:val="00A57D74"/>
    <w:rsid w:val="00A60078"/>
    <w:rsid w:val="00A60ADD"/>
    <w:rsid w:val="00A60C27"/>
    <w:rsid w:val="00A60C8A"/>
    <w:rsid w:val="00A60E2E"/>
    <w:rsid w:val="00A60E4F"/>
    <w:rsid w:val="00A61087"/>
    <w:rsid w:val="00A61918"/>
    <w:rsid w:val="00A61972"/>
    <w:rsid w:val="00A619BA"/>
    <w:rsid w:val="00A619C8"/>
    <w:rsid w:val="00A61CBA"/>
    <w:rsid w:val="00A61D09"/>
    <w:rsid w:val="00A61EC9"/>
    <w:rsid w:val="00A62161"/>
    <w:rsid w:val="00A62326"/>
    <w:rsid w:val="00A62437"/>
    <w:rsid w:val="00A63065"/>
    <w:rsid w:val="00A63156"/>
    <w:rsid w:val="00A63939"/>
    <w:rsid w:val="00A639F2"/>
    <w:rsid w:val="00A63A14"/>
    <w:rsid w:val="00A63D07"/>
    <w:rsid w:val="00A64241"/>
    <w:rsid w:val="00A6469D"/>
    <w:rsid w:val="00A64845"/>
    <w:rsid w:val="00A64A73"/>
    <w:rsid w:val="00A64E9B"/>
    <w:rsid w:val="00A64F35"/>
    <w:rsid w:val="00A65179"/>
    <w:rsid w:val="00A6520F"/>
    <w:rsid w:val="00A652B9"/>
    <w:rsid w:val="00A6530A"/>
    <w:rsid w:val="00A65399"/>
    <w:rsid w:val="00A65423"/>
    <w:rsid w:val="00A65442"/>
    <w:rsid w:val="00A65614"/>
    <w:rsid w:val="00A6574F"/>
    <w:rsid w:val="00A65A92"/>
    <w:rsid w:val="00A65C0E"/>
    <w:rsid w:val="00A65C2C"/>
    <w:rsid w:val="00A65C35"/>
    <w:rsid w:val="00A65D78"/>
    <w:rsid w:val="00A65EE9"/>
    <w:rsid w:val="00A65FA0"/>
    <w:rsid w:val="00A65FD9"/>
    <w:rsid w:val="00A667B1"/>
    <w:rsid w:val="00A66860"/>
    <w:rsid w:val="00A668B9"/>
    <w:rsid w:val="00A66B2A"/>
    <w:rsid w:val="00A66D37"/>
    <w:rsid w:val="00A66F41"/>
    <w:rsid w:val="00A66FD0"/>
    <w:rsid w:val="00A670B6"/>
    <w:rsid w:val="00A67251"/>
    <w:rsid w:val="00A67308"/>
    <w:rsid w:val="00A67690"/>
    <w:rsid w:val="00A6792E"/>
    <w:rsid w:val="00A67ABD"/>
    <w:rsid w:val="00A67AC6"/>
    <w:rsid w:val="00A67B57"/>
    <w:rsid w:val="00A67E00"/>
    <w:rsid w:val="00A67E59"/>
    <w:rsid w:val="00A7014E"/>
    <w:rsid w:val="00A70526"/>
    <w:rsid w:val="00A7056A"/>
    <w:rsid w:val="00A7060B"/>
    <w:rsid w:val="00A706EA"/>
    <w:rsid w:val="00A708D0"/>
    <w:rsid w:val="00A70D66"/>
    <w:rsid w:val="00A70DF7"/>
    <w:rsid w:val="00A70FDB"/>
    <w:rsid w:val="00A7113F"/>
    <w:rsid w:val="00A71288"/>
    <w:rsid w:val="00A7145F"/>
    <w:rsid w:val="00A714E3"/>
    <w:rsid w:val="00A718F9"/>
    <w:rsid w:val="00A71A86"/>
    <w:rsid w:val="00A71B1F"/>
    <w:rsid w:val="00A71C03"/>
    <w:rsid w:val="00A71EC3"/>
    <w:rsid w:val="00A7236C"/>
    <w:rsid w:val="00A724F3"/>
    <w:rsid w:val="00A726C3"/>
    <w:rsid w:val="00A72902"/>
    <w:rsid w:val="00A730BB"/>
    <w:rsid w:val="00A73227"/>
    <w:rsid w:val="00A7333D"/>
    <w:rsid w:val="00A7350E"/>
    <w:rsid w:val="00A737C3"/>
    <w:rsid w:val="00A73AE9"/>
    <w:rsid w:val="00A73B82"/>
    <w:rsid w:val="00A73ECE"/>
    <w:rsid w:val="00A73F2A"/>
    <w:rsid w:val="00A7440A"/>
    <w:rsid w:val="00A7476B"/>
    <w:rsid w:val="00A748D7"/>
    <w:rsid w:val="00A74904"/>
    <w:rsid w:val="00A74941"/>
    <w:rsid w:val="00A74E88"/>
    <w:rsid w:val="00A7532D"/>
    <w:rsid w:val="00A75374"/>
    <w:rsid w:val="00A754E9"/>
    <w:rsid w:val="00A7553E"/>
    <w:rsid w:val="00A7555E"/>
    <w:rsid w:val="00A755E4"/>
    <w:rsid w:val="00A75DAB"/>
    <w:rsid w:val="00A76064"/>
    <w:rsid w:val="00A769EF"/>
    <w:rsid w:val="00A76B5A"/>
    <w:rsid w:val="00A76C64"/>
    <w:rsid w:val="00A76F62"/>
    <w:rsid w:val="00A76F89"/>
    <w:rsid w:val="00A76F93"/>
    <w:rsid w:val="00A779F6"/>
    <w:rsid w:val="00A77B37"/>
    <w:rsid w:val="00A77B64"/>
    <w:rsid w:val="00A77B74"/>
    <w:rsid w:val="00A77CA8"/>
    <w:rsid w:val="00A77CFD"/>
    <w:rsid w:val="00A77DBA"/>
    <w:rsid w:val="00A800F9"/>
    <w:rsid w:val="00A80204"/>
    <w:rsid w:val="00A8030E"/>
    <w:rsid w:val="00A80402"/>
    <w:rsid w:val="00A80518"/>
    <w:rsid w:val="00A80BEB"/>
    <w:rsid w:val="00A80E99"/>
    <w:rsid w:val="00A80FF7"/>
    <w:rsid w:val="00A810FE"/>
    <w:rsid w:val="00A813DA"/>
    <w:rsid w:val="00A81442"/>
    <w:rsid w:val="00A81495"/>
    <w:rsid w:val="00A81910"/>
    <w:rsid w:val="00A81A6C"/>
    <w:rsid w:val="00A81C2E"/>
    <w:rsid w:val="00A81D86"/>
    <w:rsid w:val="00A81D8D"/>
    <w:rsid w:val="00A81E5C"/>
    <w:rsid w:val="00A81E8D"/>
    <w:rsid w:val="00A8253C"/>
    <w:rsid w:val="00A82675"/>
    <w:rsid w:val="00A82890"/>
    <w:rsid w:val="00A82AC8"/>
    <w:rsid w:val="00A82DE9"/>
    <w:rsid w:val="00A82EDB"/>
    <w:rsid w:val="00A82F32"/>
    <w:rsid w:val="00A82F8C"/>
    <w:rsid w:val="00A830A7"/>
    <w:rsid w:val="00A835CD"/>
    <w:rsid w:val="00A83697"/>
    <w:rsid w:val="00A836B9"/>
    <w:rsid w:val="00A83710"/>
    <w:rsid w:val="00A83873"/>
    <w:rsid w:val="00A8393D"/>
    <w:rsid w:val="00A83A74"/>
    <w:rsid w:val="00A84178"/>
    <w:rsid w:val="00A843E8"/>
    <w:rsid w:val="00A84AFA"/>
    <w:rsid w:val="00A84B3E"/>
    <w:rsid w:val="00A84C26"/>
    <w:rsid w:val="00A84CD7"/>
    <w:rsid w:val="00A84F09"/>
    <w:rsid w:val="00A84F5F"/>
    <w:rsid w:val="00A8532F"/>
    <w:rsid w:val="00A855B8"/>
    <w:rsid w:val="00A85991"/>
    <w:rsid w:val="00A85C3B"/>
    <w:rsid w:val="00A85C68"/>
    <w:rsid w:val="00A85D15"/>
    <w:rsid w:val="00A85E31"/>
    <w:rsid w:val="00A85E58"/>
    <w:rsid w:val="00A8609A"/>
    <w:rsid w:val="00A86236"/>
    <w:rsid w:val="00A865A9"/>
    <w:rsid w:val="00A865CA"/>
    <w:rsid w:val="00A865E5"/>
    <w:rsid w:val="00A86654"/>
    <w:rsid w:val="00A867C3"/>
    <w:rsid w:val="00A867F4"/>
    <w:rsid w:val="00A86AC3"/>
    <w:rsid w:val="00A86E2F"/>
    <w:rsid w:val="00A86F4B"/>
    <w:rsid w:val="00A8713B"/>
    <w:rsid w:val="00A87304"/>
    <w:rsid w:val="00A87653"/>
    <w:rsid w:val="00A876C2"/>
    <w:rsid w:val="00A876C3"/>
    <w:rsid w:val="00A877E6"/>
    <w:rsid w:val="00A879B9"/>
    <w:rsid w:val="00A902CD"/>
    <w:rsid w:val="00A902DF"/>
    <w:rsid w:val="00A90404"/>
    <w:rsid w:val="00A90492"/>
    <w:rsid w:val="00A90661"/>
    <w:rsid w:val="00A9091D"/>
    <w:rsid w:val="00A909EC"/>
    <w:rsid w:val="00A90C67"/>
    <w:rsid w:val="00A90CE9"/>
    <w:rsid w:val="00A90D3E"/>
    <w:rsid w:val="00A90EE5"/>
    <w:rsid w:val="00A910BF"/>
    <w:rsid w:val="00A9136E"/>
    <w:rsid w:val="00A91425"/>
    <w:rsid w:val="00A9148A"/>
    <w:rsid w:val="00A915C3"/>
    <w:rsid w:val="00A916B1"/>
    <w:rsid w:val="00A91820"/>
    <w:rsid w:val="00A919E1"/>
    <w:rsid w:val="00A91A27"/>
    <w:rsid w:val="00A91EEE"/>
    <w:rsid w:val="00A921D2"/>
    <w:rsid w:val="00A92361"/>
    <w:rsid w:val="00A92428"/>
    <w:rsid w:val="00A9243F"/>
    <w:rsid w:val="00A9246E"/>
    <w:rsid w:val="00A92A02"/>
    <w:rsid w:val="00A92A4D"/>
    <w:rsid w:val="00A92B9D"/>
    <w:rsid w:val="00A92CF2"/>
    <w:rsid w:val="00A92FFE"/>
    <w:rsid w:val="00A9313A"/>
    <w:rsid w:val="00A93575"/>
    <w:rsid w:val="00A935EF"/>
    <w:rsid w:val="00A93845"/>
    <w:rsid w:val="00A93A40"/>
    <w:rsid w:val="00A93BBC"/>
    <w:rsid w:val="00A93CE4"/>
    <w:rsid w:val="00A93ED7"/>
    <w:rsid w:val="00A93FAB"/>
    <w:rsid w:val="00A94860"/>
    <w:rsid w:val="00A948EC"/>
    <w:rsid w:val="00A948FC"/>
    <w:rsid w:val="00A949FE"/>
    <w:rsid w:val="00A94B11"/>
    <w:rsid w:val="00A951D9"/>
    <w:rsid w:val="00A95849"/>
    <w:rsid w:val="00A9595A"/>
    <w:rsid w:val="00A95BA0"/>
    <w:rsid w:val="00A95D0D"/>
    <w:rsid w:val="00A95D30"/>
    <w:rsid w:val="00A95ED7"/>
    <w:rsid w:val="00A9615F"/>
    <w:rsid w:val="00A96358"/>
    <w:rsid w:val="00A96703"/>
    <w:rsid w:val="00A9674B"/>
    <w:rsid w:val="00A96ADA"/>
    <w:rsid w:val="00A96B43"/>
    <w:rsid w:val="00A96EF0"/>
    <w:rsid w:val="00A971E4"/>
    <w:rsid w:val="00A97254"/>
    <w:rsid w:val="00A973F5"/>
    <w:rsid w:val="00A97400"/>
    <w:rsid w:val="00A97613"/>
    <w:rsid w:val="00A97C34"/>
    <w:rsid w:val="00A97C8F"/>
    <w:rsid w:val="00A97D08"/>
    <w:rsid w:val="00A97E7B"/>
    <w:rsid w:val="00AA00F9"/>
    <w:rsid w:val="00AA0108"/>
    <w:rsid w:val="00AA043E"/>
    <w:rsid w:val="00AA0738"/>
    <w:rsid w:val="00AA0FCF"/>
    <w:rsid w:val="00AA1213"/>
    <w:rsid w:val="00AA12BD"/>
    <w:rsid w:val="00AA1527"/>
    <w:rsid w:val="00AA160D"/>
    <w:rsid w:val="00AA1758"/>
    <w:rsid w:val="00AA187A"/>
    <w:rsid w:val="00AA18AE"/>
    <w:rsid w:val="00AA1BED"/>
    <w:rsid w:val="00AA1C12"/>
    <w:rsid w:val="00AA1C18"/>
    <w:rsid w:val="00AA1C2E"/>
    <w:rsid w:val="00AA21EB"/>
    <w:rsid w:val="00AA23A3"/>
    <w:rsid w:val="00AA23AD"/>
    <w:rsid w:val="00AA27ED"/>
    <w:rsid w:val="00AA2D5C"/>
    <w:rsid w:val="00AA2E9A"/>
    <w:rsid w:val="00AA2F1B"/>
    <w:rsid w:val="00AA307E"/>
    <w:rsid w:val="00AA31BE"/>
    <w:rsid w:val="00AA33B0"/>
    <w:rsid w:val="00AA33FE"/>
    <w:rsid w:val="00AA361F"/>
    <w:rsid w:val="00AA3665"/>
    <w:rsid w:val="00AA389E"/>
    <w:rsid w:val="00AA393F"/>
    <w:rsid w:val="00AA3A4F"/>
    <w:rsid w:val="00AA3B41"/>
    <w:rsid w:val="00AA3BDC"/>
    <w:rsid w:val="00AA3C83"/>
    <w:rsid w:val="00AA3CAF"/>
    <w:rsid w:val="00AA3F12"/>
    <w:rsid w:val="00AA3FCB"/>
    <w:rsid w:val="00AA3FDF"/>
    <w:rsid w:val="00AA41A1"/>
    <w:rsid w:val="00AA41C5"/>
    <w:rsid w:val="00AA43E6"/>
    <w:rsid w:val="00AA4982"/>
    <w:rsid w:val="00AA4A9B"/>
    <w:rsid w:val="00AA4B59"/>
    <w:rsid w:val="00AA4BE2"/>
    <w:rsid w:val="00AA4DB4"/>
    <w:rsid w:val="00AA4F12"/>
    <w:rsid w:val="00AA5872"/>
    <w:rsid w:val="00AA58EC"/>
    <w:rsid w:val="00AA5A33"/>
    <w:rsid w:val="00AA5A8C"/>
    <w:rsid w:val="00AA5AB7"/>
    <w:rsid w:val="00AA5CAC"/>
    <w:rsid w:val="00AA5D66"/>
    <w:rsid w:val="00AA5DB9"/>
    <w:rsid w:val="00AA5EC0"/>
    <w:rsid w:val="00AA5EE6"/>
    <w:rsid w:val="00AA60B6"/>
    <w:rsid w:val="00AA61F9"/>
    <w:rsid w:val="00AA635C"/>
    <w:rsid w:val="00AA640E"/>
    <w:rsid w:val="00AA6815"/>
    <w:rsid w:val="00AA6DC6"/>
    <w:rsid w:val="00AA6E02"/>
    <w:rsid w:val="00AA6EC7"/>
    <w:rsid w:val="00AA6FC6"/>
    <w:rsid w:val="00AA712E"/>
    <w:rsid w:val="00AA7423"/>
    <w:rsid w:val="00AA770A"/>
    <w:rsid w:val="00AA77E3"/>
    <w:rsid w:val="00AA7A6E"/>
    <w:rsid w:val="00AA7D86"/>
    <w:rsid w:val="00AA7F88"/>
    <w:rsid w:val="00AB0103"/>
    <w:rsid w:val="00AB012E"/>
    <w:rsid w:val="00AB0179"/>
    <w:rsid w:val="00AB0215"/>
    <w:rsid w:val="00AB036C"/>
    <w:rsid w:val="00AB0434"/>
    <w:rsid w:val="00AB0581"/>
    <w:rsid w:val="00AB05D4"/>
    <w:rsid w:val="00AB07DA"/>
    <w:rsid w:val="00AB0C03"/>
    <w:rsid w:val="00AB1036"/>
    <w:rsid w:val="00AB1107"/>
    <w:rsid w:val="00AB1165"/>
    <w:rsid w:val="00AB1189"/>
    <w:rsid w:val="00AB11E7"/>
    <w:rsid w:val="00AB12BC"/>
    <w:rsid w:val="00AB14AB"/>
    <w:rsid w:val="00AB187D"/>
    <w:rsid w:val="00AB19FE"/>
    <w:rsid w:val="00AB1A2D"/>
    <w:rsid w:val="00AB1C0E"/>
    <w:rsid w:val="00AB2068"/>
    <w:rsid w:val="00AB20F0"/>
    <w:rsid w:val="00AB27CF"/>
    <w:rsid w:val="00AB297D"/>
    <w:rsid w:val="00AB2A54"/>
    <w:rsid w:val="00AB2CDE"/>
    <w:rsid w:val="00AB2E4C"/>
    <w:rsid w:val="00AB3019"/>
    <w:rsid w:val="00AB3149"/>
    <w:rsid w:val="00AB3168"/>
    <w:rsid w:val="00AB3218"/>
    <w:rsid w:val="00AB3247"/>
    <w:rsid w:val="00AB351F"/>
    <w:rsid w:val="00AB353F"/>
    <w:rsid w:val="00AB3588"/>
    <w:rsid w:val="00AB3640"/>
    <w:rsid w:val="00AB369D"/>
    <w:rsid w:val="00AB37D3"/>
    <w:rsid w:val="00AB380E"/>
    <w:rsid w:val="00AB398D"/>
    <w:rsid w:val="00AB3999"/>
    <w:rsid w:val="00AB3AC1"/>
    <w:rsid w:val="00AB3B28"/>
    <w:rsid w:val="00AB3B41"/>
    <w:rsid w:val="00AB3CFE"/>
    <w:rsid w:val="00AB3D8E"/>
    <w:rsid w:val="00AB3FA2"/>
    <w:rsid w:val="00AB3FD1"/>
    <w:rsid w:val="00AB4098"/>
    <w:rsid w:val="00AB40B7"/>
    <w:rsid w:val="00AB42D2"/>
    <w:rsid w:val="00AB444F"/>
    <w:rsid w:val="00AB451E"/>
    <w:rsid w:val="00AB484C"/>
    <w:rsid w:val="00AB51FD"/>
    <w:rsid w:val="00AB5239"/>
    <w:rsid w:val="00AB53A5"/>
    <w:rsid w:val="00AB547D"/>
    <w:rsid w:val="00AB551D"/>
    <w:rsid w:val="00AB5759"/>
    <w:rsid w:val="00AB5957"/>
    <w:rsid w:val="00AB59FE"/>
    <w:rsid w:val="00AB5BED"/>
    <w:rsid w:val="00AB5CA4"/>
    <w:rsid w:val="00AB5D63"/>
    <w:rsid w:val="00AB62AB"/>
    <w:rsid w:val="00AB650B"/>
    <w:rsid w:val="00AB657E"/>
    <w:rsid w:val="00AB6A9D"/>
    <w:rsid w:val="00AB6B66"/>
    <w:rsid w:val="00AB6D48"/>
    <w:rsid w:val="00AB6E6D"/>
    <w:rsid w:val="00AB7342"/>
    <w:rsid w:val="00AB7A08"/>
    <w:rsid w:val="00AB7DFA"/>
    <w:rsid w:val="00AB7F05"/>
    <w:rsid w:val="00AC0006"/>
    <w:rsid w:val="00AC0EA6"/>
    <w:rsid w:val="00AC0F2E"/>
    <w:rsid w:val="00AC1245"/>
    <w:rsid w:val="00AC124D"/>
    <w:rsid w:val="00AC1474"/>
    <w:rsid w:val="00AC16E9"/>
    <w:rsid w:val="00AC1DAE"/>
    <w:rsid w:val="00AC1E7F"/>
    <w:rsid w:val="00AC204D"/>
    <w:rsid w:val="00AC208A"/>
    <w:rsid w:val="00AC2127"/>
    <w:rsid w:val="00AC22A6"/>
    <w:rsid w:val="00AC2372"/>
    <w:rsid w:val="00AC2485"/>
    <w:rsid w:val="00AC270D"/>
    <w:rsid w:val="00AC280F"/>
    <w:rsid w:val="00AC290A"/>
    <w:rsid w:val="00AC2956"/>
    <w:rsid w:val="00AC2BC5"/>
    <w:rsid w:val="00AC2BC8"/>
    <w:rsid w:val="00AC2D6D"/>
    <w:rsid w:val="00AC33FC"/>
    <w:rsid w:val="00AC3414"/>
    <w:rsid w:val="00AC3567"/>
    <w:rsid w:val="00AC35B4"/>
    <w:rsid w:val="00AC375F"/>
    <w:rsid w:val="00AC3A15"/>
    <w:rsid w:val="00AC3AB5"/>
    <w:rsid w:val="00AC3EBF"/>
    <w:rsid w:val="00AC4012"/>
    <w:rsid w:val="00AC40D4"/>
    <w:rsid w:val="00AC4157"/>
    <w:rsid w:val="00AC4384"/>
    <w:rsid w:val="00AC44A5"/>
    <w:rsid w:val="00AC44D4"/>
    <w:rsid w:val="00AC46C5"/>
    <w:rsid w:val="00AC4865"/>
    <w:rsid w:val="00AC487A"/>
    <w:rsid w:val="00AC492D"/>
    <w:rsid w:val="00AC4D04"/>
    <w:rsid w:val="00AC4EC3"/>
    <w:rsid w:val="00AC5035"/>
    <w:rsid w:val="00AC54AB"/>
    <w:rsid w:val="00AC5555"/>
    <w:rsid w:val="00AC5556"/>
    <w:rsid w:val="00AC5755"/>
    <w:rsid w:val="00AC5DB4"/>
    <w:rsid w:val="00AC6179"/>
    <w:rsid w:val="00AC6208"/>
    <w:rsid w:val="00AC67FA"/>
    <w:rsid w:val="00AC68FB"/>
    <w:rsid w:val="00AC6D62"/>
    <w:rsid w:val="00AC6E21"/>
    <w:rsid w:val="00AC6E6C"/>
    <w:rsid w:val="00AC6FE7"/>
    <w:rsid w:val="00AC701E"/>
    <w:rsid w:val="00AC735D"/>
    <w:rsid w:val="00AC741A"/>
    <w:rsid w:val="00AC75E1"/>
    <w:rsid w:val="00AC7657"/>
    <w:rsid w:val="00AC79C0"/>
    <w:rsid w:val="00AC7B1A"/>
    <w:rsid w:val="00AC7B48"/>
    <w:rsid w:val="00AC7EC5"/>
    <w:rsid w:val="00AD0035"/>
    <w:rsid w:val="00AD01F7"/>
    <w:rsid w:val="00AD02EC"/>
    <w:rsid w:val="00AD0480"/>
    <w:rsid w:val="00AD082F"/>
    <w:rsid w:val="00AD0986"/>
    <w:rsid w:val="00AD0CB0"/>
    <w:rsid w:val="00AD0F4F"/>
    <w:rsid w:val="00AD118B"/>
    <w:rsid w:val="00AD11B3"/>
    <w:rsid w:val="00AD168D"/>
    <w:rsid w:val="00AD1A30"/>
    <w:rsid w:val="00AD1AB1"/>
    <w:rsid w:val="00AD1EB1"/>
    <w:rsid w:val="00AD2082"/>
    <w:rsid w:val="00AD2409"/>
    <w:rsid w:val="00AD254C"/>
    <w:rsid w:val="00AD271F"/>
    <w:rsid w:val="00AD28EF"/>
    <w:rsid w:val="00AD2BEE"/>
    <w:rsid w:val="00AD2D6F"/>
    <w:rsid w:val="00AD2FDB"/>
    <w:rsid w:val="00AD3483"/>
    <w:rsid w:val="00AD36F9"/>
    <w:rsid w:val="00AD394F"/>
    <w:rsid w:val="00AD3AA3"/>
    <w:rsid w:val="00AD3B66"/>
    <w:rsid w:val="00AD3BCD"/>
    <w:rsid w:val="00AD3E41"/>
    <w:rsid w:val="00AD3F5D"/>
    <w:rsid w:val="00AD49DE"/>
    <w:rsid w:val="00AD4BC4"/>
    <w:rsid w:val="00AD4E16"/>
    <w:rsid w:val="00AD528D"/>
    <w:rsid w:val="00AD53BD"/>
    <w:rsid w:val="00AD5411"/>
    <w:rsid w:val="00AD56C2"/>
    <w:rsid w:val="00AD6101"/>
    <w:rsid w:val="00AD647B"/>
    <w:rsid w:val="00AD64C4"/>
    <w:rsid w:val="00AD6612"/>
    <w:rsid w:val="00AD67CC"/>
    <w:rsid w:val="00AD6806"/>
    <w:rsid w:val="00AD6976"/>
    <w:rsid w:val="00AD6C7E"/>
    <w:rsid w:val="00AD6CF7"/>
    <w:rsid w:val="00AD6E32"/>
    <w:rsid w:val="00AD6E6D"/>
    <w:rsid w:val="00AD7211"/>
    <w:rsid w:val="00AD7239"/>
    <w:rsid w:val="00AD7515"/>
    <w:rsid w:val="00AD7731"/>
    <w:rsid w:val="00AD7903"/>
    <w:rsid w:val="00AE037B"/>
    <w:rsid w:val="00AE0ADA"/>
    <w:rsid w:val="00AE0C9D"/>
    <w:rsid w:val="00AE0CA0"/>
    <w:rsid w:val="00AE1264"/>
    <w:rsid w:val="00AE1328"/>
    <w:rsid w:val="00AE13AE"/>
    <w:rsid w:val="00AE14B9"/>
    <w:rsid w:val="00AE14E1"/>
    <w:rsid w:val="00AE1620"/>
    <w:rsid w:val="00AE1CF5"/>
    <w:rsid w:val="00AE1E0E"/>
    <w:rsid w:val="00AE1FC5"/>
    <w:rsid w:val="00AE21A6"/>
    <w:rsid w:val="00AE2476"/>
    <w:rsid w:val="00AE2C28"/>
    <w:rsid w:val="00AE2CB3"/>
    <w:rsid w:val="00AE2E25"/>
    <w:rsid w:val="00AE2E91"/>
    <w:rsid w:val="00AE2F70"/>
    <w:rsid w:val="00AE312B"/>
    <w:rsid w:val="00AE34F7"/>
    <w:rsid w:val="00AE37D4"/>
    <w:rsid w:val="00AE3E2C"/>
    <w:rsid w:val="00AE408B"/>
    <w:rsid w:val="00AE40EB"/>
    <w:rsid w:val="00AE469B"/>
    <w:rsid w:val="00AE4A7C"/>
    <w:rsid w:val="00AE4CDD"/>
    <w:rsid w:val="00AE4CF4"/>
    <w:rsid w:val="00AE4EE1"/>
    <w:rsid w:val="00AE4F8D"/>
    <w:rsid w:val="00AE513A"/>
    <w:rsid w:val="00AE516E"/>
    <w:rsid w:val="00AE5175"/>
    <w:rsid w:val="00AE535D"/>
    <w:rsid w:val="00AE542B"/>
    <w:rsid w:val="00AE56C4"/>
    <w:rsid w:val="00AE59E3"/>
    <w:rsid w:val="00AE5C18"/>
    <w:rsid w:val="00AE609F"/>
    <w:rsid w:val="00AE6391"/>
    <w:rsid w:val="00AE672F"/>
    <w:rsid w:val="00AE676C"/>
    <w:rsid w:val="00AE6D96"/>
    <w:rsid w:val="00AE7080"/>
    <w:rsid w:val="00AE7131"/>
    <w:rsid w:val="00AE73B2"/>
    <w:rsid w:val="00AE7643"/>
    <w:rsid w:val="00AE7655"/>
    <w:rsid w:val="00AE78C2"/>
    <w:rsid w:val="00AE79BD"/>
    <w:rsid w:val="00AE7AC9"/>
    <w:rsid w:val="00AE7E26"/>
    <w:rsid w:val="00AE7ECE"/>
    <w:rsid w:val="00AF0287"/>
    <w:rsid w:val="00AF0338"/>
    <w:rsid w:val="00AF034B"/>
    <w:rsid w:val="00AF040D"/>
    <w:rsid w:val="00AF06F7"/>
    <w:rsid w:val="00AF079F"/>
    <w:rsid w:val="00AF07FF"/>
    <w:rsid w:val="00AF080C"/>
    <w:rsid w:val="00AF13FE"/>
    <w:rsid w:val="00AF1835"/>
    <w:rsid w:val="00AF1913"/>
    <w:rsid w:val="00AF1A42"/>
    <w:rsid w:val="00AF1B37"/>
    <w:rsid w:val="00AF1B95"/>
    <w:rsid w:val="00AF1D07"/>
    <w:rsid w:val="00AF1DF3"/>
    <w:rsid w:val="00AF1E7A"/>
    <w:rsid w:val="00AF2356"/>
    <w:rsid w:val="00AF2390"/>
    <w:rsid w:val="00AF2B56"/>
    <w:rsid w:val="00AF2BAE"/>
    <w:rsid w:val="00AF2DD5"/>
    <w:rsid w:val="00AF30AF"/>
    <w:rsid w:val="00AF32A1"/>
    <w:rsid w:val="00AF35E8"/>
    <w:rsid w:val="00AF3654"/>
    <w:rsid w:val="00AF36B4"/>
    <w:rsid w:val="00AF3A8B"/>
    <w:rsid w:val="00AF3D81"/>
    <w:rsid w:val="00AF409A"/>
    <w:rsid w:val="00AF48A6"/>
    <w:rsid w:val="00AF4955"/>
    <w:rsid w:val="00AF4BAB"/>
    <w:rsid w:val="00AF4CF5"/>
    <w:rsid w:val="00AF4D6C"/>
    <w:rsid w:val="00AF4E28"/>
    <w:rsid w:val="00AF4FE2"/>
    <w:rsid w:val="00AF5152"/>
    <w:rsid w:val="00AF5162"/>
    <w:rsid w:val="00AF5217"/>
    <w:rsid w:val="00AF5378"/>
    <w:rsid w:val="00AF5807"/>
    <w:rsid w:val="00AF5828"/>
    <w:rsid w:val="00AF58BD"/>
    <w:rsid w:val="00AF5F5C"/>
    <w:rsid w:val="00AF615D"/>
    <w:rsid w:val="00AF61A6"/>
    <w:rsid w:val="00AF6349"/>
    <w:rsid w:val="00AF6376"/>
    <w:rsid w:val="00AF65C7"/>
    <w:rsid w:val="00AF6846"/>
    <w:rsid w:val="00AF6863"/>
    <w:rsid w:val="00AF6B13"/>
    <w:rsid w:val="00AF6C11"/>
    <w:rsid w:val="00AF6C19"/>
    <w:rsid w:val="00AF6C76"/>
    <w:rsid w:val="00AF6D13"/>
    <w:rsid w:val="00AF6EE7"/>
    <w:rsid w:val="00AF6F20"/>
    <w:rsid w:val="00AF7038"/>
    <w:rsid w:val="00AF7043"/>
    <w:rsid w:val="00AF72F3"/>
    <w:rsid w:val="00AF738E"/>
    <w:rsid w:val="00AF7658"/>
    <w:rsid w:val="00AF7741"/>
    <w:rsid w:val="00AF7B03"/>
    <w:rsid w:val="00AF7CA1"/>
    <w:rsid w:val="00AF7D06"/>
    <w:rsid w:val="00AF7D51"/>
    <w:rsid w:val="00AF7D93"/>
    <w:rsid w:val="00AF7E7D"/>
    <w:rsid w:val="00B001CF"/>
    <w:rsid w:val="00B0093B"/>
    <w:rsid w:val="00B00B44"/>
    <w:rsid w:val="00B00CB6"/>
    <w:rsid w:val="00B0115E"/>
    <w:rsid w:val="00B01285"/>
    <w:rsid w:val="00B0149A"/>
    <w:rsid w:val="00B0150C"/>
    <w:rsid w:val="00B015D7"/>
    <w:rsid w:val="00B01A93"/>
    <w:rsid w:val="00B01C52"/>
    <w:rsid w:val="00B01C82"/>
    <w:rsid w:val="00B01DEA"/>
    <w:rsid w:val="00B021ED"/>
    <w:rsid w:val="00B025A6"/>
    <w:rsid w:val="00B025DF"/>
    <w:rsid w:val="00B0262B"/>
    <w:rsid w:val="00B0269B"/>
    <w:rsid w:val="00B02735"/>
    <w:rsid w:val="00B02737"/>
    <w:rsid w:val="00B02CAC"/>
    <w:rsid w:val="00B02E70"/>
    <w:rsid w:val="00B02F1B"/>
    <w:rsid w:val="00B030B7"/>
    <w:rsid w:val="00B03110"/>
    <w:rsid w:val="00B031A2"/>
    <w:rsid w:val="00B03678"/>
    <w:rsid w:val="00B037FE"/>
    <w:rsid w:val="00B03963"/>
    <w:rsid w:val="00B03FC6"/>
    <w:rsid w:val="00B03FE7"/>
    <w:rsid w:val="00B04289"/>
    <w:rsid w:val="00B04651"/>
    <w:rsid w:val="00B04893"/>
    <w:rsid w:val="00B04AC6"/>
    <w:rsid w:val="00B04B64"/>
    <w:rsid w:val="00B04FE9"/>
    <w:rsid w:val="00B05153"/>
    <w:rsid w:val="00B05538"/>
    <w:rsid w:val="00B05A12"/>
    <w:rsid w:val="00B05A27"/>
    <w:rsid w:val="00B05C4A"/>
    <w:rsid w:val="00B05CC6"/>
    <w:rsid w:val="00B05CFC"/>
    <w:rsid w:val="00B05D0D"/>
    <w:rsid w:val="00B05F44"/>
    <w:rsid w:val="00B05FB7"/>
    <w:rsid w:val="00B0602D"/>
    <w:rsid w:val="00B06038"/>
    <w:rsid w:val="00B0622C"/>
    <w:rsid w:val="00B0625F"/>
    <w:rsid w:val="00B06578"/>
    <w:rsid w:val="00B06A14"/>
    <w:rsid w:val="00B06A4E"/>
    <w:rsid w:val="00B06ACB"/>
    <w:rsid w:val="00B06C32"/>
    <w:rsid w:val="00B06EC3"/>
    <w:rsid w:val="00B07178"/>
    <w:rsid w:val="00B07213"/>
    <w:rsid w:val="00B07259"/>
    <w:rsid w:val="00B0762A"/>
    <w:rsid w:val="00B0775C"/>
    <w:rsid w:val="00B07A48"/>
    <w:rsid w:val="00B07A4A"/>
    <w:rsid w:val="00B07B2B"/>
    <w:rsid w:val="00B07E74"/>
    <w:rsid w:val="00B07F00"/>
    <w:rsid w:val="00B07FDE"/>
    <w:rsid w:val="00B10092"/>
    <w:rsid w:val="00B10278"/>
    <w:rsid w:val="00B10294"/>
    <w:rsid w:val="00B1093B"/>
    <w:rsid w:val="00B10C22"/>
    <w:rsid w:val="00B11505"/>
    <w:rsid w:val="00B117C6"/>
    <w:rsid w:val="00B117F7"/>
    <w:rsid w:val="00B11994"/>
    <w:rsid w:val="00B11A32"/>
    <w:rsid w:val="00B11ADE"/>
    <w:rsid w:val="00B12034"/>
    <w:rsid w:val="00B122DD"/>
    <w:rsid w:val="00B128A1"/>
    <w:rsid w:val="00B129D3"/>
    <w:rsid w:val="00B12B56"/>
    <w:rsid w:val="00B12B73"/>
    <w:rsid w:val="00B12BB1"/>
    <w:rsid w:val="00B12C5F"/>
    <w:rsid w:val="00B13003"/>
    <w:rsid w:val="00B130C4"/>
    <w:rsid w:val="00B131FE"/>
    <w:rsid w:val="00B13634"/>
    <w:rsid w:val="00B13675"/>
    <w:rsid w:val="00B13A17"/>
    <w:rsid w:val="00B13AA2"/>
    <w:rsid w:val="00B13D84"/>
    <w:rsid w:val="00B1406D"/>
    <w:rsid w:val="00B14369"/>
    <w:rsid w:val="00B14456"/>
    <w:rsid w:val="00B146E7"/>
    <w:rsid w:val="00B14761"/>
    <w:rsid w:val="00B147A4"/>
    <w:rsid w:val="00B147E8"/>
    <w:rsid w:val="00B149AF"/>
    <w:rsid w:val="00B14A73"/>
    <w:rsid w:val="00B14B67"/>
    <w:rsid w:val="00B14C24"/>
    <w:rsid w:val="00B14DB2"/>
    <w:rsid w:val="00B14ED1"/>
    <w:rsid w:val="00B153BC"/>
    <w:rsid w:val="00B15745"/>
    <w:rsid w:val="00B15847"/>
    <w:rsid w:val="00B1589A"/>
    <w:rsid w:val="00B159E1"/>
    <w:rsid w:val="00B15DD1"/>
    <w:rsid w:val="00B15F9D"/>
    <w:rsid w:val="00B164D4"/>
    <w:rsid w:val="00B16770"/>
    <w:rsid w:val="00B16784"/>
    <w:rsid w:val="00B167C9"/>
    <w:rsid w:val="00B16856"/>
    <w:rsid w:val="00B168ED"/>
    <w:rsid w:val="00B16CD1"/>
    <w:rsid w:val="00B16D06"/>
    <w:rsid w:val="00B16E71"/>
    <w:rsid w:val="00B16E92"/>
    <w:rsid w:val="00B17522"/>
    <w:rsid w:val="00B1773E"/>
    <w:rsid w:val="00B17757"/>
    <w:rsid w:val="00B17995"/>
    <w:rsid w:val="00B17A95"/>
    <w:rsid w:val="00B17AA9"/>
    <w:rsid w:val="00B17BB5"/>
    <w:rsid w:val="00B17C50"/>
    <w:rsid w:val="00B17CD0"/>
    <w:rsid w:val="00B17D32"/>
    <w:rsid w:val="00B17DA5"/>
    <w:rsid w:val="00B202B3"/>
    <w:rsid w:val="00B202CB"/>
    <w:rsid w:val="00B203C3"/>
    <w:rsid w:val="00B203FA"/>
    <w:rsid w:val="00B204D0"/>
    <w:rsid w:val="00B20710"/>
    <w:rsid w:val="00B208CE"/>
    <w:rsid w:val="00B20C7F"/>
    <w:rsid w:val="00B20F13"/>
    <w:rsid w:val="00B20F9F"/>
    <w:rsid w:val="00B21291"/>
    <w:rsid w:val="00B213E9"/>
    <w:rsid w:val="00B2140F"/>
    <w:rsid w:val="00B2145F"/>
    <w:rsid w:val="00B2159A"/>
    <w:rsid w:val="00B215B2"/>
    <w:rsid w:val="00B217C6"/>
    <w:rsid w:val="00B217F7"/>
    <w:rsid w:val="00B219A6"/>
    <w:rsid w:val="00B21B82"/>
    <w:rsid w:val="00B21D04"/>
    <w:rsid w:val="00B21FB4"/>
    <w:rsid w:val="00B221F3"/>
    <w:rsid w:val="00B22424"/>
    <w:rsid w:val="00B22665"/>
    <w:rsid w:val="00B226A9"/>
    <w:rsid w:val="00B228D6"/>
    <w:rsid w:val="00B228E5"/>
    <w:rsid w:val="00B22941"/>
    <w:rsid w:val="00B229D0"/>
    <w:rsid w:val="00B22E98"/>
    <w:rsid w:val="00B22FC4"/>
    <w:rsid w:val="00B2302A"/>
    <w:rsid w:val="00B230AD"/>
    <w:rsid w:val="00B23450"/>
    <w:rsid w:val="00B2353C"/>
    <w:rsid w:val="00B2358A"/>
    <w:rsid w:val="00B235BF"/>
    <w:rsid w:val="00B237E8"/>
    <w:rsid w:val="00B237F0"/>
    <w:rsid w:val="00B2390F"/>
    <w:rsid w:val="00B2395A"/>
    <w:rsid w:val="00B23A93"/>
    <w:rsid w:val="00B23E42"/>
    <w:rsid w:val="00B240A1"/>
    <w:rsid w:val="00B24142"/>
    <w:rsid w:val="00B24267"/>
    <w:rsid w:val="00B244A7"/>
    <w:rsid w:val="00B24899"/>
    <w:rsid w:val="00B2495D"/>
    <w:rsid w:val="00B24A83"/>
    <w:rsid w:val="00B24BAD"/>
    <w:rsid w:val="00B24DD0"/>
    <w:rsid w:val="00B24E37"/>
    <w:rsid w:val="00B253CE"/>
    <w:rsid w:val="00B2548F"/>
    <w:rsid w:val="00B25509"/>
    <w:rsid w:val="00B257F1"/>
    <w:rsid w:val="00B258CD"/>
    <w:rsid w:val="00B25A61"/>
    <w:rsid w:val="00B25E53"/>
    <w:rsid w:val="00B25F84"/>
    <w:rsid w:val="00B25FE1"/>
    <w:rsid w:val="00B26124"/>
    <w:rsid w:val="00B26132"/>
    <w:rsid w:val="00B26296"/>
    <w:rsid w:val="00B26452"/>
    <w:rsid w:val="00B26AAB"/>
    <w:rsid w:val="00B26AAE"/>
    <w:rsid w:val="00B26BE0"/>
    <w:rsid w:val="00B26C2B"/>
    <w:rsid w:val="00B26CB2"/>
    <w:rsid w:val="00B26CD7"/>
    <w:rsid w:val="00B26F0B"/>
    <w:rsid w:val="00B26F39"/>
    <w:rsid w:val="00B275D4"/>
    <w:rsid w:val="00B275E4"/>
    <w:rsid w:val="00B27779"/>
    <w:rsid w:val="00B27A06"/>
    <w:rsid w:val="00B27A8B"/>
    <w:rsid w:val="00B27F6C"/>
    <w:rsid w:val="00B3021C"/>
    <w:rsid w:val="00B304D7"/>
    <w:rsid w:val="00B30560"/>
    <w:rsid w:val="00B3057D"/>
    <w:rsid w:val="00B306A5"/>
    <w:rsid w:val="00B30857"/>
    <w:rsid w:val="00B30B27"/>
    <w:rsid w:val="00B30F68"/>
    <w:rsid w:val="00B3115B"/>
    <w:rsid w:val="00B317E9"/>
    <w:rsid w:val="00B3184F"/>
    <w:rsid w:val="00B31B0F"/>
    <w:rsid w:val="00B31B85"/>
    <w:rsid w:val="00B31F88"/>
    <w:rsid w:val="00B32055"/>
    <w:rsid w:val="00B320F9"/>
    <w:rsid w:val="00B3259C"/>
    <w:rsid w:val="00B325E1"/>
    <w:rsid w:val="00B32696"/>
    <w:rsid w:val="00B326B7"/>
    <w:rsid w:val="00B328CB"/>
    <w:rsid w:val="00B32A13"/>
    <w:rsid w:val="00B32D5B"/>
    <w:rsid w:val="00B32DC8"/>
    <w:rsid w:val="00B33320"/>
    <w:rsid w:val="00B339AD"/>
    <w:rsid w:val="00B33B04"/>
    <w:rsid w:val="00B33B92"/>
    <w:rsid w:val="00B33C03"/>
    <w:rsid w:val="00B33C42"/>
    <w:rsid w:val="00B33F80"/>
    <w:rsid w:val="00B34147"/>
    <w:rsid w:val="00B34177"/>
    <w:rsid w:val="00B342BC"/>
    <w:rsid w:val="00B3451C"/>
    <w:rsid w:val="00B347A6"/>
    <w:rsid w:val="00B347D5"/>
    <w:rsid w:val="00B34891"/>
    <w:rsid w:val="00B34BD8"/>
    <w:rsid w:val="00B34C93"/>
    <w:rsid w:val="00B34E8A"/>
    <w:rsid w:val="00B34FF9"/>
    <w:rsid w:val="00B351A6"/>
    <w:rsid w:val="00B3567A"/>
    <w:rsid w:val="00B358B6"/>
    <w:rsid w:val="00B35B84"/>
    <w:rsid w:val="00B35D0D"/>
    <w:rsid w:val="00B35D1F"/>
    <w:rsid w:val="00B35DED"/>
    <w:rsid w:val="00B36254"/>
    <w:rsid w:val="00B36962"/>
    <w:rsid w:val="00B36B00"/>
    <w:rsid w:val="00B36BC0"/>
    <w:rsid w:val="00B36C2F"/>
    <w:rsid w:val="00B36CD9"/>
    <w:rsid w:val="00B36FFF"/>
    <w:rsid w:val="00B37025"/>
    <w:rsid w:val="00B37038"/>
    <w:rsid w:val="00B372B6"/>
    <w:rsid w:val="00B37447"/>
    <w:rsid w:val="00B37461"/>
    <w:rsid w:val="00B376B1"/>
    <w:rsid w:val="00B378C0"/>
    <w:rsid w:val="00B37B19"/>
    <w:rsid w:val="00B37B9E"/>
    <w:rsid w:val="00B37BF1"/>
    <w:rsid w:val="00B37D84"/>
    <w:rsid w:val="00B37E3A"/>
    <w:rsid w:val="00B40097"/>
    <w:rsid w:val="00B40363"/>
    <w:rsid w:val="00B4037C"/>
    <w:rsid w:val="00B40682"/>
    <w:rsid w:val="00B407EE"/>
    <w:rsid w:val="00B40807"/>
    <w:rsid w:val="00B408C3"/>
    <w:rsid w:val="00B40E10"/>
    <w:rsid w:val="00B40E92"/>
    <w:rsid w:val="00B40F93"/>
    <w:rsid w:val="00B411F2"/>
    <w:rsid w:val="00B41496"/>
    <w:rsid w:val="00B41563"/>
    <w:rsid w:val="00B415F4"/>
    <w:rsid w:val="00B4160C"/>
    <w:rsid w:val="00B416D3"/>
    <w:rsid w:val="00B418C1"/>
    <w:rsid w:val="00B419B8"/>
    <w:rsid w:val="00B419F9"/>
    <w:rsid w:val="00B41A18"/>
    <w:rsid w:val="00B420DF"/>
    <w:rsid w:val="00B42118"/>
    <w:rsid w:val="00B42128"/>
    <w:rsid w:val="00B42562"/>
    <w:rsid w:val="00B42567"/>
    <w:rsid w:val="00B42AAA"/>
    <w:rsid w:val="00B42BF3"/>
    <w:rsid w:val="00B42C7C"/>
    <w:rsid w:val="00B42DC2"/>
    <w:rsid w:val="00B42DDA"/>
    <w:rsid w:val="00B42EF4"/>
    <w:rsid w:val="00B4317E"/>
    <w:rsid w:val="00B431D3"/>
    <w:rsid w:val="00B433B7"/>
    <w:rsid w:val="00B433EA"/>
    <w:rsid w:val="00B4346C"/>
    <w:rsid w:val="00B4354E"/>
    <w:rsid w:val="00B43553"/>
    <w:rsid w:val="00B436E6"/>
    <w:rsid w:val="00B439BD"/>
    <w:rsid w:val="00B43A03"/>
    <w:rsid w:val="00B43AB9"/>
    <w:rsid w:val="00B43D5F"/>
    <w:rsid w:val="00B43DC8"/>
    <w:rsid w:val="00B44052"/>
    <w:rsid w:val="00B44254"/>
    <w:rsid w:val="00B445C4"/>
    <w:rsid w:val="00B4462F"/>
    <w:rsid w:val="00B4477A"/>
    <w:rsid w:val="00B4483A"/>
    <w:rsid w:val="00B449D4"/>
    <w:rsid w:val="00B44A21"/>
    <w:rsid w:val="00B44ADE"/>
    <w:rsid w:val="00B44E21"/>
    <w:rsid w:val="00B44E2A"/>
    <w:rsid w:val="00B44E9B"/>
    <w:rsid w:val="00B45007"/>
    <w:rsid w:val="00B453CD"/>
    <w:rsid w:val="00B4545C"/>
    <w:rsid w:val="00B45738"/>
    <w:rsid w:val="00B457ED"/>
    <w:rsid w:val="00B45809"/>
    <w:rsid w:val="00B4580D"/>
    <w:rsid w:val="00B459BC"/>
    <w:rsid w:val="00B45ADD"/>
    <w:rsid w:val="00B45D72"/>
    <w:rsid w:val="00B45F2F"/>
    <w:rsid w:val="00B46025"/>
    <w:rsid w:val="00B463A3"/>
    <w:rsid w:val="00B46C43"/>
    <w:rsid w:val="00B46EBB"/>
    <w:rsid w:val="00B470F2"/>
    <w:rsid w:val="00B47427"/>
    <w:rsid w:val="00B47520"/>
    <w:rsid w:val="00B47795"/>
    <w:rsid w:val="00B47C46"/>
    <w:rsid w:val="00B47E9C"/>
    <w:rsid w:val="00B502AC"/>
    <w:rsid w:val="00B50392"/>
    <w:rsid w:val="00B50581"/>
    <w:rsid w:val="00B505C2"/>
    <w:rsid w:val="00B50BE3"/>
    <w:rsid w:val="00B50C5A"/>
    <w:rsid w:val="00B50FA7"/>
    <w:rsid w:val="00B51191"/>
    <w:rsid w:val="00B51228"/>
    <w:rsid w:val="00B51252"/>
    <w:rsid w:val="00B513FD"/>
    <w:rsid w:val="00B5140B"/>
    <w:rsid w:val="00B51794"/>
    <w:rsid w:val="00B518D1"/>
    <w:rsid w:val="00B519F3"/>
    <w:rsid w:val="00B51B58"/>
    <w:rsid w:val="00B51BB8"/>
    <w:rsid w:val="00B51E26"/>
    <w:rsid w:val="00B51EFB"/>
    <w:rsid w:val="00B5227B"/>
    <w:rsid w:val="00B5234F"/>
    <w:rsid w:val="00B527B6"/>
    <w:rsid w:val="00B52954"/>
    <w:rsid w:val="00B52C49"/>
    <w:rsid w:val="00B52D8C"/>
    <w:rsid w:val="00B52E70"/>
    <w:rsid w:val="00B5308E"/>
    <w:rsid w:val="00B530CD"/>
    <w:rsid w:val="00B530EA"/>
    <w:rsid w:val="00B531D1"/>
    <w:rsid w:val="00B532FF"/>
    <w:rsid w:val="00B53506"/>
    <w:rsid w:val="00B53757"/>
    <w:rsid w:val="00B53E39"/>
    <w:rsid w:val="00B53EC4"/>
    <w:rsid w:val="00B5412F"/>
    <w:rsid w:val="00B544A2"/>
    <w:rsid w:val="00B54515"/>
    <w:rsid w:val="00B546E3"/>
    <w:rsid w:val="00B54B82"/>
    <w:rsid w:val="00B54F65"/>
    <w:rsid w:val="00B552B9"/>
    <w:rsid w:val="00B55440"/>
    <w:rsid w:val="00B55481"/>
    <w:rsid w:val="00B55516"/>
    <w:rsid w:val="00B559E8"/>
    <w:rsid w:val="00B55ADA"/>
    <w:rsid w:val="00B55C13"/>
    <w:rsid w:val="00B55C40"/>
    <w:rsid w:val="00B55E19"/>
    <w:rsid w:val="00B55E1D"/>
    <w:rsid w:val="00B55FC1"/>
    <w:rsid w:val="00B561B2"/>
    <w:rsid w:val="00B562A3"/>
    <w:rsid w:val="00B56420"/>
    <w:rsid w:val="00B5647C"/>
    <w:rsid w:val="00B565B5"/>
    <w:rsid w:val="00B565D2"/>
    <w:rsid w:val="00B566F4"/>
    <w:rsid w:val="00B56B10"/>
    <w:rsid w:val="00B56C12"/>
    <w:rsid w:val="00B56C1A"/>
    <w:rsid w:val="00B56C51"/>
    <w:rsid w:val="00B56D8B"/>
    <w:rsid w:val="00B5709B"/>
    <w:rsid w:val="00B57577"/>
    <w:rsid w:val="00B575EF"/>
    <w:rsid w:val="00B57928"/>
    <w:rsid w:val="00B57BBE"/>
    <w:rsid w:val="00B57BD3"/>
    <w:rsid w:val="00B57D7A"/>
    <w:rsid w:val="00B57E6C"/>
    <w:rsid w:val="00B601C0"/>
    <w:rsid w:val="00B60376"/>
    <w:rsid w:val="00B603F3"/>
    <w:rsid w:val="00B60426"/>
    <w:rsid w:val="00B6045E"/>
    <w:rsid w:val="00B607B2"/>
    <w:rsid w:val="00B60852"/>
    <w:rsid w:val="00B608E2"/>
    <w:rsid w:val="00B60BC1"/>
    <w:rsid w:val="00B60D4E"/>
    <w:rsid w:val="00B60DB8"/>
    <w:rsid w:val="00B60FE4"/>
    <w:rsid w:val="00B6116E"/>
    <w:rsid w:val="00B61290"/>
    <w:rsid w:val="00B613E5"/>
    <w:rsid w:val="00B61754"/>
    <w:rsid w:val="00B617A8"/>
    <w:rsid w:val="00B61C52"/>
    <w:rsid w:val="00B61CD0"/>
    <w:rsid w:val="00B61F37"/>
    <w:rsid w:val="00B62061"/>
    <w:rsid w:val="00B6230D"/>
    <w:rsid w:val="00B6265C"/>
    <w:rsid w:val="00B62738"/>
    <w:rsid w:val="00B62770"/>
    <w:rsid w:val="00B62A7B"/>
    <w:rsid w:val="00B62B10"/>
    <w:rsid w:val="00B62ED3"/>
    <w:rsid w:val="00B6329B"/>
    <w:rsid w:val="00B63319"/>
    <w:rsid w:val="00B633A4"/>
    <w:rsid w:val="00B63AA8"/>
    <w:rsid w:val="00B63D30"/>
    <w:rsid w:val="00B63E18"/>
    <w:rsid w:val="00B64085"/>
    <w:rsid w:val="00B64180"/>
    <w:rsid w:val="00B641DF"/>
    <w:rsid w:val="00B646A3"/>
    <w:rsid w:val="00B6495B"/>
    <w:rsid w:val="00B64A3C"/>
    <w:rsid w:val="00B64AED"/>
    <w:rsid w:val="00B64BB9"/>
    <w:rsid w:val="00B64C94"/>
    <w:rsid w:val="00B64CD8"/>
    <w:rsid w:val="00B64D2B"/>
    <w:rsid w:val="00B64DB7"/>
    <w:rsid w:val="00B64E85"/>
    <w:rsid w:val="00B64EE2"/>
    <w:rsid w:val="00B6519A"/>
    <w:rsid w:val="00B652F7"/>
    <w:rsid w:val="00B65800"/>
    <w:rsid w:val="00B65A19"/>
    <w:rsid w:val="00B65BAE"/>
    <w:rsid w:val="00B65CB3"/>
    <w:rsid w:val="00B65D44"/>
    <w:rsid w:val="00B65FB0"/>
    <w:rsid w:val="00B6617C"/>
    <w:rsid w:val="00B6692B"/>
    <w:rsid w:val="00B66B01"/>
    <w:rsid w:val="00B66C8C"/>
    <w:rsid w:val="00B66F0C"/>
    <w:rsid w:val="00B670FF"/>
    <w:rsid w:val="00B6712B"/>
    <w:rsid w:val="00B671CD"/>
    <w:rsid w:val="00B67232"/>
    <w:rsid w:val="00B67396"/>
    <w:rsid w:val="00B67540"/>
    <w:rsid w:val="00B67725"/>
    <w:rsid w:val="00B67904"/>
    <w:rsid w:val="00B67A49"/>
    <w:rsid w:val="00B67BB7"/>
    <w:rsid w:val="00B67CAC"/>
    <w:rsid w:val="00B67D64"/>
    <w:rsid w:val="00B67E9A"/>
    <w:rsid w:val="00B67F3A"/>
    <w:rsid w:val="00B700C2"/>
    <w:rsid w:val="00B702BA"/>
    <w:rsid w:val="00B702D5"/>
    <w:rsid w:val="00B707CB"/>
    <w:rsid w:val="00B70815"/>
    <w:rsid w:val="00B7083E"/>
    <w:rsid w:val="00B70A9B"/>
    <w:rsid w:val="00B70C56"/>
    <w:rsid w:val="00B70C9A"/>
    <w:rsid w:val="00B70D67"/>
    <w:rsid w:val="00B70EC5"/>
    <w:rsid w:val="00B70F7A"/>
    <w:rsid w:val="00B710A8"/>
    <w:rsid w:val="00B716C7"/>
    <w:rsid w:val="00B71844"/>
    <w:rsid w:val="00B71C6C"/>
    <w:rsid w:val="00B72014"/>
    <w:rsid w:val="00B72142"/>
    <w:rsid w:val="00B72262"/>
    <w:rsid w:val="00B7238D"/>
    <w:rsid w:val="00B72518"/>
    <w:rsid w:val="00B72545"/>
    <w:rsid w:val="00B7258B"/>
    <w:rsid w:val="00B72896"/>
    <w:rsid w:val="00B72A58"/>
    <w:rsid w:val="00B72AC4"/>
    <w:rsid w:val="00B72D6C"/>
    <w:rsid w:val="00B72D81"/>
    <w:rsid w:val="00B72E24"/>
    <w:rsid w:val="00B730C2"/>
    <w:rsid w:val="00B730E5"/>
    <w:rsid w:val="00B7321F"/>
    <w:rsid w:val="00B732C0"/>
    <w:rsid w:val="00B735AE"/>
    <w:rsid w:val="00B738D3"/>
    <w:rsid w:val="00B73FF6"/>
    <w:rsid w:val="00B740E0"/>
    <w:rsid w:val="00B74656"/>
    <w:rsid w:val="00B747CB"/>
    <w:rsid w:val="00B74A67"/>
    <w:rsid w:val="00B74C5D"/>
    <w:rsid w:val="00B74EA6"/>
    <w:rsid w:val="00B74EC2"/>
    <w:rsid w:val="00B750B7"/>
    <w:rsid w:val="00B751D6"/>
    <w:rsid w:val="00B752EF"/>
    <w:rsid w:val="00B755C1"/>
    <w:rsid w:val="00B758C2"/>
    <w:rsid w:val="00B759DC"/>
    <w:rsid w:val="00B75B2A"/>
    <w:rsid w:val="00B75B47"/>
    <w:rsid w:val="00B75C8D"/>
    <w:rsid w:val="00B75E5C"/>
    <w:rsid w:val="00B75EF0"/>
    <w:rsid w:val="00B75FFB"/>
    <w:rsid w:val="00B76095"/>
    <w:rsid w:val="00B762AD"/>
    <w:rsid w:val="00B763D2"/>
    <w:rsid w:val="00B764DE"/>
    <w:rsid w:val="00B76650"/>
    <w:rsid w:val="00B7688E"/>
    <w:rsid w:val="00B76A8B"/>
    <w:rsid w:val="00B77209"/>
    <w:rsid w:val="00B77365"/>
    <w:rsid w:val="00B775D6"/>
    <w:rsid w:val="00B77673"/>
    <w:rsid w:val="00B776A2"/>
    <w:rsid w:val="00B7791F"/>
    <w:rsid w:val="00B77A84"/>
    <w:rsid w:val="00B77B0A"/>
    <w:rsid w:val="00B77B18"/>
    <w:rsid w:val="00B77C4E"/>
    <w:rsid w:val="00B77FFD"/>
    <w:rsid w:val="00B8027F"/>
    <w:rsid w:val="00B8074B"/>
    <w:rsid w:val="00B809FA"/>
    <w:rsid w:val="00B80AF4"/>
    <w:rsid w:val="00B80BD6"/>
    <w:rsid w:val="00B8111F"/>
    <w:rsid w:val="00B81497"/>
    <w:rsid w:val="00B81597"/>
    <w:rsid w:val="00B81A03"/>
    <w:rsid w:val="00B82331"/>
    <w:rsid w:val="00B8274B"/>
    <w:rsid w:val="00B82F5B"/>
    <w:rsid w:val="00B82FDA"/>
    <w:rsid w:val="00B8312F"/>
    <w:rsid w:val="00B83141"/>
    <w:rsid w:val="00B83169"/>
    <w:rsid w:val="00B83443"/>
    <w:rsid w:val="00B834AC"/>
    <w:rsid w:val="00B835A5"/>
    <w:rsid w:val="00B83661"/>
    <w:rsid w:val="00B83B60"/>
    <w:rsid w:val="00B83B81"/>
    <w:rsid w:val="00B83E35"/>
    <w:rsid w:val="00B83F22"/>
    <w:rsid w:val="00B84153"/>
    <w:rsid w:val="00B84411"/>
    <w:rsid w:val="00B846AC"/>
    <w:rsid w:val="00B84B91"/>
    <w:rsid w:val="00B84C65"/>
    <w:rsid w:val="00B85B93"/>
    <w:rsid w:val="00B85C35"/>
    <w:rsid w:val="00B85E98"/>
    <w:rsid w:val="00B85FA4"/>
    <w:rsid w:val="00B860BA"/>
    <w:rsid w:val="00B8625C"/>
    <w:rsid w:val="00B863B3"/>
    <w:rsid w:val="00B864EF"/>
    <w:rsid w:val="00B86834"/>
    <w:rsid w:val="00B86982"/>
    <w:rsid w:val="00B86C14"/>
    <w:rsid w:val="00B87109"/>
    <w:rsid w:val="00B871DF"/>
    <w:rsid w:val="00B87364"/>
    <w:rsid w:val="00B876F7"/>
    <w:rsid w:val="00B87701"/>
    <w:rsid w:val="00B8798F"/>
    <w:rsid w:val="00B879F0"/>
    <w:rsid w:val="00B87A93"/>
    <w:rsid w:val="00B87B70"/>
    <w:rsid w:val="00B87D66"/>
    <w:rsid w:val="00B905B3"/>
    <w:rsid w:val="00B905EC"/>
    <w:rsid w:val="00B90690"/>
    <w:rsid w:val="00B90945"/>
    <w:rsid w:val="00B90BDE"/>
    <w:rsid w:val="00B90DCC"/>
    <w:rsid w:val="00B9122D"/>
    <w:rsid w:val="00B91291"/>
    <w:rsid w:val="00B912D6"/>
    <w:rsid w:val="00B9148D"/>
    <w:rsid w:val="00B91598"/>
    <w:rsid w:val="00B915EB"/>
    <w:rsid w:val="00B91618"/>
    <w:rsid w:val="00B91971"/>
    <w:rsid w:val="00B91CFA"/>
    <w:rsid w:val="00B91D97"/>
    <w:rsid w:val="00B91F38"/>
    <w:rsid w:val="00B92195"/>
    <w:rsid w:val="00B92330"/>
    <w:rsid w:val="00B923A0"/>
    <w:rsid w:val="00B924AF"/>
    <w:rsid w:val="00B927AF"/>
    <w:rsid w:val="00B92C58"/>
    <w:rsid w:val="00B92DC5"/>
    <w:rsid w:val="00B92DCE"/>
    <w:rsid w:val="00B930A4"/>
    <w:rsid w:val="00B937EB"/>
    <w:rsid w:val="00B93E80"/>
    <w:rsid w:val="00B93F16"/>
    <w:rsid w:val="00B93FDF"/>
    <w:rsid w:val="00B94115"/>
    <w:rsid w:val="00B941F9"/>
    <w:rsid w:val="00B947F6"/>
    <w:rsid w:val="00B94946"/>
    <w:rsid w:val="00B94A0C"/>
    <w:rsid w:val="00B94F19"/>
    <w:rsid w:val="00B950ED"/>
    <w:rsid w:val="00B95161"/>
    <w:rsid w:val="00B952DF"/>
    <w:rsid w:val="00B95551"/>
    <w:rsid w:val="00B95603"/>
    <w:rsid w:val="00B956A9"/>
    <w:rsid w:val="00B958DB"/>
    <w:rsid w:val="00B95915"/>
    <w:rsid w:val="00B95969"/>
    <w:rsid w:val="00B95AFB"/>
    <w:rsid w:val="00B960AB"/>
    <w:rsid w:val="00B96166"/>
    <w:rsid w:val="00B96343"/>
    <w:rsid w:val="00B9650E"/>
    <w:rsid w:val="00B9670A"/>
    <w:rsid w:val="00B96C1A"/>
    <w:rsid w:val="00B96C6A"/>
    <w:rsid w:val="00B97396"/>
    <w:rsid w:val="00B973AF"/>
    <w:rsid w:val="00B9761E"/>
    <w:rsid w:val="00B977BF"/>
    <w:rsid w:val="00B97864"/>
    <w:rsid w:val="00B9789E"/>
    <w:rsid w:val="00B97E6B"/>
    <w:rsid w:val="00BA026D"/>
    <w:rsid w:val="00BA0930"/>
    <w:rsid w:val="00BA0D9A"/>
    <w:rsid w:val="00BA100C"/>
    <w:rsid w:val="00BA11DD"/>
    <w:rsid w:val="00BA1520"/>
    <w:rsid w:val="00BA182A"/>
    <w:rsid w:val="00BA1860"/>
    <w:rsid w:val="00BA1C16"/>
    <w:rsid w:val="00BA1D85"/>
    <w:rsid w:val="00BA1F3E"/>
    <w:rsid w:val="00BA207D"/>
    <w:rsid w:val="00BA2698"/>
    <w:rsid w:val="00BA2934"/>
    <w:rsid w:val="00BA2A06"/>
    <w:rsid w:val="00BA2C92"/>
    <w:rsid w:val="00BA2F5D"/>
    <w:rsid w:val="00BA320E"/>
    <w:rsid w:val="00BA34C1"/>
    <w:rsid w:val="00BA3654"/>
    <w:rsid w:val="00BA3692"/>
    <w:rsid w:val="00BA3835"/>
    <w:rsid w:val="00BA38BC"/>
    <w:rsid w:val="00BA38D4"/>
    <w:rsid w:val="00BA3E24"/>
    <w:rsid w:val="00BA3E7F"/>
    <w:rsid w:val="00BA3F0A"/>
    <w:rsid w:val="00BA3FA5"/>
    <w:rsid w:val="00BA41E3"/>
    <w:rsid w:val="00BA4346"/>
    <w:rsid w:val="00BA43F6"/>
    <w:rsid w:val="00BA46D0"/>
    <w:rsid w:val="00BA4B55"/>
    <w:rsid w:val="00BA4C56"/>
    <w:rsid w:val="00BA4D3C"/>
    <w:rsid w:val="00BA5211"/>
    <w:rsid w:val="00BA540C"/>
    <w:rsid w:val="00BA5444"/>
    <w:rsid w:val="00BA5880"/>
    <w:rsid w:val="00BA596D"/>
    <w:rsid w:val="00BA5BF6"/>
    <w:rsid w:val="00BA648D"/>
    <w:rsid w:val="00BA64B7"/>
    <w:rsid w:val="00BA64FD"/>
    <w:rsid w:val="00BA6507"/>
    <w:rsid w:val="00BA6E10"/>
    <w:rsid w:val="00BA7294"/>
    <w:rsid w:val="00BA75CC"/>
    <w:rsid w:val="00BA75EA"/>
    <w:rsid w:val="00BA766A"/>
    <w:rsid w:val="00BA7C7C"/>
    <w:rsid w:val="00BA7CC5"/>
    <w:rsid w:val="00BA7D07"/>
    <w:rsid w:val="00BB0239"/>
    <w:rsid w:val="00BB035C"/>
    <w:rsid w:val="00BB0721"/>
    <w:rsid w:val="00BB0BE3"/>
    <w:rsid w:val="00BB0C1F"/>
    <w:rsid w:val="00BB0DF9"/>
    <w:rsid w:val="00BB0E4C"/>
    <w:rsid w:val="00BB0F58"/>
    <w:rsid w:val="00BB1194"/>
    <w:rsid w:val="00BB1270"/>
    <w:rsid w:val="00BB12D3"/>
    <w:rsid w:val="00BB1333"/>
    <w:rsid w:val="00BB14FC"/>
    <w:rsid w:val="00BB1957"/>
    <w:rsid w:val="00BB1ACD"/>
    <w:rsid w:val="00BB1D7B"/>
    <w:rsid w:val="00BB1D9F"/>
    <w:rsid w:val="00BB1E6D"/>
    <w:rsid w:val="00BB2182"/>
    <w:rsid w:val="00BB24A1"/>
    <w:rsid w:val="00BB24DF"/>
    <w:rsid w:val="00BB25EC"/>
    <w:rsid w:val="00BB28D1"/>
    <w:rsid w:val="00BB2E38"/>
    <w:rsid w:val="00BB316F"/>
    <w:rsid w:val="00BB318E"/>
    <w:rsid w:val="00BB3553"/>
    <w:rsid w:val="00BB3838"/>
    <w:rsid w:val="00BB39B5"/>
    <w:rsid w:val="00BB3DBD"/>
    <w:rsid w:val="00BB3E43"/>
    <w:rsid w:val="00BB4403"/>
    <w:rsid w:val="00BB458A"/>
    <w:rsid w:val="00BB4742"/>
    <w:rsid w:val="00BB47B7"/>
    <w:rsid w:val="00BB496A"/>
    <w:rsid w:val="00BB4B41"/>
    <w:rsid w:val="00BB4B5B"/>
    <w:rsid w:val="00BB4BA1"/>
    <w:rsid w:val="00BB4E1A"/>
    <w:rsid w:val="00BB4E5A"/>
    <w:rsid w:val="00BB4EAE"/>
    <w:rsid w:val="00BB50E0"/>
    <w:rsid w:val="00BB51A8"/>
    <w:rsid w:val="00BB52A4"/>
    <w:rsid w:val="00BB5736"/>
    <w:rsid w:val="00BB5A85"/>
    <w:rsid w:val="00BB5CFC"/>
    <w:rsid w:val="00BB5DF7"/>
    <w:rsid w:val="00BB5FEF"/>
    <w:rsid w:val="00BB6165"/>
    <w:rsid w:val="00BB6605"/>
    <w:rsid w:val="00BB6750"/>
    <w:rsid w:val="00BB68E9"/>
    <w:rsid w:val="00BB6940"/>
    <w:rsid w:val="00BB6D03"/>
    <w:rsid w:val="00BB6F70"/>
    <w:rsid w:val="00BB70B0"/>
    <w:rsid w:val="00BB7362"/>
    <w:rsid w:val="00BB73AF"/>
    <w:rsid w:val="00BB7599"/>
    <w:rsid w:val="00BB75A0"/>
    <w:rsid w:val="00BB75C1"/>
    <w:rsid w:val="00BB7635"/>
    <w:rsid w:val="00BB7A3D"/>
    <w:rsid w:val="00BC01C4"/>
    <w:rsid w:val="00BC0398"/>
    <w:rsid w:val="00BC042A"/>
    <w:rsid w:val="00BC044A"/>
    <w:rsid w:val="00BC04E3"/>
    <w:rsid w:val="00BC055F"/>
    <w:rsid w:val="00BC0704"/>
    <w:rsid w:val="00BC0976"/>
    <w:rsid w:val="00BC0ABC"/>
    <w:rsid w:val="00BC0C74"/>
    <w:rsid w:val="00BC17A0"/>
    <w:rsid w:val="00BC18B7"/>
    <w:rsid w:val="00BC1AE8"/>
    <w:rsid w:val="00BC1D44"/>
    <w:rsid w:val="00BC1E02"/>
    <w:rsid w:val="00BC2081"/>
    <w:rsid w:val="00BC2423"/>
    <w:rsid w:val="00BC25FE"/>
    <w:rsid w:val="00BC28D9"/>
    <w:rsid w:val="00BC297B"/>
    <w:rsid w:val="00BC2B9E"/>
    <w:rsid w:val="00BC2E7B"/>
    <w:rsid w:val="00BC2EDD"/>
    <w:rsid w:val="00BC2F10"/>
    <w:rsid w:val="00BC311C"/>
    <w:rsid w:val="00BC3234"/>
    <w:rsid w:val="00BC3499"/>
    <w:rsid w:val="00BC34B9"/>
    <w:rsid w:val="00BC3719"/>
    <w:rsid w:val="00BC3911"/>
    <w:rsid w:val="00BC3AC1"/>
    <w:rsid w:val="00BC3BAB"/>
    <w:rsid w:val="00BC3C52"/>
    <w:rsid w:val="00BC3CC5"/>
    <w:rsid w:val="00BC3CE4"/>
    <w:rsid w:val="00BC3EA6"/>
    <w:rsid w:val="00BC3F02"/>
    <w:rsid w:val="00BC4212"/>
    <w:rsid w:val="00BC43C8"/>
    <w:rsid w:val="00BC4E28"/>
    <w:rsid w:val="00BC4E3A"/>
    <w:rsid w:val="00BC50B9"/>
    <w:rsid w:val="00BC5162"/>
    <w:rsid w:val="00BC5330"/>
    <w:rsid w:val="00BC549F"/>
    <w:rsid w:val="00BC55FB"/>
    <w:rsid w:val="00BC576D"/>
    <w:rsid w:val="00BC5A60"/>
    <w:rsid w:val="00BC5A6E"/>
    <w:rsid w:val="00BC5AC1"/>
    <w:rsid w:val="00BC5AE9"/>
    <w:rsid w:val="00BC5F95"/>
    <w:rsid w:val="00BC6131"/>
    <w:rsid w:val="00BC6255"/>
    <w:rsid w:val="00BC62D3"/>
    <w:rsid w:val="00BC640C"/>
    <w:rsid w:val="00BC65F7"/>
    <w:rsid w:val="00BC6C49"/>
    <w:rsid w:val="00BC6ED5"/>
    <w:rsid w:val="00BC7222"/>
    <w:rsid w:val="00BC7450"/>
    <w:rsid w:val="00BC7648"/>
    <w:rsid w:val="00BC7904"/>
    <w:rsid w:val="00BC7B70"/>
    <w:rsid w:val="00BC7CF3"/>
    <w:rsid w:val="00BC7FE0"/>
    <w:rsid w:val="00BD0117"/>
    <w:rsid w:val="00BD024D"/>
    <w:rsid w:val="00BD033A"/>
    <w:rsid w:val="00BD0560"/>
    <w:rsid w:val="00BD064A"/>
    <w:rsid w:val="00BD0684"/>
    <w:rsid w:val="00BD0F46"/>
    <w:rsid w:val="00BD1403"/>
    <w:rsid w:val="00BD14F0"/>
    <w:rsid w:val="00BD15AD"/>
    <w:rsid w:val="00BD1601"/>
    <w:rsid w:val="00BD1643"/>
    <w:rsid w:val="00BD171E"/>
    <w:rsid w:val="00BD1732"/>
    <w:rsid w:val="00BD1869"/>
    <w:rsid w:val="00BD1ADE"/>
    <w:rsid w:val="00BD1AFF"/>
    <w:rsid w:val="00BD1C48"/>
    <w:rsid w:val="00BD1CA2"/>
    <w:rsid w:val="00BD1E97"/>
    <w:rsid w:val="00BD1E9E"/>
    <w:rsid w:val="00BD2198"/>
    <w:rsid w:val="00BD224F"/>
    <w:rsid w:val="00BD229E"/>
    <w:rsid w:val="00BD2618"/>
    <w:rsid w:val="00BD26B8"/>
    <w:rsid w:val="00BD2709"/>
    <w:rsid w:val="00BD2773"/>
    <w:rsid w:val="00BD2807"/>
    <w:rsid w:val="00BD2AB1"/>
    <w:rsid w:val="00BD2B80"/>
    <w:rsid w:val="00BD3011"/>
    <w:rsid w:val="00BD39D1"/>
    <w:rsid w:val="00BD3A58"/>
    <w:rsid w:val="00BD3C0E"/>
    <w:rsid w:val="00BD3EE3"/>
    <w:rsid w:val="00BD3F17"/>
    <w:rsid w:val="00BD4156"/>
    <w:rsid w:val="00BD421A"/>
    <w:rsid w:val="00BD46EE"/>
    <w:rsid w:val="00BD475A"/>
    <w:rsid w:val="00BD47A7"/>
    <w:rsid w:val="00BD4A0D"/>
    <w:rsid w:val="00BD4B76"/>
    <w:rsid w:val="00BD4BD8"/>
    <w:rsid w:val="00BD4BF2"/>
    <w:rsid w:val="00BD4F45"/>
    <w:rsid w:val="00BD4F47"/>
    <w:rsid w:val="00BD53A7"/>
    <w:rsid w:val="00BD554B"/>
    <w:rsid w:val="00BD5962"/>
    <w:rsid w:val="00BD5980"/>
    <w:rsid w:val="00BD5E56"/>
    <w:rsid w:val="00BD608B"/>
    <w:rsid w:val="00BD60DC"/>
    <w:rsid w:val="00BD661D"/>
    <w:rsid w:val="00BD666E"/>
    <w:rsid w:val="00BD68EE"/>
    <w:rsid w:val="00BD6929"/>
    <w:rsid w:val="00BD6939"/>
    <w:rsid w:val="00BD6A29"/>
    <w:rsid w:val="00BD6C32"/>
    <w:rsid w:val="00BD6D56"/>
    <w:rsid w:val="00BD6DD3"/>
    <w:rsid w:val="00BD7130"/>
    <w:rsid w:val="00BD747A"/>
    <w:rsid w:val="00BD7608"/>
    <w:rsid w:val="00BD7623"/>
    <w:rsid w:val="00BD7651"/>
    <w:rsid w:val="00BD79F4"/>
    <w:rsid w:val="00BD7CDB"/>
    <w:rsid w:val="00BD7EA5"/>
    <w:rsid w:val="00BD7EC9"/>
    <w:rsid w:val="00BD7F98"/>
    <w:rsid w:val="00BE0065"/>
    <w:rsid w:val="00BE006F"/>
    <w:rsid w:val="00BE04DB"/>
    <w:rsid w:val="00BE058F"/>
    <w:rsid w:val="00BE07CF"/>
    <w:rsid w:val="00BE091A"/>
    <w:rsid w:val="00BE0B94"/>
    <w:rsid w:val="00BE0CE6"/>
    <w:rsid w:val="00BE1010"/>
    <w:rsid w:val="00BE10CE"/>
    <w:rsid w:val="00BE1134"/>
    <w:rsid w:val="00BE143B"/>
    <w:rsid w:val="00BE160D"/>
    <w:rsid w:val="00BE1B23"/>
    <w:rsid w:val="00BE1B8D"/>
    <w:rsid w:val="00BE20FE"/>
    <w:rsid w:val="00BE21A6"/>
    <w:rsid w:val="00BE229F"/>
    <w:rsid w:val="00BE24E3"/>
    <w:rsid w:val="00BE2528"/>
    <w:rsid w:val="00BE258E"/>
    <w:rsid w:val="00BE2A6B"/>
    <w:rsid w:val="00BE2F01"/>
    <w:rsid w:val="00BE307E"/>
    <w:rsid w:val="00BE315A"/>
    <w:rsid w:val="00BE3216"/>
    <w:rsid w:val="00BE3B88"/>
    <w:rsid w:val="00BE3CE5"/>
    <w:rsid w:val="00BE3CF2"/>
    <w:rsid w:val="00BE3CFD"/>
    <w:rsid w:val="00BE4347"/>
    <w:rsid w:val="00BE480C"/>
    <w:rsid w:val="00BE4945"/>
    <w:rsid w:val="00BE4AF4"/>
    <w:rsid w:val="00BE4E70"/>
    <w:rsid w:val="00BE5400"/>
    <w:rsid w:val="00BE5452"/>
    <w:rsid w:val="00BE58F6"/>
    <w:rsid w:val="00BE5986"/>
    <w:rsid w:val="00BE5EBE"/>
    <w:rsid w:val="00BE638E"/>
    <w:rsid w:val="00BE63AF"/>
    <w:rsid w:val="00BE64A7"/>
    <w:rsid w:val="00BE668A"/>
    <w:rsid w:val="00BE66F0"/>
    <w:rsid w:val="00BE671B"/>
    <w:rsid w:val="00BE68A1"/>
    <w:rsid w:val="00BE6AF4"/>
    <w:rsid w:val="00BE6BF2"/>
    <w:rsid w:val="00BE6E2F"/>
    <w:rsid w:val="00BE7010"/>
    <w:rsid w:val="00BE705A"/>
    <w:rsid w:val="00BE72EF"/>
    <w:rsid w:val="00BE7614"/>
    <w:rsid w:val="00BE796A"/>
    <w:rsid w:val="00BE7B02"/>
    <w:rsid w:val="00BF017B"/>
    <w:rsid w:val="00BF0287"/>
    <w:rsid w:val="00BF0321"/>
    <w:rsid w:val="00BF07D9"/>
    <w:rsid w:val="00BF092F"/>
    <w:rsid w:val="00BF0B5D"/>
    <w:rsid w:val="00BF0D7E"/>
    <w:rsid w:val="00BF0FAD"/>
    <w:rsid w:val="00BF1194"/>
    <w:rsid w:val="00BF11A1"/>
    <w:rsid w:val="00BF1227"/>
    <w:rsid w:val="00BF156D"/>
    <w:rsid w:val="00BF16B8"/>
    <w:rsid w:val="00BF17B8"/>
    <w:rsid w:val="00BF1D21"/>
    <w:rsid w:val="00BF2021"/>
    <w:rsid w:val="00BF204C"/>
    <w:rsid w:val="00BF204E"/>
    <w:rsid w:val="00BF22DB"/>
    <w:rsid w:val="00BF2416"/>
    <w:rsid w:val="00BF2496"/>
    <w:rsid w:val="00BF26EF"/>
    <w:rsid w:val="00BF271D"/>
    <w:rsid w:val="00BF2940"/>
    <w:rsid w:val="00BF296C"/>
    <w:rsid w:val="00BF29CA"/>
    <w:rsid w:val="00BF29F6"/>
    <w:rsid w:val="00BF2A48"/>
    <w:rsid w:val="00BF2AE6"/>
    <w:rsid w:val="00BF32A4"/>
    <w:rsid w:val="00BF32C2"/>
    <w:rsid w:val="00BF32EE"/>
    <w:rsid w:val="00BF34F7"/>
    <w:rsid w:val="00BF3640"/>
    <w:rsid w:val="00BF36AA"/>
    <w:rsid w:val="00BF37BA"/>
    <w:rsid w:val="00BF388F"/>
    <w:rsid w:val="00BF3969"/>
    <w:rsid w:val="00BF3A29"/>
    <w:rsid w:val="00BF3D88"/>
    <w:rsid w:val="00BF3DF8"/>
    <w:rsid w:val="00BF415E"/>
    <w:rsid w:val="00BF4205"/>
    <w:rsid w:val="00BF42E4"/>
    <w:rsid w:val="00BF42EC"/>
    <w:rsid w:val="00BF4971"/>
    <w:rsid w:val="00BF4FA7"/>
    <w:rsid w:val="00BF51CC"/>
    <w:rsid w:val="00BF527E"/>
    <w:rsid w:val="00BF5294"/>
    <w:rsid w:val="00BF5491"/>
    <w:rsid w:val="00BF54B0"/>
    <w:rsid w:val="00BF54F3"/>
    <w:rsid w:val="00BF5C87"/>
    <w:rsid w:val="00BF5D4A"/>
    <w:rsid w:val="00BF5D6A"/>
    <w:rsid w:val="00BF5D6B"/>
    <w:rsid w:val="00BF5FA5"/>
    <w:rsid w:val="00BF6027"/>
    <w:rsid w:val="00BF64B3"/>
    <w:rsid w:val="00BF67C6"/>
    <w:rsid w:val="00BF6A58"/>
    <w:rsid w:val="00BF6DE5"/>
    <w:rsid w:val="00BF705C"/>
    <w:rsid w:val="00BF7250"/>
    <w:rsid w:val="00BF7AC5"/>
    <w:rsid w:val="00C00081"/>
    <w:rsid w:val="00C00100"/>
    <w:rsid w:val="00C00283"/>
    <w:rsid w:val="00C00368"/>
    <w:rsid w:val="00C009DC"/>
    <w:rsid w:val="00C00B20"/>
    <w:rsid w:val="00C00DB4"/>
    <w:rsid w:val="00C00F6D"/>
    <w:rsid w:val="00C00F7F"/>
    <w:rsid w:val="00C010D0"/>
    <w:rsid w:val="00C0113D"/>
    <w:rsid w:val="00C011FE"/>
    <w:rsid w:val="00C0187E"/>
    <w:rsid w:val="00C0189C"/>
    <w:rsid w:val="00C019B2"/>
    <w:rsid w:val="00C019BE"/>
    <w:rsid w:val="00C01E49"/>
    <w:rsid w:val="00C01EC1"/>
    <w:rsid w:val="00C02350"/>
    <w:rsid w:val="00C026E7"/>
    <w:rsid w:val="00C02814"/>
    <w:rsid w:val="00C02AED"/>
    <w:rsid w:val="00C02B96"/>
    <w:rsid w:val="00C02D79"/>
    <w:rsid w:val="00C02E2D"/>
    <w:rsid w:val="00C03640"/>
    <w:rsid w:val="00C037CC"/>
    <w:rsid w:val="00C03B99"/>
    <w:rsid w:val="00C0406E"/>
    <w:rsid w:val="00C04A02"/>
    <w:rsid w:val="00C04D8F"/>
    <w:rsid w:val="00C0506D"/>
    <w:rsid w:val="00C0523D"/>
    <w:rsid w:val="00C05304"/>
    <w:rsid w:val="00C05458"/>
    <w:rsid w:val="00C05543"/>
    <w:rsid w:val="00C055D9"/>
    <w:rsid w:val="00C05828"/>
    <w:rsid w:val="00C05AF2"/>
    <w:rsid w:val="00C05B4C"/>
    <w:rsid w:val="00C05B90"/>
    <w:rsid w:val="00C05BB1"/>
    <w:rsid w:val="00C0602C"/>
    <w:rsid w:val="00C06233"/>
    <w:rsid w:val="00C06346"/>
    <w:rsid w:val="00C06592"/>
    <w:rsid w:val="00C065EF"/>
    <w:rsid w:val="00C067E9"/>
    <w:rsid w:val="00C06A60"/>
    <w:rsid w:val="00C06B4D"/>
    <w:rsid w:val="00C06EC1"/>
    <w:rsid w:val="00C0713E"/>
    <w:rsid w:val="00C07357"/>
    <w:rsid w:val="00C0782C"/>
    <w:rsid w:val="00C0786C"/>
    <w:rsid w:val="00C078DC"/>
    <w:rsid w:val="00C07941"/>
    <w:rsid w:val="00C07A00"/>
    <w:rsid w:val="00C07AED"/>
    <w:rsid w:val="00C07B56"/>
    <w:rsid w:val="00C07C1A"/>
    <w:rsid w:val="00C07C7E"/>
    <w:rsid w:val="00C10029"/>
    <w:rsid w:val="00C1006C"/>
    <w:rsid w:val="00C101F9"/>
    <w:rsid w:val="00C1032F"/>
    <w:rsid w:val="00C1039E"/>
    <w:rsid w:val="00C106D5"/>
    <w:rsid w:val="00C1073A"/>
    <w:rsid w:val="00C108A5"/>
    <w:rsid w:val="00C10A52"/>
    <w:rsid w:val="00C10BAA"/>
    <w:rsid w:val="00C10D9B"/>
    <w:rsid w:val="00C11145"/>
    <w:rsid w:val="00C11189"/>
    <w:rsid w:val="00C114DE"/>
    <w:rsid w:val="00C115F4"/>
    <w:rsid w:val="00C1161D"/>
    <w:rsid w:val="00C11FE6"/>
    <w:rsid w:val="00C121A8"/>
    <w:rsid w:val="00C12527"/>
    <w:rsid w:val="00C12583"/>
    <w:rsid w:val="00C1269F"/>
    <w:rsid w:val="00C1283F"/>
    <w:rsid w:val="00C12910"/>
    <w:rsid w:val="00C12AD6"/>
    <w:rsid w:val="00C12D6F"/>
    <w:rsid w:val="00C12F60"/>
    <w:rsid w:val="00C130AE"/>
    <w:rsid w:val="00C13197"/>
    <w:rsid w:val="00C13277"/>
    <w:rsid w:val="00C134A1"/>
    <w:rsid w:val="00C134C5"/>
    <w:rsid w:val="00C135A5"/>
    <w:rsid w:val="00C1368E"/>
    <w:rsid w:val="00C137FF"/>
    <w:rsid w:val="00C13A0C"/>
    <w:rsid w:val="00C13D2E"/>
    <w:rsid w:val="00C13DCE"/>
    <w:rsid w:val="00C142AD"/>
    <w:rsid w:val="00C1434C"/>
    <w:rsid w:val="00C14455"/>
    <w:rsid w:val="00C1475C"/>
    <w:rsid w:val="00C14EFE"/>
    <w:rsid w:val="00C14F1F"/>
    <w:rsid w:val="00C151C1"/>
    <w:rsid w:val="00C151F3"/>
    <w:rsid w:val="00C152D3"/>
    <w:rsid w:val="00C152EB"/>
    <w:rsid w:val="00C15335"/>
    <w:rsid w:val="00C1542C"/>
    <w:rsid w:val="00C15434"/>
    <w:rsid w:val="00C1548B"/>
    <w:rsid w:val="00C1595F"/>
    <w:rsid w:val="00C15A35"/>
    <w:rsid w:val="00C162D7"/>
    <w:rsid w:val="00C1647F"/>
    <w:rsid w:val="00C16637"/>
    <w:rsid w:val="00C16883"/>
    <w:rsid w:val="00C17185"/>
    <w:rsid w:val="00C17872"/>
    <w:rsid w:val="00C17AF0"/>
    <w:rsid w:val="00C17B6D"/>
    <w:rsid w:val="00C17B6E"/>
    <w:rsid w:val="00C17F0D"/>
    <w:rsid w:val="00C17F4F"/>
    <w:rsid w:val="00C17FFD"/>
    <w:rsid w:val="00C2002F"/>
    <w:rsid w:val="00C20063"/>
    <w:rsid w:val="00C20384"/>
    <w:rsid w:val="00C20711"/>
    <w:rsid w:val="00C20B62"/>
    <w:rsid w:val="00C20C01"/>
    <w:rsid w:val="00C21171"/>
    <w:rsid w:val="00C211DB"/>
    <w:rsid w:val="00C21246"/>
    <w:rsid w:val="00C21482"/>
    <w:rsid w:val="00C216B6"/>
    <w:rsid w:val="00C2179D"/>
    <w:rsid w:val="00C21A68"/>
    <w:rsid w:val="00C21F10"/>
    <w:rsid w:val="00C221BD"/>
    <w:rsid w:val="00C222C9"/>
    <w:rsid w:val="00C22A0F"/>
    <w:rsid w:val="00C22C83"/>
    <w:rsid w:val="00C22C85"/>
    <w:rsid w:val="00C22D02"/>
    <w:rsid w:val="00C230AC"/>
    <w:rsid w:val="00C232AA"/>
    <w:rsid w:val="00C232C3"/>
    <w:rsid w:val="00C23707"/>
    <w:rsid w:val="00C2376D"/>
    <w:rsid w:val="00C238E8"/>
    <w:rsid w:val="00C23B0A"/>
    <w:rsid w:val="00C23EA5"/>
    <w:rsid w:val="00C24044"/>
    <w:rsid w:val="00C24374"/>
    <w:rsid w:val="00C247C9"/>
    <w:rsid w:val="00C24817"/>
    <w:rsid w:val="00C249E7"/>
    <w:rsid w:val="00C24A17"/>
    <w:rsid w:val="00C24BF6"/>
    <w:rsid w:val="00C24BF9"/>
    <w:rsid w:val="00C24C90"/>
    <w:rsid w:val="00C24CDE"/>
    <w:rsid w:val="00C24F2D"/>
    <w:rsid w:val="00C25112"/>
    <w:rsid w:val="00C252E3"/>
    <w:rsid w:val="00C25448"/>
    <w:rsid w:val="00C25615"/>
    <w:rsid w:val="00C2565D"/>
    <w:rsid w:val="00C25728"/>
    <w:rsid w:val="00C25CE3"/>
    <w:rsid w:val="00C25EA4"/>
    <w:rsid w:val="00C26260"/>
    <w:rsid w:val="00C26432"/>
    <w:rsid w:val="00C2647A"/>
    <w:rsid w:val="00C264C2"/>
    <w:rsid w:val="00C2659E"/>
    <w:rsid w:val="00C26722"/>
    <w:rsid w:val="00C269D4"/>
    <w:rsid w:val="00C26AB7"/>
    <w:rsid w:val="00C26CA5"/>
    <w:rsid w:val="00C271CE"/>
    <w:rsid w:val="00C27388"/>
    <w:rsid w:val="00C276EF"/>
    <w:rsid w:val="00C27780"/>
    <w:rsid w:val="00C27804"/>
    <w:rsid w:val="00C27836"/>
    <w:rsid w:val="00C27B1F"/>
    <w:rsid w:val="00C27B25"/>
    <w:rsid w:val="00C300CC"/>
    <w:rsid w:val="00C3042F"/>
    <w:rsid w:val="00C306C5"/>
    <w:rsid w:val="00C3078A"/>
    <w:rsid w:val="00C307E5"/>
    <w:rsid w:val="00C30817"/>
    <w:rsid w:val="00C30CD8"/>
    <w:rsid w:val="00C30EA5"/>
    <w:rsid w:val="00C31136"/>
    <w:rsid w:val="00C3138E"/>
    <w:rsid w:val="00C31692"/>
    <w:rsid w:val="00C3170A"/>
    <w:rsid w:val="00C3174E"/>
    <w:rsid w:val="00C31812"/>
    <w:rsid w:val="00C31B65"/>
    <w:rsid w:val="00C31CBC"/>
    <w:rsid w:val="00C31CD1"/>
    <w:rsid w:val="00C3200C"/>
    <w:rsid w:val="00C322AA"/>
    <w:rsid w:val="00C3234D"/>
    <w:rsid w:val="00C325BA"/>
    <w:rsid w:val="00C326B6"/>
    <w:rsid w:val="00C327B5"/>
    <w:rsid w:val="00C32E81"/>
    <w:rsid w:val="00C3352E"/>
    <w:rsid w:val="00C3383A"/>
    <w:rsid w:val="00C3393E"/>
    <w:rsid w:val="00C33A91"/>
    <w:rsid w:val="00C33E41"/>
    <w:rsid w:val="00C3419C"/>
    <w:rsid w:val="00C34321"/>
    <w:rsid w:val="00C3445E"/>
    <w:rsid w:val="00C3447A"/>
    <w:rsid w:val="00C34653"/>
    <w:rsid w:val="00C346E3"/>
    <w:rsid w:val="00C34870"/>
    <w:rsid w:val="00C34886"/>
    <w:rsid w:val="00C34F9C"/>
    <w:rsid w:val="00C3519F"/>
    <w:rsid w:val="00C352AE"/>
    <w:rsid w:val="00C3534B"/>
    <w:rsid w:val="00C3542F"/>
    <w:rsid w:val="00C3566C"/>
    <w:rsid w:val="00C35739"/>
    <w:rsid w:val="00C35836"/>
    <w:rsid w:val="00C35A5E"/>
    <w:rsid w:val="00C35B94"/>
    <w:rsid w:val="00C35CFE"/>
    <w:rsid w:val="00C35FCF"/>
    <w:rsid w:val="00C3626B"/>
    <w:rsid w:val="00C36352"/>
    <w:rsid w:val="00C368EE"/>
    <w:rsid w:val="00C36A11"/>
    <w:rsid w:val="00C36A5B"/>
    <w:rsid w:val="00C36AF1"/>
    <w:rsid w:val="00C36CC9"/>
    <w:rsid w:val="00C36CF8"/>
    <w:rsid w:val="00C36D60"/>
    <w:rsid w:val="00C36EF7"/>
    <w:rsid w:val="00C370BC"/>
    <w:rsid w:val="00C3742D"/>
    <w:rsid w:val="00C374E2"/>
    <w:rsid w:val="00C37645"/>
    <w:rsid w:val="00C37775"/>
    <w:rsid w:val="00C3777A"/>
    <w:rsid w:val="00C37A6A"/>
    <w:rsid w:val="00C37F21"/>
    <w:rsid w:val="00C37F9F"/>
    <w:rsid w:val="00C400DB"/>
    <w:rsid w:val="00C400E0"/>
    <w:rsid w:val="00C407D4"/>
    <w:rsid w:val="00C409B6"/>
    <w:rsid w:val="00C41168"/>
    <w:rsid w:val="00C41205"/>
    <w:rsid w:val="00C4168A"/>
    <w:rsid w:val="00C418D1"/>
    <w:rsid w:val="00C41A05"/>
    <w:rsid w:val="00C41A97"/>
    <w:rsid w:val="00C41B3C"/>
    <w:rsid w:val="00C41BAD"/>
    <w:rsid w:val="00C41F25"/>
    <w:rsid w:val="00C41FD1"/>
    <w:rsid w:val="00C4229B"/>
    <w:rsid w:val="00C42393"/>
    <w:rsid w:val="00C42484"/>
    <w:rsid w:val="00C424A3"/>
    <w:rsid w:val="00C424B8"/>
    <w:rsid w:val="00C42595"/>
    <w:rsid w:val="00C425BE"/>
    <w:rsid w:val="00C425D7"/>
    <w:rsid w:val="00C426C9"/>
    <w:rsid w:val="00C42717"/>
    <w:rsid w:val="00C42A91"/>
    <w:rsid w:val="00C42AFB"/>
    <w:rsid w:val="00C42C29"/>
    <w:rsid w:val="00C42E3B"/>
    <w:rsid w:val="00C42F1A"/>
    <w:rsid w:val="00C4307C"/>
    <w:rsid w:val="00C4330B"/>
    <w:rsid w:val="00C433B4"/>
    <w:rsid w:val="00C4369E"/>
    <w:rsid w:val="00C4381B"/>
    <w:rsid w:val="00C43D68"/>
    <w:rsid w:val="00C44397"/>
    <w:rsid w:val="00C446B0"/>
    <w:rsid w:val="00C446FD"/>
    <w:rsid w:val="00C44994"/>
    <w:rsid w:val="00C44A66"/>
    <w:rsid w:val="00C44B94"/>
    <w:rsid w:val="00C44DD3"/>
    <w:rsid w:val="00C44F6E"/>
    <w:rsid w:val="00C451EA"/>
    <w:rsid w:val="00C45218"/>
    <w:rsid w:val="00C453F6"/>
    <w:rsid w:val="00C4568E"/>
    <w:rsid w:val="00C45998"/>
    <w:rsid w:val="00C459FF"/>
    <w:rsid w:val="00C45A75"/>
    <w:rsid w:val="00C45B8D"/>
    <w:rsid w:val="00C45C8F"/>
    <w:rsid w:val="00C45CAE"/>
    <w:rsid w:val="00C45EF1"/>
    <w:rsid w:val="00C46191"/>
    <w:rsid w:val="00C4621D"/>
    <w:rsid w:val="00C4622D"/>
    <w:rsid w:val="00C4640F"/>
    <w:rsid w:val="00C46530"/>
    <w:rsid w:val="00C4659D"/>
    <w:rsid w:val="00C467E0"/>
    <w:rsid w:val="00C46CB2"/>
    <w:rsid w:val="00C46D33"/>
    <w:rsid w:val="00C46E6C"/>
    <w:rsid w:val="00C47050"/>
    <w:rsid w:val="00C470CB"/>
    <w:rsid w:val="00C470D5"/>
    <w:rsid w:val="00C47113"/>
    <w:rsid w:val="00C47237"/>
    <w:rsid w:val="00C47238"/>
    <w:rsid w:val="00C472FA"/>
    <w:rsid w:val="00C473C0"/>
    <w:rsid w:val="00C477AD"/>
    <w:rsid w:val="00C47884"/>
    <w:rsid w:val="00C4798D"/>
    <w:rsid w:val="00C479D8"/>
    <w:rsid w:val="00C47BB3"/>
    <w:rsid w:val="00C47C8A"/>
    <w:rsid w:val="00C47CA2"/>
    <w:rsid w:val="00C503C9"/>
    <w:rsid w:val="00C50441"/>
    <w:rsid w:val="00C509AD"/>
    <w:rsid w:val="00C50C25"/>
    <w:rsid w:val="00C50D68"/>
    <w:rsid w:val="00C50F66"/>
    <w:rsid w:val="00C51FD6"/>
    <w:rsid w:val="00C51FF6"/>
    <w:rsid w:val="00C52050"/>
    <w:rsid w:val="00C5207A"/>
    <w:rsid w:val="00C522A8"/>
    <w:rsid w:val="00C52337"/>
    <w:rsid w:val="00C523F6"/>
    <w:rsid w:val="00C528CD"/>
    <w:rsid w:val="00C529FF"/>
    <w:rsid w:val="00C52B80"/>
    <w:rsid w:val="00C52E3C"/>
    <w:rsid w:val="00C5335A"/>
    <w:rsid w:val="00C53C7D"/>
    <w:rsid w:val="00C53CC8"/>
    <w:rsid w:val="00C541A9"/>
    <w:rsid w:val="00C5433A"/>
    <w:rsid w:val="00C543B0"/>
    <w:rsid w:val="00C5446A"/>
    <w:rsid w:val="00C5452F"/>
    <w:rsid w:val="00C545A6"/>
    <w:rsid w:val="00C54692"/>
    <w:rsid w:val="00C54763"/>
    <w:rsid w:val="00C547E7"/>
    <w:rsid w:val="00C54818"/>
    <w:rsid w:val="00C54A3F"/>
    <w:rsid w:val="00C54ADC"/>
    <w:rsid w:val="00C54D73"/>
    <w:rsid w:val="00C54E28"/>
    <w:rsid w:val="00C5501E"/>
    <w:rsid w:val="00C550DF"/>
    <w:rsid w:val="00C5553E"/>
    <w:rsid w:val="00C556CC"/>
    <w:rsid w:val="00C55737"/>
    <w:rsid w:val="00C558C1"/>
    <w:rsid w:val="00C5599B"/>
    <w:rsid w:val="00C559A8"/>
    <w:rsid w:val="00C55C01"/>
    <w:rsid w:val="00C55C39"/>
    <w:rsid w:val="00C55FD3"/>
    <w:rsid w:val="00C56045"/>
    <w:rsid w:val="00C5605B"/>
    <w:rsid w:val="00C562ED"/>
    <w:rsid w:val="00C56342"/>
    <w:rsid w:val="00C5648E"/>
    <w:rsid w:val="00C566E6"/>
    <w:rsid w:val="00C568CE"/>
    <w:rsid w:val="00C56B4B"/>
    <w:rsid w:val="00C56B6C"/>
    <w:rsid w:val="00C56C50"/>
    <w:rsid w:val="00C56C64"/>
    <w:rsid w:val="00C570A6"/>
    <w:rsid w:val="00C5722E"/>
    <w:rsid w:val="00C57298"/>
    <w:rsid w:val="00C573EF"/>
    <w:rsid w:val="00C575F9"/>
    <w:rsid w:val="00C57761"/>
    <w:rsid w:val="00C5787D"/>
    <w:rsid w:val="00C57CAF"/>
    <w:rsid w:val="00C57E49"/>
    <w:rsid w:val="00C60036"/>
    <w:rsid w:val="00C600AA"/>
    <w:rsid w:val="00C600C5"/>
    <w:rsid w:val="00C602C7"/>
    <w:rsid w:val="00C602FF"/>
    <w:rsid w:val="00C60763"/>
    <w:rsid w:val="00C60966"/>
    <w:rsid w:val="00C60AFE"/>
    <w:rsid w:val="00C60C41"/>
    <w:rsid w:val="00C60D31"/>
    <w:rsid w:val="00C60DFA"/>
    <w:rsid w:val="00C6127C"/>
    <w:rsid w:val="00C61454"/>
    <w:rsid w:val="00C6153C"/>
    <w:rsid w:val="00C615E0"/>
    <w:rsid w:val="00C61602"/>
    <w:rsid w:val="00C61795"/>
    <w:rsid w:val="00C61C73"/>
    <w:rsid w:val="00C61D21"/>
    <w:rsid w:val="00C61EB7"/>
    <w:rsid w:val="00C6218A"/>
    <w:rsid w:val="00C622BD"/>
    <w:rsid w:val="00C622DB"/>
    <w:rsid w:val="00C62562"/>
    <w:rsid w:val="00C62700"/>
    <w:rsid w:val="00C627B3"/>
    <w:rsid w:val="00C627F1"/>
    <w:rsid w:val="00C628E5"/>
    <w:rsid w:val="00C62977"/>
    <w:rsid w:val="00C62A10"/>
    <w:rsid w:val="00C62AE8"/>
    <w:rsid w:val="00C63179"/>
    <w:rsid w:val="00C6320F"/>
    <w:rsid w:val="00C632BE"/>
    <w:rsid w:val="00C63340"/>
    <w:rsid w:val="00C635F1"/>
    <w:rsid w:val="00C637FE"/>
    <w:rsid w:val="00C63815"/>
    <w:rsid w:val="00C6388F"/>
    <w:rsid w:val="00C638D3"/>
    <w:rsid w:val="00C639DD"/>
    <w:rsid w:val="00C63E1F"/>
    <w:rsid w:val="00C6414C"/>
    <w:rsid w:val="00C641B5"/>
    <w:rsid w:val="00C647E1"/>
    <w:rsid w:val="00C64844"/>
    <w:rsid w:val="00C648E6"/>
    <w:rsid w:val="00C64A78"/>
    <w:rsid w:val="00C64B9A"/>
    <w:rsid w:val="00C64CA8"/>
    <w:rsid w:val="00C64E94"/>
    <w:rsid w:val="00C64F45"/>
    <w:rsid w:val="00C651D3"/>
    <w:rsid w:val="00C652ED"/>
    <w:rsid w:val="00C65355"/>
    <w:rsid w:val="00C6539A"/>
    <w:rsid w:val="00C656E4"/>
    <w:rsid w:val="00C658DF"/>
    <w:rsid w:val="00C65918"/>
    <w:rsid w:val="00C65A89"/>
    <w:rsid w:val="00C65A9E"/>
    <w:rsid w:val="00C65CEE"/>
    <w:rsid w:val="00C65F62"/>
    <w:rsid w:val="00C660D9"/>
    <w:rsid w:val="00C66482"/>
    <w:rsid w:val="00C66489"/>
    <w:rsid w:val="00C6663D"/>
    <w:rsid w:val="00C66797"/>
    <w:rsid w:val="00C66A34"/>
    <w:rsid w:val="00C66D9A"/>
    <w:rsid w:val="00C66DC8"/>
    <w:rsid w:val="00C66EB9"/>
    <w:rsid w:val="00C671A9"/>
    <w:rsid w:val="00C674AC"/>
    <w:rsid w:val="00C67752"/>
    <w:rsid w:val="00C6781C"/>
    <w:rsid w:val="00C679C1"/>
    <w:rsid w:val="00C67A1B"/>
    <w:rsid w:val="00C67A78"/>
    <w:rsid w:val="00C67A9D"/>
    <w:rsid w:val="00C67AB9"/>
    <w:rsid w:val="00C67EDC"/>
    <w:rsid w:val="00C7057B"/>
    <w:rsid w:val="00C706E2"/>
    <w:rsid w:val="00C708BB"/>
    <w:rsid w:val="00C70CD6"/>
    <w:rsid w:val="00C70E23"/>
    <w:rsid w:val="00C70EB8"/>
    <w:rsid w:val="00C70F13"/>
    <w:rsid w:val="00C7129D"/>
    <w:rsid w:val="00C71658"/>
    <w:rsid w:val="00C717A8"/>
    <w:rsid w:val="00C71977"/>
    <w:rsid w:val="00C71D7D"/>
    <w:rsid w:val="00C71EDC"/>
    <w:rsid w:val="00C7208C"/>
    <w:rsid w:val="00C72238"/>
    <w:rsid w:val="00C72404"/>
    <w:rsid w:val="00C72614"/>
    <w:rsid w:val="00C7262A"/>
    <w:rsid w:val="00C727A1"/>
    <w:rsid w:val="00C7291F"/>
    <w:rsid w:val="00C72921"/>
    <w:rsid w:val="00C72B81"/>
    <w:rsid w:val="00C72BD5"/>
    <w:rsid w:val="00C72D4F"/>
    <w:rsid w:val="00C72EC4"/>
    <w:rsid w:val="00C7307A"/>
    <w:rsid w:val="00C7326E"/>
    <w:rsid w:val="00C733F5"/>
    <w:rsid w:val="00C7360B"/>
    <w:rsid w:val="00C73679"/>
    <w:rsid w:val="00C739EC"/>
    <w:rsid w:val="00C73C5B"/>
    <w:rsid w:val="00C73E2C"/>
    <w:rsid w:val="00C7406D"/>
    <w:rsid w:val="00C745E1"/>
    <w:rsid w:val="00C748C9"/>
    <w:rsid w:val="00C749F7"/>
    <w:rsid w:val="00C74A96"/>
    <w:rsid w:val="00C7501E"/>
    <w:rsid w:val="00C75158"/>
    <w:rsid w:val="00C75161"/>
    <w:rsid w:val="00C756E4"/>
    <w:rsid w:val="00C757A1"/>
    <w:rsid w:val="00C75C2E"/>
    <w:rsid w:val="00C75D12"/>
    <w:rsid w:val="00C75E7A"/>
    <w:rsid w:val="00C76482"/>
    <w:rsid w:val="00C764C2"/>
    <w:rsid w:val="00C764CD"/>
    <w:rsid w:val="00C7678A"/>
    <w:rsid w:val="00C76988"/>
    <w:rsid w:val="00C76C36"/>
    <w:rsid w:val="00C76C72"/>
    <w:rsid w:val="00C76CDC"/>
    <w:rsid w:val="00C76DA0"/>
    <w:rsid w:val="00C76F17"/>
    <w:rsid w:val="00C7705C"/>
    <w:rsid w:val="00C771A2"/>
    <w:rsid w:val="00C772D7"/>
    <w:rsid w:val="00C772F9"/>
    <w:rsid w:val="00C7736C"/>
    <w:rsid w:val="00C7756B"/>
    <w:rsid w:val="00C776D5"/>
    <w:rsid w:val="00C779BC"/>
    <w:rsid w:val="00C77A8F"/>
    <w:rsid w:val="00C77ADD"/>
    <w:rsid w:val="00C77EC5"/>
    <w:rsid w:val="00C77F9F"/>
    <w:rsid w:val="00C77FEC"/>
    <w:rsid w:val="00C80331"/>
    <w:rsid w:val="00C80893"/>
    <w:rsid w:val="00C809E8"/>
    <w:rsid w:val="00C80AC2"/>
    <w:rsid w:val="00C80C29"/>
    <w:rsid w:val="00C80DFC"/>
    <w:rsid w:val="00C80EFA"/>
    <w:rsid w:val="00C81210"/>
    <w:rsid w:val="00C8138D"/>
    <w:rsid w:val="00C8141A"/>
    <w:rsid w:val="00C814B5"/>
    <w:rsid w:val="00C81948"/>
    <w:rsid w:val="00C81961"/>
    <w:rsid w:val="00C819A0"/>
    <w:rsid w:val="00C81A06"/>
    <w:rsid w:val="00C81BA0"/>
    <w:rsid w:val="00C81CBC"/>
    <w:rsid w:val="00C81F34"/>
    <w:rsid w:val="00C8234A"/>
    <w:rsid w:val="00C8245B"/>
    <w:rsid w:val="00C82555"/>
    <w:rsid w:val="00C825A1"/>
    <w:rsid w:val="00C826B6"/>
    <w:rsid w:val="00C8294D"/>
    <w:rsid w:val="00C82A12"/>
    <w:rsid w:val="00C82AFE"/>
    <w:rsid w:val="00C82B3E"/>
    <w:rsid w:val="00C82CC6"/>
    <w:rsid w:val="00C82F0B"/>
    <w:rsid w:val="00C8327C"/>
    <w:rsid w:val="00C834D4"/>
    <w:rsid w:val="00C834FD"/>
    <w:rsid w:val="00C835DB"/>
    <w:rsid w:val="00C837A5"/>
    <w:rsid w:val="00C839A3"/>
    <w:rsid w:val="00C83A0D"/>
    <w:rsid w:val="00C83A0F"/>
    <w:rsid w:val="00C83A4C"/>
    <w:rsid w:val="00C83A7F"/>
    <w:rsid w:val="00C83C48"/>
    <w:rsid w:val="00C83CF9"/>
    <w:rsid w:val="00C83D5F"/>
    <w:rsid w:val="00C83D6B"/>
    <w:rsid w:val="00C83DD7"/>
    <w:rsid w:val="00C83E1C"/>
    <w:rsid w:val="00C83EC6"/>
    <w:rsid w:val="00C8409B"/>
    <w:rsid w:val="00C840BD"/>
    <w:rsid w:val="00C8414F"/>
    <w:rsid w:val="00C8415F"/>
    <w:rsid w:val="00C84215"/>
    <w:rsid w:val="00C84462"/>
    <w:rsid w:val="00C8483A"/>
    <w:rsid w:val="00C84906"/>
    <w:rsid w:val="00C84953"/>
    <w:rsid w:val="00C84962"/>
    <w:rsid w:val="00C849F9"/>
    <w:rsid w:val="00C84AF1"/>
    <w:rsid w:val="00C84DDC"/>
    <w:rsid w:val="00C84EC9"/>
    <w:rsid w:val="00C852DA"/>
    <w:rsid w:val="00C85579"/>
    <w:rsid w:val="00C85615"/>
    <w:rsid w:val="00C8593B"/>
    <w:rsid w:val="00C859BD"/>
    <w:rsid w:val="00C85C0D"/>
    <w:rsid w:val="00C85EAA"/>
    <w:rsid w:val="00C861AF"/>
    <w:rsid w:val="00C86259"/>
    <w:rsid w:val="00C8686B"/>
    <w:rsid w:val="00C868EF"/>
    <w:rsid w:val="00C86963"/>
    <w:rsid w:val="00C86A4F"/>
    <w:rsid w:val="00C86BEB"/>
    <w:rsid w:val="00C86CE0"/>
    <w:rsid w:val="00C86D76"/>
    <w:rsid w:val="00C86F55"/>
    <w:rsid w:val="00C87045"/>
    <w:rsid w:val="00C877D8"/>
    <w:rsid w:val="00C87893"/>
    <w:rsid w:val="00C87A13"/>
    <w:rsid w:val="00C87AC7"/>
    <w:rsid w:val="00C87CDF"/>
    <w:rsid w:val="00C9001B"/>
    <w:rsid w:val="00C901A9"/>
    <w:rsid w:val="00C9073B"/>
    <w:rsid w:val="00C90A6C"/>
    <w:rsid w:val="00C90D05"/>
    <w:rsid w:val="00C90D75"/>
    <w:rsid w:val="00C91193"/>
    <w:rsid w:val="00C91C14"/>
    <w:rsid w:val="00C91E83"/>
    <w:rsid w:val="00C91EAB"/>
    <w:rsid w:val="00C922E4"/>
    <w:rsid w:val="00C9234D"/>
    <w:rsid w:val="00C92382"/>
    <w:rsid w:val="00C925C8"/>
    <w:rsid w:val="00C9264C"/>
    <w:rsid w:val="00C926AC"/>
    <w:rsid w:val="00C928A7"/>
    <w:rsid w:val="00C92A12"/>
    <w:rsid w:val="00C92B1F"/>
    <w:rsid w:val="00C92E3F"/>
    <w:rsid w:val="00C930FB"/>
    <w:rsid w:val="00C93553"/>
    <w:rsid w:val="00C93785"/>
    <w:rsid w:val="00C93832"/>
    <w:rsid w:val="00C93E59"/>
    <w:rsid w:val="00C94330"/>
    <w:rsid w:val="00C94734"/>
    <w:rsid w:val="00C947A9"/>
    <w:rsid w:val="00C949B2"/>
    <w:rsid w:val="00C94D09"/>
    <w:rsid w:val="00C94D25"/>
    <w:rsid w:val="00C950FE"/>
    <w:rsid w:val="00C951FD"/>
    <w:rsid w:val="00C95263"/>
    <w:rsid w:val="00C955CB"/>
    <w:rsid w:val="00C9565A"/>
    <w:rsid w:val="00C956BB"/>
    <w:rsid w:val="00C9571A"/>
    <w:rsid w:val="00C9583E"/>
    <w:rsid w:val="00C95A21"/>
    <w:rsid w:val="00C95B40"/>
    <w:rsid w:val="00C95C72"/>
    <w:rsid w:val="00C95CFE"/>
    <w:rsid w:val="00C95DA1"/>
    <w:rsid w:val="00C95E6D"/>
    <w:rsid w:val="00C95F61"/>
    <w:rsid w:val="00C963B7"/>
    <w:rsid w:val="00C96459"/>
    <w:rsid w:val="00C96494"/>
    <w:rsid w:val="00C964FA"/>
    <w:rsid w:val="00C96B37"/>
    <w:rsid w:val="00C96BC1"/>
    <w:rsid w:val="00C96CFC"/>
    <w:rsid w:val="00C9700B"/>
    <w:rsid w:val="00C97250"/>
    <w:rsid w:val="00C977E3"/>
    <w:rsid w:val="00C9783B"/>
    <w:rsid w:val="00C979B2"/>
    <w:rsid w:val="00C97B47"/>
    <w:rsid w:val="00C97C33"/>
    <w:rsid w:val="00C97EA2"/>
    <w:rsid w:val="00C97F47"/>
    <w:rsid w:val="00CA00ED"/>
    <w:rsid w:val="00CA0190"/>
    <w:rsid w:val="00CA0342"/>
    <w:rsid w:val="00CA0348"/>
    <w:rsid w:val="00CA03F2"/>
    <w:rsid w:val="00CA0D2E"/>
    <w:rsid w:val="00CA1173"/>
    <w:rsid w:val="00CA13B5"/>
    <w:rsid w:val="00CA1400"/>
    <w:rsid w:val="00CA1524"/>
    <w:rsid w:val="00CA15FA"/>
    <w:rsid w:val="00CA1C39"/>
    <w:rsid w:val="00CA1F11"/>
    <w:rsid w:val="00CA205C"/>
    <w:rsid w:val="00CA21BF"/>
    <w:rsid w:val="00CA2245"/>
    <w:rsid w:val="00CA238F"/>
    <w:rsid w:val="00CA2422"/>
    <w:rsid w:val="00CA2464"/>
    <w:rsid w:val="00CA27AD"/>
    <w:rsid w:val="00CA27D3"/>
    <w:rsid w:val="00CA290C"/>
    <w:rsid w:val="00CA30A6"/>
    <w:rsid w:val="00CA32B1"/>
    <w:rsid w:val="00CA33B5"/>
    <w:rsid w:val="00CA3BF3"/>
    <w:rsid w:val="00CA3CB9"/>
    <w:rsid w:val="00CA402C"/>
    <w:rsid w:val="00CA4400"/>
    <w:rsid w:val="00CA4579"/>
    <w:rsid w:val="00CA4E90"/>
    <w:rsid w:val="00CA56A1"/>
    <w:rsid w:val="00CA5724"/>
    <w:rsid w:val="00CA5A01"/>
    <w:rsid w:val="00CA5ACC"/>
    <w:rsid w:val="00CA5CC4"/>
    <w:rsid w:val="00CA5D28"/>
    <w:rsid w:val="00CA5ED9"/>
    <w:rsid w:val="00CA6050"/>
    <w:rsid w:val="00CA61BF"/>
    <w:rsid w:val="00CA6528"/>
    <w:rsid w:val="00CA6876"/>
    <w:rsid w:val="00CA68D3"/>
    <w:rsid w:val="00CA6CDD"/>
    <w:rsid w:val="00CA6D0F"/>
    <w:rsid w:val="00CA6E90"/>
    <w:rsid w:val="00CA6F3F"/>
    <w:rsid w:val="00CA7165"/>
    <w:rsid w:val="00CA781F"/>
    <w:rsid w:val="00CB017F"/>
    <w:rsid w:val="00CB02AA"/>
    <w:rsid w:val="00CB04A6"/>
    <w:rsid w:val="00CB05DA"/>
    <w:rsid w:val="00CB07C5"/>
    <w:rsid w:val="00CB07FB"/>
    <w:rsid w:val="00CB09EC"/>
    <w:rsid w:val="00CB1145"/>
    <w:rsid w:val="00CB139E"/>
    <w:rsid w:val="00CB1408"/>
    <w:rsid w:val="00CB150D"/>
    <w:rsid w:val="00CB174F"/>
    <w:rsid w:val="00CB1B8F"/>
    <w:rsid w:val="00CB1BF8"/>
    <w:rsid w:val="00CB1C8F"/>
    <w:rsid w:val="00CB1D6B"/>
    <w:rsid w:val="00CB1F6B"/>
    <w:rsid w:val="00CB1F9E"/>
    <w:rsid w:val="00CB2146"/>
    <w:rsid w:val="00CB233C"/>
    <w:rsid w:val="00CB233F"/>
    <w:rsid w:val="00CB2390"/>
    <w:rsid w:val="00CB23EF"/>
    <w:rsid w:val="00CB2591"/>
    <w:rsid w:val="00CB289A"/>
    <w:rsid w:val="00CB2911"/>
    <w:rsid w:val="00CB29A5"/>
    <w:rsid w:val="00CB2AB2"/>
    <w:rsid w:val="00CB2B83"/>
    <w:rsid w:val="00CB2E67"/>
    <w:rsid w:val="00CB2E72"/>
    <w:rsid w:val="00CB2FD4"/>
    <w:rsid w:val="00CB309A"/>
    <w:rsid w:val="00CB30AA"/>
    <w:rsid w:val="00CB371A"/>
    <w:rsid w:val="00CB3731"/>
    <w:rsid w:val="00CB37F5"/>
    <w:rsid w:val="00CB3832"/>
    <w:rsid w:val="00CB3B05"/>
    <w:rsid w:val="00CB3B37"/>
    <w:rsid w:val="00CB3C2B"/>
    <w:rsid w:val="00CB3E95"/>
    <w:rsid w:val="00CB3F00"/>
    <w:rsid w:val="00CB3FB9"/>
    <w:rsid w:val="00CB41E2"/>
    <w:rsid w:val="00CB4250"/>
    <w:rsid w:val="00CB45F3"/>
    <w:rsid w:val="00CB4BFB"/>
    <w:rsid w:val="00CB52FB"/>
    <w:rsid w:val="00CB5338"/>
    <w:rsid w:val="00CB539C"/>
    <w:rsid w:val="00CB53E2"/>
    <w:rsid w:val="00CB540F"/>
    <w:rsid w:val="00CB5435"/>
    <w:rsid w:val="00CB5541"/>
    <w:rsid w:val="00CB5AF1"/>
    <w:rsid w:val="00CB5C36"/>
    <w:rsid w:val="00CB5C47"/>
    <w:rsid w:val="00CB5C53"/>
    <w:rsid w:val="00CB60F1"/>
    <w:rsid w:val="00CB61EF"/>
    <w:rsid w:val="00CB652C"/>
    <w:rsid w:val="00CB6538"/>
    <w:rsid w:val="00CB6585"/>
    <w:rsid w:val="00CB65EE"/>
    <w:rsid w:val="00CB6841"/>
    <w:rsid w:val="00CB69DE"/>
    <w:rsid w:val="00CB6B3A"/>
    <w:rsid w:val="00CB6F1C"/>
    <w:rsid w:val="00CB6FDC"/>
    <w:rsid w:val="00CB6FEC"/>
    <w:rsid w:val="00CB737E"/>
    <w:rsid w:val="00CB740A"/>
    <w:rsid w:val="00CB7684"/>
    <w:rsid w:val="00CB7751"/>
    <w:rsid w:val="00CB77BE"/>
    <w:rsid w:val="00CB77DA"/>
    <w:rsid w:val="00CB7B5C"/>
    <w:rsid w:val="00CB7BDA"/>
    <w:rsid w:val="00CB7C84"/>
    <w:rsid w:val="00CB7CD0"/>
    <w:rsid w:val="00CB7F00"/>
    <w:rsid w:val="00CB7FB9"/>
    <w:rsid w:val="00CC00E4"/>
    <w:rsid w:val="00CC02AD"/>
    <w:rsid w:val="00CC03DA"/>
    <w:rsid w:val="00CC07FC"/>
    <w:rsid w:val="00CC085E"/>
    <w:rsid w:val="00CC09D8"/>
    <w:rsid w:val="00CC0A34"/>
    <w:rsid w:val="00CC10AF"/>
    <w:rsid w:val="00CC11FC"/>
    <w:rsid w:val="00CC1288"/>
    <w:rsid w:val="00CC156F"/>
    <w:rsid w:val="00CC15C3"/>
    <w:rsid w:val="00CC18B2"/>
    <w:rsid w:val="00CC1A0B"/>
    <w:rsid w:val="00CC1DF1"/>
    <w:rsid w:val="00CC243B"/>
    <w:rsid w:val="00CC24B0"/>
    <w:rsid w:val="00CC24FF"/>
    <w:rsid w:val="00CC253C"/>
    <w:rsid w:val="00CC274D"/>
    <w:rsid w:val="00CC2800"/>
    <w:rsid w:val="00CC2A34"/>
    <w:rsid w:val="00CC2B9D"/>
    <w:rsid w:val="00CC2BD3"/>
    <w:rsid w:val="00CC2CB0"/>
    <w:rsid w:val="00CC2E03"/>
    <w:rsid w:val="00CC335C"/>
    <w:rsid w:val="00CC393B"/>
    <w:rsid w:val="00CC3AE0"/>
    <w:rsid w:val="00CC3B0A"/>
    <w:rsid w:val="00CC3C4A"/>
    <w:rsid w:val="00CC3EFF"/>
    <w:rsid w:val="00CC4079"/>
    <w:rsid w:val="00CC4099"/>
    <w:rsid w:val="00CC445A"/>
    <w:rsid w:val="00CC4562"/>
    <w:rsid w:val="00CC45C2"/>
    <w:rsid w:val="00CC4698"/>
    <w:rsid w:val="00CC4794"/>
    <w:rsid w:val="00CC49AA"/>
    <w:rsid w:val="00CC4A61"/>
    <w:rsid w:val="00CC4B10"/>
    <w:rsid w:val="00CC4B1E"/>
    <w:rsid w:val="00CC4B2B"/>
    <w:rsid w:val="00CC4B6D"/>
    <w:rsid w:val="00CC4E3A"/>
    <w:rsid w:val="00CC4E6A"/>
    <w:rsid w:val="00CC4EE4"/>
    <w:rsid w:val="00CC513E"/>
    <w:rsid w:val="00CC518E"/>
    <w:rsid w:val="00CC5638"/>
    <w:rsid w:val="00CC5A50"/>
    <w:rsid w:val="00CC5B68"/>
    <w:rsid w:val="00CC5CC4"/>
    <w:rsid w:val="00CC5D36"/>
    <w:rsid w:val="00CC5F9B"/>
    <w:rsid w:val="00CC5FD9"/>
    <w:rsid w:val="00CC6A16"/>
    <w:rsid w:val="00CC715D"/>
    <w:rsid w:val="00CC7379"/>
    <w:rsid w:val="00CC7525"/>
    <w:rsid w:val="00CC765D"/>
    <w:rsid w:val="00CC777B"/>
    <w:rsid w:val="00CC7B56"/>
    <w:rsid w:val="00CC7CEC"/>
    <w:rsid w:val="00CD00CC"/>
    <w:rsid w:val="00CD00D6"/>
    <w:rsid w:val="00CD024C"/>
    <w:rsid w:val="00CD04AF"/>
    <w:rsid w:val="00CD04EA"/>
    <w:rsid w:val="00CD051D"/>
    <w:rsid w:val="00CD0615"/>
    <w:rsid w:val="00CD0D21"/>
    <w:rsid w:val="00CD0ECC"/>
    <w:rsid w:val="00CD0FF9"/>
    <w:rsid w:val="00CD1053"/>
    <w:rsid w:val="00CD10BB"/>
    <w:rsid w:val="00CD10FA"/>
    <w:rsid w:val="00CD13F5"/>
    <w:rsid w:val="00CD172B"/>
    <w:rsid w:val="00CD1889"/>
    <w:rsid w:val="00CD18B8"/>
    <w:rsid w:val="00CD1A47"/>
    <w:rsid w:val="00CD1F08"/>
    <w:rsid w:val="00CD23AF"/>
    <w:rsid w:val="00CD23FC"/>
    <w:rsid w:val="00CD24B1"/>
    <w:rsid w:val="00CD25AD"/>
    <w:rsid w:val="00CD262E"/>
    <w:rsid w:val="00CD26E2"/>
    <w:rsid w:val="00CD2788"/>
    <w:rsid w:val="00CD2799"/>
    <w:rsid w:val="00CD2AF7"/>
    <w:rsid w:val="00CD2E68"/>
    <w:rsid w:val="00CD2EEB"/>
    <w:rsid w:val="00CD2F1D"/>
    <w:rsid w:val="00CD31B2"/>
    <w:rsid w:val="00CD3963"/>
    <w:rsid w:val="00CD4086"/>
    <w:rsid w:val="00CD4112"/>
    <w:rsid w:val="00CD4327"/>
    <w:rsid w:val="00CD436B"/>
    <w:rsid w:val="00CD4373"/>
    <w:rsid w:val="00CD4443"/>
    <w:rsid w:val="00CD4469"/>
    <w:rsid w:val="00CD45BC"/>
    <w:rsid w:val="00CD482D"/>
    <w:rsid w:val="00CD4DEB"/>
    <w:rsid w:val="00CD4FBB"/>
    <w:rsid w:val="00CD5239"/>
    <w:rsid w:val="00CD54A8"/>
    <w:rsid w:val="00CD55F8"/>
    <w:rsid w:val="00CD5817"/>
    <w:rsid w:val="00CD5821"/>
    <w:rsid w:val="00CD5BA9"/>
    <w:rsid w:val="00CD5E49"/>
    <w:rsid w:val="00CD5FFD"/>
    <w:rsid w:val="00CD610C"/>
    <w:rsid w:val="00CD6620"/>
    <w:rsid w:val="00CD66B4"/>
    <w:rsid w:val="00CD6784"/>
    <w:rsid w:val="00CD67BB"/>
    <w:rsid w:val="00CD6D0F"/>
    <w:rsid w:val="00CD6D3C"/>
    <w:rsid w:val="00CD6E42"/>
    <w:rsid w:val="00CD6E53"/>
    <w:rsid w:val="00CD7003"/>
    <w:rsid w:val="00CD7033"/>
    <w:rsid w:val="00CD717B"/>
    <w:rsid w:val="00CD7529"/>
    <w:rsid w:val="00CD75B9"/>
    <w:rsid w:val="00CD770D"/>
    <w:rsid w:val="00CD7914"/>
    <w:rsid w:val="00CD79A1"/>
    <w:rsid w:val="00CD7A64"/>
    <w:rsid w:val="00CD7ABC"/>
    <w:rsid w:val="00CD7CFC"/>
    <w:rsid w:val="00CD7DA2"/>
    <w:rsid w:val="00CD7EBF"/>
    <w:rsid w:val="00CE0159"/>
    <w:rsid w:val="00CE0180"/>
    <w:rsid w:val="00CE0386"/>
    <w:rsid w:val="00CE0438"/>
    <w:rsid w:val="00CE0483"/>
    <w:rsid w:val="00CE0628"/>
    <w:rsid w:val="00CE085C"/>
    <w:rsid w:val="00CE0875"/>
    <w:rsid w:val="00CE089F"/>
    <w:rsid w:val="00CE0A06"/>
    <w:rsid w:val="00CE0EF5"/>
    <w:rsid w:val="00CE108C"/>
    <w:rsid w:val="00CE1135"/>
    <w:rsid w:val="00CE1441"/>
    <w:rsid w:val="00CE148F"/>
    <w:rsid w:val="00CE15FF"/>
    <w:rsid w:val="00CE18AF"/>
    <w:rsid w:val="00CE2150"/>
    <w:rsid w:val="00CE22F9"/>
    <w:rsid w:val="00CE230E"/>
    <w:rsid w:val="00CE2407"/>
    <w:rsid w:val="00CE279B"/>
    <w:rsid w:val="00CE2A10"/>
    <w:rsid w:val="00CE2AD8"/>
    <w:rsid w:val="00CE2E82"/>
    <w:rsid w:val="00CE2F1D"/>
    <w:rsid w:val="00CE3077"/>
    <w:rsid w:val="00CE31D5"/>
    <w:rsid w:val="00CE32DE"/>
    <w:rsid w:val="00CE367E"/>
    <w:rsid w:val="00CE36D8"/>
    <w:rsid w:val="00CE37EB"/>
    <w:rsid w:val="00CE3892"/>
    <w:rsid w:val="00CE3C3A"/>
    <w:rsid w:val="00CE4064"/>
    <w:rsid w:val="00CE485C"/>
    <w:rsid w:val="00CE494F"/>
    <w:rsid w:val="00CE4970"/>
    <w:rsid w:val="00CE4FE4"/>
    <w:rsid w:val="00CE503D"/>
    <w:rsid w:val="00CE5060"/>
    <w:rsid w:val="00CE5064"/>
    <w:rsid w:val="00CE5407"/>
    <w:rsid w:val="00CE5510"/>
    <w:rsid w:val="00CE556B"/>
    <w:rsid w:val="00CE5817"/>
    <w:rsid w:val="00CE5A09"/>
    <w:rsid w:val="00CE5B33"/>
    <w:rsid w:val="00CE5CE4"/>
    <w:rsid w:val="00CE5FDB"/>
    <w:rsid w:val="00CE6080"/>
    <w:rsid w:val="00CE6171"/>
    <w:rsid w:val="00CE625F"/>
    <w:rsid w:val="00CE6792"/>
    <w:rsid w:val="00CE688F"/>
    <w:rsid w:val="00CE68D3"/>
    <w:rsid w:val="00CE6A6B"/>
    <w:rsid w:val="00CE6C44"/>
    <w:rsid w:val="00CE708C"/>
    <w:rsid w:val="00CE71CD"/>
    <w:rsid w:val="00CE7422"/>
    <w:rsid w:val="00CE7472"/>
    <w:rsid w:val="00CE753C"/>
    <w:rsid w:val="00CE77D2"/>
    <w:rsid w:val="00CE79DD"/>
    <w:rsid w:val="00CE7DE8"/>
    <w:rsid w:val="00CE7ED7"/>
    <w:rsid w:val="00CE7F2D"/>
    <w:rsid w:val="00CF0125"/>
    <w:rsid w:val="00CF0276"/>
    <w:rsid w:val="00CF02CF"/>
    <w:rsid w:val="00CF02E0"/>
    <w:rsid w:val="00CF0328"/>
    <w:rsid w:val="00CF03DC"/>
    <w:rsid w:val="00CF05F9"/>
    <w:rsid w:val="00CF0645"/>
    <w:rsid w:val="00CF0664"/>
    <w:rsid w:val="00CF0B9A"/>
    <w:rsid w:val="00CF1269"/>
    <w:rsid w:val="00CF12BF"/>
    <w:rsid w:val="00CF136F"/>
    <w:rsid w:val="00CF1686"/>
    <w:rsid w:val="00CF16C6"/>
    <w:rsid w:val="00CF1871"/>
    <w:rsid w:val="00CF193E"/>
    <w:rsid w:val="00CF19CB"/>
    <w:rsid w:val="00CF1A05"/>
    <w:rsid w:val="00CF1A06"/>
    <w:rsid w:val="00CF1A94"/>
    <w:rsid w:val="00CF1AF3"/>
    <w:rsid w:val="00CF1B25"/>
    <w:rsid w:val="00CF1D4C"/>
    <w:rsid w:val="00CF1E66"/>
    <w:rsid w:val="00CF1FB7"/>
    <w:rsid w:val="00CF1FCD"/>
    <w:rsid w:val="00CF258A"/>
    <w:rsid w:val="00CF29C5"/>
    <w:rsid w:val="00CF2B43"/>
    <w:rsid w:val="00CF2BDA"/>
    <w:rsid w:val="00CF2D3E"/>
    <w:rsid w:val="00CF2DF0"/>
    <w:rsid w:val="00CF2E4D"/>
    <w:rsid w:val="00CF30F2"/>
    <w:rsid w:val="00CF3145"/>
    <w:rsid w:val="00CF3676"/>
    <w:rsid w:val="00CF38DD"/>
    <w:rsid w:val="00CF3A43"/>
    <w:rsid w:val="00CF40AC"/>
    <w:rsid w:val="00CF4133"/>
    <w:rsid w:val="00CF42CC"/>
    <w:rsid w:val="00CF477F"/>
    <w:rsid w:val="00CF4BA4"/>
    <w:rsid w:val="00CF4C84"/>
    <w:rsid w:val="00CF4D36"/>
    <w:rsid w:val="00CF4D7F"/>
    <w:rsid w:val="00CF50B0"/>
    <w:rsid w:val="00CF522B"/>
    <w:rsid w:val="00CF5236"/>
    <w:rsid w:val="00CF577E"/>
    <w:rsid w:val="00CF5817"/>
    <w:rsid w:val="00CF59E9"/>
    <w:rsid w:val="00CF61EF"/>
    <w:rsid w:val="00CF6207"/>
    <w:rsid w:val="00CF6244"/>
    <w:rsid w:val="00CF6287"/>
    <w:rsid w:val="00CF6A3E"/>
    <w:rsid w:val="00CF6C70"/>
    <w:rsid w:val="00CF6F2A"/>
    <w:rsid w:val="00CF7024"/>
    <w:rsid w:val="00CF7839"/>
    <w:rsid w:val="00CF793C"/>
    <w:rsid w:val="00CF79BF"/>
    <w:rsid w:val="00CF7DFF"/>
    <w:rsid w:val="00CF7E7C"/>
    <w:rsid w:val="00D00469"/>
    <w:rsid w:val="00D00AA0"/>
    <w:rsid w:val="00D00B1E"/>
    <w:rsid w:val="00D00B3A"/>
    <w:rsid w:val="00D00D56"/>
    <w:rsid w:val="00D00E5E"/>
    <w:rsid w:val="00D011E3"/>
    <w:rsid w:val="00D0143C"/>
    <w:rsid w:val="00D01582"/>
    <w:rsid w:val="00D01595"/>
    <w:rsid w:val="00D0187D"/>
    <w:rsid w:val="00D01885"/>
    <w:rsid w:val="00D0188E"/>
    <w:rsid w:val="00D0191D"/>
    <w:rsid w:val="00D01B31"/>
    <w:rsid w:val="00D01BB4"/>
    <w:rsid w:val="00D02127"/>
    <w:rsid w:val="00D025CC"/>
    <w:rsid w:val="00D02994"/>
    <w:rsid w:val="00D02D68"/>
    <w:rsid w:val="00D02D74"/>
    <w:rsid w:val="00D03231"/>
    <w:rsid w:val="00D03382"/>
    <w:rsid w:val="00D033E1"/>
    <w:rsid w:val="00D036EB"/>
    <w:rsid w:val="00D0375D"/>
    <w:rsid w:val="00D0395A"/>
    <w:rsid w:val="00D03976"/>
    <w:rsid w:val="00D03C65"/>
    <w:rsid w:val="00D03EFD"/>
    <w:rsid w:val="00D041AF"/>
    <w:rsid w:val="00D041C0"/>
    <w:rsid w:val="00D04326"/>
    <w:rsid w:val="00D04359"/>
    <w:rsid w:val="00D047B5"/>
    <w:rsid w:val="00D048C2"/>
    <w:rsid w:val="00D04C21"/>
    <w:rsid w:val="00D04CB8"/>
    <w:rsid w:val="00D04D88"/>
    <w:rsid w:val="00D04F2F"/>
    <w:rsid w:val="00D0547F"/>
    <w:rsid w:val="00D0564D"/>
    <w:rsid w:val="00D05C66"/>
    <w:rsid w:val="00D05C6E"/>
    <w:rsid w:val="00D05CAF"/>
    <w:rsid w:val="00D05FAD"/>
    <w:rsid w:val="00D061B8"/>
    <w:rsid w:val="00D0625B"/>
    <w:rsid w:val="00D064B3"/>
    <w:rsid w:val="00D06C24"/>
    <w:rsid w:val="00D071CA"/>
    <w:rsid w:val="00D07274"/>
    <w:rsid w:val="00D07295"/>
    <w:rsid w:val="00D07599"/>
    <w:rsid w:val="00D077DC"/>
    <w:rsid w:val="00D07A95"/>
    <w:rsid w:val="00D07AEF"/>
    <w:rsid w:val="00D07FC0"/>
    <w:rsid w:val="00D10053"/>
    <w:rsid w:val="00D100BC"/>
    <w:rsid w:val="00D101D6"/>
    <w:rsid w:val="00D102C4"/>
    <w:rsid w:val="00D10318"/>
    <w:rsid w:val="00D105E3"/>
    <w:rsid w:val="00D1065B"/>
    <w:rsid w:val="00D107C9"/>
    <w:rsid w:val="00D10911"/>
    <w:rsid w:val="00D10A5B"/>
    <w:rsid w:val="00D10B94"/>
    <w:rsid w:val="00D10BC6"/>
    <w:rsid w:val="00D10ED6"/>
    <w:rsid w:val="00D110DB"/>
    <w:rsid w:val="00D111AE"/>
    <w:rsid w:val="00D1149D"/>
    <w:rsid w:val="00D11DBB"/>
    <w:rsid w:val="00D1207B"/>
    <w:rsid w:val="00D12670"/>
    <w:rsid w:val="00D1274E"/>
    <w:rsid w:val="00D1282F"/>
    <w:rsid w:val="00D12EAD"/>
    <w:rsid w:val="00D12F12"/>
    <w:rsid w:val="00D12F96"/>
    <w:rsid w:val="00D12FEB"/>
    <w:rsid w:val="00D132AC"/>
    <w:rsid w:val="00D13566"/>
    <w:rsid w:val="00D136A0"/>
    <w:rsid w:val="00D137DB"/>
    <w:rsid w:val="00D137EF"/>
    <w:rsid w:val="00D13801"/>
    <w:rsid w:val="00D13B61"/>
    <w:rsid w:val="00D142DB"/>
    <w:rsid w:val="00D1466A"/>
    <w:rsid w:val="00D14727"/>
    <w:rsid w:val="00D14891"/>
    <w:rsid w:val="00D148F3"/>
    <w:rsid w:val="00D14B60"/>
    <w:rsid w:val="00D14F3A"/>
    <w:rsid w:val="00D150C7"/>
    <w:rsid w:val="00D15818"/>
    <w:rsid w:val="00D1588D"/>
    <w:rsid w:val="00D15DB6"/>
    <w:rsid w:val="00D15F85"/>
    <w:rsid w:val="00D160FA"/>
    <w:rsid w:val="00D162DD"/>
    <w:rsid w:val="00D16318"/>
    <w:rsid w:val="00D165F1"/>
    <w:rsid w:val="00D1669D"/>
    <w:rsid w:val="00D16748"/>
    <w:rsid w:val="00D169F3"/>
    <w:rsid w:val="00D16B58"/>
    <w:rsid w:val="00D16EF8"/>
    <w:rsid w:val="00D16FA8"/>
    <w:rsid w:val="00D1700E"/>
    <w:rsid w:val="00D17124"/>
    <w:rsid w:val="00D17139"/>
    <w:rsid w:val="00D17359"/>
    <w:rsid w:val="00D174D3"/>
    <w:rsid w:val="00D178C9"/>
    <w:rsid w:val="00D17B27"/>
    <w:rsid w:val="00D17BF0"/>
    <w:rsid w:val="00D20120"/>
    <w:rsid w:val="00D203D4"/>
    <w:rsid w:val="00D20471"/>
    <w:rsid w:val="00D204F1"/>
    <w:rsid w:val="00D2055A"/>
    <w:rsid w:val="00D207F5"/>
    <w:rsid w:val="00D20CA5"/>
    <w:rsid w:val="00D20F7F"/>
    <w:rsid w:val="00D21097"/>
    <w:rsid w:val="00D21BF8"/>
    <w:rsid w:val="00D21F5C"/>
    <w:rsid w:val="00D2216F"/>
    <w:rsid w:val="00D221B8"/>
    <w:rsid w:val="00D2244A"/>
    <w:rsid w:val="00D22812"/>
    <w:rsid w:val="00D2283F"/>
    <w:rsid w:val="00D228F5"/>
    <w:rsid w:val="00D2324B"/>
    <w:rsid w:val="00D233EB"/>
    <w:rsid w:val="00D234D1"/>
    <w:rsid w:val="00D23602"/>
    <w:rsid w:val="00D236D1"/>
    <w:rsid w:val="00D2370F"/>
    <w:rsid w:val="00D2375E"/>
    <w:rsid w:val="00D2380F"/>
    <w:rsid w:val="00D23849"/>
    <w:rsid w:val="00D23C7D"/>
    <w:rsid w:val="00D23D04"/>
    <w:rsid w:val="00D23D30"/>
    <w:rsid w:val="00D23DF3"/>
    <w:rsid w:val="00D23EF5"/>
    <w:rsid w:val="00D2410C"/>
    <w:rsid w:val="00D24410"/>
    <w:rsid w:val="00D244B8"/>
    <w:rsid w:val="00D24982"/>
    <w:rsid w:val="00D250A5"/>
    <w:rsid w:val="00D254B1"/>
    <w:rsid w:val="00D256A2"/>
    <w:rsid w:val="00D25A59"/>
    <w:rsid w:val="00D25CC0"/>
    <w:rsid w:val="00D25D65"/>
    <w:rsid w:val="00D25F64"/>
    <w:rsid w:val="00D25FEC"/>
    <w:rsid w:val="00D26247"/>
    <w:rsid w:val="00D26288"/>
    <w:rsid w:val="00D26403"/>
    <w:rsid w:val="00D2675A"/>
    <w:rsid w:val="00D26B26"/>
    <w:rsid w:val="00D26B9D"/>
    <w:rsid w:val="00D270AF"/>
    <w:rsid w:val="00D27248"/>
    <w:rsid w:val="00D2729A"/>
    <w:rsid w:val="00D273DE"/>
    <w:rsid w:val="00D27420"/>
    <w:rsid w:val="00D27729"/>
    <w:rsid w:val="00D279B1"/>
    <w:rsid w:val="00D27C18"/>
    <w:rsid w:val="00D27C8E"/>
    <w:rsid w:val="00D27E59"/>
    <w:rsid w:val="00D301CB"/>
    <w:rsid w:val="00D30402"/>
    <w:rsid w:val="00D30A32"/>
    <w:rsid w:val="00D30B8D"/>
    <w:rsid w:val="00D30DEE"/>
    <w:rsid w:val="00D311E9"/>
    <w:rsid w:val="00D31229"/>
    <w:rsid w:val="00D3162A"/>
    <w:rsid w:val="00D316C8"/>
    <w:rsid w:val="00D31916"/>
    <w:rsid w:val="00D3191B"/>
    <w:rsid w:val="00D31992"/>
    <w:rsid w:val="00D31B71"/>
    <w:rsid w:val="00D31CD2"/>
    <w:rsid w:val="00D32164"/>
    <w:rsid w:val="00D32383"/>
    <w:rsid w:val="00D32409"/>
    <w:rsid w:val="00D32652"/>
    <w:rsid w:val="00D32CFA"/>
    <w:rsid w:val="00D32EC2"/>
    <w:rsid w:val="00D337B7"/>
    <w:rsid w:val="00D339C0"/>
    <w:rsid w:val="00D33E01"/>
    <w:rsid w:val="00D33EAD"/>
    <w:rsid w:val="00D34000"/>
    <w:rsid w:val="00D34275"/>
    <w:rsid w:val="00D3436D"/>
    <w:rsid w:val="00D34466"/>
    <w:rsid w:val="00D3451F"/>
    <w:rsid w:val="00D34600"/>
    <w:rsid w:val="00D3477E"/>
    <w:rsid w:val="00D349DD"/>
    <w:rsid w:val="00D34B73"/>
    <w:rsid w:val="00D34BD5"/>
    <w:rsid w:val="00D34F58"/>
    <w:rsid w:val="00D3500A"/>
    <w:rsid w:val="00D35123"/>
    <w:rsid w:val="00D35303"/>
    <w:rsid w:val="00D35A79"/>
    <w:rsid w:val="00D35ABF"/>
    <w:rsid w:val="00D35D50"/>
    <w:rsid w:val="00D35DD6"/>
    <w:rsid w:val="00D35F45"/>
    <w:rsid w:val="00D3606B"/>
    <w:rsid w:val="00D363ED"/>
    <w:rsid w:val="00D365F8"/>
    <w:rsid w:val="00D366F5"/>
    <w:rsid w:val="00D368F8"/>
    <w:rsid w:val="00D36A4A"/>
    <w:rsid w:val="00D36CF7"/>
    <w:rsid w:val="00D36DD3"/>
    <w:rsid w:val="00D36EDC"/>
    <w:rsid w:val="00D3737E"/>
    <w:rsid w:val="00D376D9"/>
    <w:rsid w:val="00D37851"/>
    <w:rsid w:val="00D37C64"/>
    <w:rsid w:val="00D37CBA"/>
    <w:rsid w:val="00D37E9D"/>
    <w:rsid w:val="00D40827"/>
    <w:rsid w:val="00D408FA"/>
    <w:rsid w:val="00D40D3E"/>
    <w:rsid w:val="00D40F1C"/>
    <w:rsid w:val="00D4121B"/>
    <w:rsid w:val="00D4137D"/>
    <w:rsid w:val="00D41531"/>
    <w:rsid w:val="00D41B23"/>
    <w:rsid w:val="00D41C1F"/>
    <w:rsid w:val="00D41D63"/>
    <w:rsid w:val="00D41E9A"/>
    <w:rsid w:val="00D41F2F"/>
    <w:rsid w:val="00D4213B"/>
    <w:rsid w:val="00D423E7"/>
    <w:rsid w:val="00D42477"/>
    <w:rsid w:val="00D4266A"/>
    <w:rsid w:val="00D4292C"/>
    <w:rsid w:val="00D42968"/>
    <w:rsid w:val="00D429CF"/>
    <w:rsid w:val="00D42AAD"/>
    <w:rsid w:val="00D42CD1"/>
    <w:rsid w:val="00D42CD4"/>
    <w:rsid w:val="00D42D96"/>
    <w:rsid w:val="00D42E8C"/>
    <w:rsid w:val="00D42F6E"/>
    <w:rsid w:val="00D4317E"/>
    <w:rsid w:val="00D43474"/>
    <w:rsid w:val="00D43A52"/>
    <w:rsid w:val="00D43E2A"/>
    <w:rsid w:val="00D4408D"/>
    <w:rsid w:val="00D44506"/>
    <w:rsid w:val="00D44877"/>
    <w:rsid w:val="00D44E0B"/>
    <w:rsid w:val="00D44F94"/>
    <w:rsid w:val="00D4508B"/>
    <w:rsid w:val="00D45236"/>
    <w:rsid w:val="00D4534F"/>
    <w:rsid w:val="00D455A9"/>
    <w:rsid w:val="00D456BA"/>
    <w:rsid w:val="00D45752"/>
    <w:rsid w:val="00D4579D"/>
    <w:rsid w:val="00D45910"/>
    <w:rsid w:val="00D45BB0"/>
    <w:rsid w:val="00D45E31"/>
    <w:rsid w:val="00D45FAF"/>
    <w:rsid w:val="00D46321"/>
    <w:rsid w:val="00D46561"/>
    <w:rsid w:val="00D465CD"/>
    <w:rsid w:val="00D466FD"/>
    <w:rsid w:val="00D46A33"/>
    <w:rsid w:val="00D46B96"/>
    <w:rsid w:val="00D46F6B"/>
    <w:rsid w:val="00D4737F"/>
    <w:rsid w:val="00D474A8"/>
    <w:rsid w:val="00D4782D"/>
    <w:rsid w:val="00D4791F"/>
    <w:rsid w:val="00D47B25"/>
    <w:rsid w:val="00D47B8D"/>
    <w:rsid w:val="00D47E12"/>
    <w:rsid w:val="00D47E59"/>
    <w:rsid w:val="00D47ECA"/>
    <w:rsid w:val="00D47EE7"/>
    <w:rsid w:val="00D5001A"/>
    <w:rsid w:val="00D500A7"/>
    <w:rsid w:val="00D501B1"/>
    <w:rsid w:val="00D50251"/>
    <w:rsid w:val="00D5073E"/>
    <w:rsid w:val="00D50765"/>
    <w:rsid w:val="00D508B5"/>
    <w:rsid w:val="00D50BFF"/>
    <w:rsid w:val="00D5113F"/>
    <w:rsid w:val="00D51365"/>
    <w:rsid w:val="00D514E2"/>
    <w:rsid w:val="00D5155E"/>
    <w:rsid w:val="00D51886"/>
    <w:rsid w:val="00D51888"/>
    <w:rsid w:val="00D5196D"/>
    <w:rsid w:val="00D51DF2"/>
    <w:rsid w:val="00D51FC5"/>
    <w:rsid w:val="00D5211F"/>
    <w:rsid w:val="00D52596"/>
    <w:rsid w:val="00D52CC6"/>
    <w:rsid w:val="00D52E01"/>
    <w:rsid w:val="00D52FD6"/>
    <w:rsid w:val="00D536BC"/>
    <w:rsid w:val="00D53905"/>
    <w:rsid w:val="00D53D41"/>
    <w:rsid w:val="00D54011"/>
    <w:rsid w:val="00D5424D"/>
    <w:rsid w:val="00D542D1"/>
    <w:rsid w:val="00D546E2"/>
    <w:rsid w:val="00D54BA8"/>
    <w:rsid w:val="00D550B8"/>
    <w:rsid w:val="00D55233"/>
    <w:rsid w:val="00D552B2"/>
    <w:rsid w:val="00D5561F"/>
    <w:rsid w:val="00D55861"/>
    <w:rsid w:val="00D55943"/>
    <w:rsid w:val="00D55AB6"/>
    <w:rsid w:val="00D55B0C"/>
    <w:rsid w:val="00D55FDC"/>
    <w:rsid w:val="00D560DF"/>
    <w:rsid w:val="00D56130"/>
    <w:rsid w:val="00D563D0"/>
    <w:rsid w:val="00D565D6"/>
    <w:rsid w:val="00D5682B"/>
    <w:rsid w:val="00D569A8"/>
    <w:rsid w:val="00D56AA5"/>
    <w:rsid w:val="00D56B1C"/>
    <w:rsid w:val="00D56B43"/>
    <w:rsid w:val="00D56BD5"/>
    <w:rsid w:val="00D56CAE"/>
    <w:rsid w:val="00D56FCD"/>
    <w:rsid w:val="00D5718D"/>
    <w:rsid w:val="00D5730E"/>
    <w:rsid w:val="00D57387"/>
    <w:rsid w:val="00D573E6"/>
    <w:rsid w:val="00D5759A"/>
    <w:rsid w:val="00D57633"/>
    <w:rsid w:val="00D57661"/>
    <w:rsid w:val="00D6048C"/>
    <w:rsid w:val="00D604ED"/>
    <w:rsid w:val="00D606A8"/>
    <w:rsid w:val="00D60802"/>
    <w:rsid w:val="00D60B9A"/>
    <w:rsid w:val="00D61010"/>
    <w:rsid w:val="00D61195"/>
    <w:rsid w:val="00D611E6"/>
    <w:rsid w:val="00D61247"/>
    <w:rsid w:val="00D61488"/>
    <w:rsid w:val="00D61CA6"/>
    <w:rsid w:val="00D61DA2"/>
    <w:rsid w:val="00D61E31"/>
    <w:rsid w:val="00D61FA5"/>
    <w:rsid w:val="00D620F0"/>
    <w:rsid w:val="00D62295"/>
    <w:rsid w:val="00D623DD"/>
    <w:rsid w:val="00D62986"/>
    <w:rsid w:val="00D62AC1"/>
    <w:rsid w:val="00D62B0A"/>
    <w:rsid w:val="00D62CFB"/>
    <w:rsid w:val="00D62D25"/>
    <w:rsid w:val="00D63511"/>
    <w:rsid w:val="00D6357A"/>
    <w:rsid w:val="00D63774"/>
    <w:rsid w:val="00D63CE8"/>
    <w:rsid w:val="00D63E39"/>
    <w:rsid w:val="00D63FF2"/>
    <w:rsid w:val="00D640A4"/>
    <w:rsid w:val="00D64546"/>
    <w:rsid w:val="00D645E9"/>
    <w:rsid w:val="00D646FA"/>
    <w:rsid w:val="00D647BD"/>
    <w:rsid w:val="00D6485A"/>
    <w:rsid w:val="00D648EC"/>
    <w:rsid w:val="00D64903"/>
    <w:rsid w:val="00D64930"/>
    <w:rsid w:val="00D64A00"/>
    <w:rsid w:val="00D64E11"/>
    <w:rsid w:val="00D64F8D"/>
    <w:rsid w:val="00D64FA4"/>
    <w:rsid w:val="00D651C6"/>
    <w:rsid w:val="00D653CA"/>
    <w:rsid w:val="00D654C6"/>
    <w:rsid w:val="00D65838"/>
    <w:rsid w:val="00D65A2E"/>
    <w:rsid w:val="00D65D38"/>
    <w:rsid w:val="00D65D88"/>
    <w:rsid w:val="00D65E76"/>
    <w:rsid w:val="00D65ED0"/>
    <w:rsid w:val="00D65F6C"/>
    <w:rsid w:val="00D66124"/>
    <w:rsid w:val="00D66508"/>
    <w:rsid w:val="00D6658E"/>
    <w:rsid w:val="00D66611"/>
    <w:rsid w:val="00D6677C"/>
    <w:rsid w:val="00D6678B"/>
    <w:rsid w:val="00D66797"/>
    <w:rsid w:val="00D66919"/>
    <w:rsid w:val="00D66ABD"/>
    <w:rsid w:val="00D66B50"/>
    <w:rsid w:val="00D66BC1"/>
    <w:rsid w:val="00D66CA1"/>
    <w:rsid w:val="00D66DD9"/>
    <w:rsid w:val="00D670C8"/>
    <w:rsid w:val="00D676AF"/>
    <w:rsid w:val="00D677AB"/>
    <w:rsid w:val="00D6791F"/>
    <w:rsid w:val="00D67963"/>
    <w:rsid w:val="00D70204"/>
    <w:rsid w:val="00D704E2"/>
    <w:rsid w:val="00D70C45"/>
    <w:rsid w:val="00D70D9B"/>
    <w:rsid w:val="00D70F2A"/>
    <w:rsid w:val="00D713AB"/>
    <w:rsid w:val="00D714E3"/>
    <w:rsid w:val="00D7157D"/>
    <w:rsid w:val="00D71723"/>
    <w:rsid w:val="00D7180B"/>
    <w:rsid w:val="00D71823"/>
    <w:rsid w:val="00D71997"/>
    <w:rsid w:val="00D72267"/>
    <w:rsid w:val="00D72521"/>
    <w:rsid w:val="00D72AE7"/>
    <w:rsid w:val="00D73375"/>
    <w:rsid w:val="00D73410"/>
    <w:rsid w:val="00D73553"/>
    <w:rsid w:val="00D73641"/>
    <w:rsid w:val="00D736C0"/>
    <w:rsid w:val="00D73702"/>
    <w:rsid w:val="00D73716"/>
    <w:rsid w:val="00D738DD"/>
    <w:rsid w:val="00D73D0B"/>
    <w:rsid w:val="00D73F5B"/>
    <w:rsid w:val="00D73FCC"/>
    <w:rsid w:val="00D740DF"/>
    <w:rsid w:val="00D7426A"/>
    <w:rsid w:val="00D7458D"/>
    <w:rsid w:val="00D74590"/>
    <w:rsid w:val="00D74605"/>
    <w:rsid w:val="00D7474F"/>
    <w:rsid w:val="00D74996"/>
    <w:rsid w:val="00D74D69"/>
    <w:rsid w:val="00D74F0D"/>
    <w:rsid w:val="00D75215"/>
    <w:rsid w:val="00D7547C"/>
    <w:rsid w:val="00D754DC"/>
    <w:rsid w:val="00D75681"/>
    <w:rsid w:val="00D75A1C"/>
    <w:rsid w:val="00D75ABF"/>
    <w:rsid w:val="00D75C41"/>
    <w:rsid w:val="00D75C4C"/>
    <w:rsid w:val="00D75D47"/>
    <w:rsid w:val="00D75DEB"/>
    <w:rsid w:val="00D75E57"/>
    <w:rsid w:val="00D76010"/>
    <w:rsid w:val="00D7622D"/>
    <w:rsid w:val="00D7643C"/>
    <w:rsid w:val="00D764B4"/>
    <w:rsid w:val="00D76A39"/>
    <w:rsid w:val="00D76C69"/>
    <w:rsid w:val="00D76E5D"/>
    <w:rsid w:val="00D76F51"/>
    <w:rsid w:val="00D76FB6"/>
    <w:rsid w:val="00D76FF0"/>
    <w:rsid w:val="00D7708C"/>
    <w:rsid w:val="00D770DB"/>
    <w:rsid w:val="00D7765F"/>
    <w:rsid w:val="00D77F8F"/>
    <w:rsid w:val="00D8009B"/>
    <w:rsid w:val="00D800DE"/>
    <w:rsid w:val="00D80598"/>
    <w:rsid w:val="00D80695"/>
    <w:rsid w:val="00D80A56"/>
    <w:rsid w:val="00D80DF5"/>
    <w:rsid w:val="00D80E49"/>
    <w:rsid w:val="00D80E91"/>
    <w:rsid w:val="00D811B1"/>
    <w:rsid w:val="00D81907"/>
    <w:rsid w:val="00D81A9C"/>
    <w:rsid w:val="00D81ADE"/>
    <w:rsid w:val="00D81E48"/>
    <w:rsid w:val="00D81EE2"/>
    <w:rsid w:val="00D81F13"/>
    <w:rsid w:val="00D81F84"/>
    <w:rsid w:val="00D8210B"/>
    <w:rsid w:val="00D82135"/>
    <w:rsid w:val="00D821DE"/>
    <w:rsid w:val="00D823E8"/>
    <w:rsid w:val="00D82AEC"/>
    <w:rsid w:val="00D82B10"/>
    <w:rsid w:val="00D82BCA"/>
    <w:rsid w:val="00D82F24"/>
    <w:rsid w:val="00D83372"/>
    <w:rsid w:val="00D83399"/>
    <w:rsid w:val="00D837BD"/>
    <w:rsid w:val="00D83920"/>
    <w:rsid w:val="00D83937"/>
    <w:rsid w:val="00D839CA"/>
    <w:rsid w:val="00D83D49"/>
    <w:rsid w:val="00D83E94"/>
    <w:rsid w:val="00D841EA"/>
    <w:rsid w:val="00D84247"/>
    <w:rsid w:val="00D842EF"/>
    <w:rsid w:val="00D843D7"/>
    <w:rsid w:val="00D844F4"/>
    <w:rsid w:val="00D84A8B"/>
    <w:rsid w:val="00D84EFC"/>
    <w:rsid w:val="00D84F01"/>
    <w:rsid w:val="00D8505E"/>
    <w:rsid w:val="00D85163"/>
    <w:rsid w:val="00D8533E"/>
    <w:rsid w:val="00D85347"/>
    <w:rsid w:val="00D85399"/>
    <w:rsid w:val="00D85439"/>
    <w:rsid w:val="00D85466"/>
    <w:rsid w:val="00D85A77"/>
    <w:rsid w:val="00D85C9B"/>
    <w:rsid w:val="00D85E7B"/>
    <w:rsid w:val="00D85F51"/>
    <w:rsid w:val="00D860BF"/>
    <w:rsid w:val="00D87228"/>
    <w:rsid w:val="00D8740C"/>
    <w:rsid w:val="00D8743F"/>
    <w:rsid w:val="00D87573"/>
    <w:rsid w:val="00D87C00"/>
    <w:rsid w:val="00D87DAC"/>
    <w:rsid w:val="00D87E34"/>
    <w:rsid w:val="00D900EC"/>
    <w:rsid w:val="00D9049A"/>
    <w:rsid w:val="00D90849"/>
    <w:rsid w:val="00D9085A"/>
    <w:rsid w:val="00D9089F"/>
    <w:rsid w:val="00D908BD"/>
    <w:rsid w:val="00D90A89"/>
    <w:rsid w:val="00D90C3A"/>
    <w:rsid w:val="00D90D37"/>
    <w:rsid w:val="00D91056"/>
    <w:rsid w:val="00D915C3"/>
    <w:rsid w:val="00D91ADB"/>
    <w:rsid w:val="00D91E3A"/>
    <w:rsid w:val="00D91F98"/>
    <w:rsid w:val="00D92147"/>
    <w:rsid w:val="00D9233D"/>
    <w:rsid w:val="00D92C24"/>
    <w:rsid w:val="00D92DF2"/>
    <w:rsid w:val="00D934B6"/>
    <w:rsid w:val="00D934F5"/>
    <w:rsid w:val="00D938FA"/>
    <w:rsid w:val="00D939C2"/>
    <w:rsid w:val="00D93A1D"/>
    <w:rsid w:val="00D93BE0"/>
    <w:rsid w:val="00D93C45"/>
    <w:rsid w:val="00D93D05"/>
    <w:rsid w:val="00D94176"/>
    <w:rsid w:val="00D9422B"/>
    <w:rsid w:val="00D94433"/>
    <w:rsid w:val="00D944FD"/>
    <w:rsid w:val="00D9456E"/>
    <w:rsid w:val="00D94855"/>
    <w:rsid w:val="00D94AA5"/>
    <w:rsid w:val="00D94F7A"/>
    <w:rsid w:val="00D95189"/>
    <w:rsid w:val="00D95645"/>
    <w:rsid w:val="00D95931"/>
    <w:rsid w:val="00D959CE"/>
    <w:rsid w:val="00D95C2B"/>
    <w:rsid w:val="00D95E72"/>
    <w:rsid w:val="00D95EC7"/>
    <w:rsid w:val="00D96020"/>
    <w:rsid w:val="00D96316"/>
    <w:rsid w:val="00D963BD"/>
    <w:rsid w:val="00D96541"/>
    <w:rsid w:val="00D965CB"/>
    <w:rsid w:val="00D96737"/>
    <w:rsid w:val="00D96A35"/>
    <w:rsid w:val="00D96AC9"/>
    <w:rsid w:val="00D96BF2"/>
    <w:rsid w:val="00D96CEE"/>
    <w:rsid w:val="00D96D43"/>
    <w:rsid w:val="00D96E0F"/>
    <w:rsid w:val="00D96E51"/>
    <w:rsid w:val="00D96EB7"/>
    <w:rsid w:val="00D97086"/>
    <w:rsid w:val="00D970F7"/>
    <w:rsid w:val="00D9768A"/>
    <w:rsid w:val="00D9770B"/>
    <w:rsid w:val="00D97795"/>
    <w:rsid w:val="00D9792B"/>
    <w:rsid w:val="00D9796D"/>
    <w:rsid w:val="00D97A76"/>
    <w:rsid w:val="00D97D13"/>
    <w:rsid w:val="00D97D52"/>
    <w:rsid w:val="00D97D91"/>
    <w:rsid w:val="00DA0027"/>
    <w:rsid w:val="00DA00B4"/>
    <w:rsid w:val="00DA0270"/>
    <w:rsid w:val="00DA027A"/>
    <w:rsid w:val="00DA0961"/>
    <w:rsid w:val="00DA09D1"/>
    <w:rsid w:val="00DA0D1D"/>
    <w:rsid w:val="00DA0E37"/>
    <w:rsid w:val="00DA0FA5"/>
    <w:rsid w:val="00DA111B"/>
    <w:rsid w:val="00DA119E"/>
    <w:rsid w:val="00DA1607"/>
    <w:rsid w:val="00DA166F"/>
    <w:rsid w:val="00DA167E"/>
    <w:rsid w:val="00DA186A"/>
    <w:rsid w:val="00DA18D8"/>
    <w:rsid w:val="00DA1AB4"/>
    <w:rsid w:val="00DA1C0A"/>
    <w:rsid w:val="00DA1C6C"/>
    <w:rsid w:val="00DA1DC1"/>
    <w:rsid w:val="00DA219E"/>
    <w:rsid w:val="00DA241A"/>
    <w:rsid w:val="00DA24C6"/>
    <w:rsid w:val="00DA25CD"/>
    <w:rsid w:val="00DA283A"/>
    <w:rsid w:val="00DA2C07"/>
    <w:rsid w:val="00DA2D0F"/>
    <w:rsid w:val="00DA30F5"/>
    <w:rsid w:val="00DA3130"/>
    <w:rsid w:val="00DA35B0"/>
    <w:rsid w:val="00DA3627"/>
    <w:rsid w:val="00DA3B63"/>
    <w:rsid w:val="00DA3C72"/>
    <w:rsid w:val="00DA3C93"/>
    <w:rsid w:val="00DA3CC9"/>
    <w:rsid w:val="00DA3ED6"/>
    <w:rsid w:val="00DA4038"/>
    <w:rsid w:val="00DA40E4"/>
    <w:rsid w:val="00DA424C"/>
    <w:rsid w:val="00DA440F"/>
    <w:rsid w:val="00DA4A5B"/>
    <w:rsid w:val="00DA4AD4"/>
    <w:rsid w:val="00DA4B89"/>
    <w:rsid w:val="00DA4BEA"/>
    <w:rsid w:val="00DA4D50"/>
    <w:rsid w:val="00DA4EAF"/>
    <w:rsid w:val="00DA5150"/>
    <w:rsid w:val="00DA5152"/>
    <w:rsid w:val="00DA525B"/>
    <w:rsid w:val="00DA5293"/>
    <w:rsid w:val="00DA5C80"/>
    <w:rsid w:val="00DA5E97"/>
    <w:rsid w:val="00DA62AA"/>
    <w:rsid w:val="00DA62BA"/>
    <w:rsid w:val="00DA64C6"/>
    <w:rsid w:val="00DA64CE"/>
    <w:rsid w:val="00DA65C7"/>
    <w:rsid w:val="00DA66D3"/>
    <w:rsid w:val="00DA6A2E"/>
    <w:rsid w:val="00DA6D52"/>
    <w:rsid w:val="00DA6F14"/>
    <w:rsid w:val="00DA7142"/>
    <w:rsid w:val="00DA718E"/>
    <w:rsid w:val="00DA7735"/>
    <w:rsid w:val="00DA7781"/>
    <w:rsid w:val="00DA7DCA"/>
    <w:rsid w:val="00DA7E18"/>
    <w:rsid w:val="00DB001F"/>
    <w:rsid w:val="00DB00E9"/>
    <w:rsid w:val="00DB0104"/>
    <w:rsid w:val="00DB0946"/>
    <w:rsid w:val="00DB0A5D"/>
    <w:rsid w:val="00DB0A7F"/>
    <w:rsid w:val="00DB0E6D"/>
    <w:rsid w:val="00DB101D"/>
    <w:rsid w:val="00DB18ED"/>
    <w:rsid w:val="00DB18EE"/>
    <w:rsid w:val="00DB19E1"/>
    <w:rsid w:val="00DB1B5C"/>
    <w:rsid w:val="00DB1CAC"/>
    <w:rsid w:val="00DB1DB1"/>
    <w:rsid w:val="00DB1DC6"/>
    <w:rsid w:val="00DB1E53"/>
    <w:rsid w:val="00DB1FC1"/>
    <w:rsid w:val="00DB1FF6"/>
    <w:rsid w:val="00DB2154"/>
    <w:rsid w:val="00DB2284"/>
    <w:rsid w:val="00DB231A"/>
    <w:rsid w:val="00DB275E"/>
    <w:rsid w:val="00DB2775"/>
    <w:rsid w:val="00DB28AC"/>
    <w:rsid w:val="00DB2986"/>
    <w:rsid w:val="00DB2ABE"/>
    <w:rsid w:val="00DB2C40"/>
    <w:rsid w:val="00DB2E05"/>
    <w:rsid w:val="00DB2F2A"/>
    <w:rsid w:val="00DB30A4"/>
    <w:rsid w:val="00DB340A"/>
    <w:rsid w:val="00DB35E6"/>
    <w:rsid w:val="00DB3798"/>
    <w:rsid w:val="00DB39A1"/>
    <w:rsid w:val="00DB39F1"/>
    <w:rsid w:val="00DB3B0A"/>
    <w:rsid w:val="00DB3C2F"/>
    <w:rsid w:val="00DB3D00"/>
    <w:rsid w:val="00DB4089"/>
    <w:rsid w:val="00DB415C"/>
    <w:rsid w:val="00DB4558"/>
    <w:rsid w:val="00DB46EB"/>
    <w:rsid w:val="00DB476A"/>
    <w:rsid w:val="00DB4CA9"/>
    <w:rsid w:val="00DB4CF5"/>
    <w:rsid w:val="00DB4D79"/>
    <w:rsid w:val="00DB50CF"/>
    <w:rsid w:val="00DB5349"/>
    <w:rsid w:val="00DB537E"/>
    <w:rsid w:val="00DB53BA"/>
    <w:rsid w:val="00DB542F"/>
    <w:rsid w:val="00DB5705"/>
    <w:rsid w:val="00DB5783"/>
    <w:rsid w:val="00DB59B4"/>
    <w:rsid w:val="00DB5BA7"/>
    <w:rsid w:val="00DB5CDC"/>
    <w:rsid w:val="00DB5E91"/>
    <w:rsid w:val="00DB5F11"/>
    <w:rsid w:val="00DB5F25"/>
    <w:rsid w:val="00DB60AB"/>
    <w:rsid w:val="00DB6183"/>
    <w:rsid w:val="00DB67AF"/>
    <w:rsid w:val="00DB683B"/>
    <w:rsid w:val="00DB6DAD"/>
    <w:rsid w:val="00DB7096"/>
    <w:rsid w:val="00DB7D84"/>
    <w:rsid w:val="00DB7E0F"/>
    <w:rsid w:val="00DB7F88"/>
    <w:rsid w:val="00DC04B2"/>
    <w:rsid w:val="00DC04D8"/>
    <w:rsid w:val="00DC04FA"/>
    <w:rsid w:val="00DC086D"/>
    <w:rsid w:val="00DC0AD5"/>
    <w:rsid w:val="00DC0DBA"/>
    <w:rsid w:val="00DC0EA6"/>
    <w:rsid w:val="00DC10C5"/>
    <w:rsid w:val="00DC1162"/>
    <w:rsid w:val="00DC157E"/>
    <w:rsid w:val="00DC16F4"/>
    <w:rsid w:val="00DC18DB"/>
    <w:rsid w:val="00DC18E0"/>
    <w:rsid w:val="00DC1D00"/>
    <w:rsid w:val="00DC1E56"/>
    <w:rsid w:val="00DC26A3"/>
    <w:rsid w:val="00DC26AA"/>
    <w:rsid w:val="00DC2813"/>
    <w:rsid w:val="00DC2C01"/>
    <w:rsid w:val="00DC2DFC"/>
    <w:rsid w:val="00DC2E34"/>
    <w:rsid w:val="00DC2F06"/>
    <w:rsid w:val="00DC32A4"/>
    <w:rsid w:val="00DC331E"/>
    <w:rsid w:val="00DC3376"/>
    <w:rsid w:val="00DC35BB"/>
    <w:rsid w:val="00DC362B"/>
    <w:rsid w:val="00DC3812"/>
    <w:rsid w:val="00DC3ABA"/>
    <w:rsid w:val="00DC3C3E"/>
    <w:rsid w:val="00DC3CB9"/>
    <w:rsid w:val="00DC3EF0"/>
    <w:rsid w:val="00DC3F5B"/>
    <w:rsid w:val="00DC3FDC"/>
    <w:rsid w:val="00DC43F3"/>
    <w:rsid w:val="00DC451D"/>
    <w:rsid w:val="00DC45B0"/>
    <w:rsid w:val="00DC48A4"/>
    <w:rsid w:val="00DC48E2"/>
    <w:rsid w:val="00DC4958"/>
    <w:rsid w:val="00DC4EBB"/>
    <w:rsid w:val="00DC50AA"/>
    <w:rsid w:val="00DC5466"/>
    <w:rsid w:val="00DC5A10"/>
    <w:rsid w:val="00DC5B61"/>
    <w:rsid w:val="00DC5B90"/>
    <w:rsid w:val="00DC5D71"/>
    <w:rsid w:val="00DC5EDB"/>
    <w:rsid w:val="00DC5EF1"/>
    <w:rsid w:val="00DC61B5"/>
    <w:rsid w:val="00DC6294"/>
    <w:rsid w:val="00DC6485"/>
    <w:rsid w:val="00DC651E"/>
    <w:rsid w:val="00DC69DC"/>
    <w:rsid w:val="00DC6A17"/>
    <w:rsid w:val="00DC6AF8"/>
    <w:rsid w:val="00DC7143"/>
    <w:rsid w:val="00DC723C"/>
    <w:rsid w:val="00DC72E8"/>
    <w:rsid w:val="00DC7304"/>
    <w:rsid w:val="00DC762A"/>
    <w:rsid w:val="00DC7678"/>
    <w:rsid w:val="00DC7815"/>
    <w:rsid w:val="00DC7C31"/>
    <w:rsid w:val="00DD00C7"/>
    <w:rsid w:val="00DD00F0"/>
    <w:rsid w:val="00DD0156"/>
    <w:rsid w:val="00DD04D8"/>
    <w:rsid w:val="00DD0A19"/>
    <w:rsid w:val="00DD0A64"/>
    <w:rsid w:val="00DD0DB5"/>
    <w:rsid w:val="00DD0F3A"/>
    <w:rsid w:val="00DD10D0"/>
    <w:rsid w:val="00DD16B6"/>
    <w:rsid w:val="00DD1C58"/>
    <w:rsid w:val="00DD1DD2"/>
    <w:rsid w:val="00DD1DE7"/>
    <w:rsid w:val="00DD2B74"/>
    <w:rsid w:val="00DD2BA5"/>
    <w:rsid w:val="00DD2CA7"/>
    <w:rsid w:val="00DD2D4A"/>
    <w:rsid w:val="00DD2EB1"/>
    <w:rsid w:val="00DD2FA4"/>
    <w:rsid w:val="00DD2FCC"/>
    <w:rsid w:val="00DD334F"/>
    <w:rsid w:val="00DD37C6"/>
    <w:rsid w:val="00DD38C1"/>
    <w:rsid w:val="00DD3C0D"/>
    <w:rsid w:val="00DD3D92"/>
    <w:rsid w:val="00DD3D9A"/>
    <w:rsid w:val="00DD3EA0"/>
    <w:rsid w:val="00DD415F"/>
    <w:rsid w:val="00DD41AE"/>
    <w:rsid w:val="00DD41CF"/>
    <w:rsid w:val="00DD421A"/>
    <w:rsid w:val="00DD42AD"/>
    <w:rsid w:val="00DD4314"/>
    <w:rsid w:val="00DD4C9E"/>
    <w:rsid w:val="00DD4E6F"/>
    <w:rsid w:val="00DD4E98"/>
    <w:rsid w:val="00DD5134"/>
    <w:rsid w:val="00DD523F"/>
    <w:rsid w:val="00DD52AD"/>
    <w:rsid w:val="00DD531E"/>
    <w:rsid w:val="00DD5779"/>
    <w:rsid w:val="00DD5820"/>
    <w:rsid w:val="00DD5B41"/>
    <w:rsid w:val="00DD5D48"/>
    <w:rsid w:val="00DD5E24"/>
    <w:rsid w:val="00DD5F6A"/>
    <w:rsid w:val="00DD614C"/>
    <w:rsid w:val="00DD6218"/>
    <w:rsid w:val="00DD6243"/>
    <w:rsid w:val="00DD6307"/>
    <w:rsid w:val="00DD6312"/>
    <w:rsid w:val="00DD658F"/>
    <w:rsid w:val="00DD69CE"/>
    <w:rsid w:val="00DD6C53"/>
    <w:rsid w:val="00DD6F51"/>
    <w:rsid w:val="00DD71F1"/>
    <w:rsid w:val="00DD796B"/>
    <w:rsid w:val="00DD7CEA"/>
    <w:rsid w:val="00DD7F4A"/>
    <w:rsid w:val="00DE00AC"/>
    <w:rsid w:val="00DE086E"/>
    <w:rsid w:val="00DE094E"/>
    <w:rsid w:val="00DE0D85"/>
    <w:rsid w:val="00DE0E1D"/>
    <w:rsid w:val="00DE0EDD"/>
    <w:rsid w:val="00DE0F7D"/>
    <w:rsid w:val="00DE10E0"/>
    <w:rsid w:val="00DE1410"/>
    <w:rsid w:val="00DE1A3C"/>
    <w:rsid w:val="00DE231F"/>
    <w:rsid w:val="00DE2395"/>
    <w:rsid w:val="00DE2488"/>
    <w:rsid w:val="00DE2584"/>
    <w:rsid w:val="00DE2594"/>
    <w:rsid w:val="00DE2838"/>
    <w:rsid w:val="00DE2922"/>
    <w:rsid w:val="00DE29E3"/>
    <w:rsid w:val="00DE3031"/>
    <w:rsid w:val="00DE3304"/>
    <w:rsid w:val="00DE338E"/>
    <w:rsid w:val="00DE3551"/>
    <w:rsid w:val="00DE36D8"/>
    <w:rsid w:val="00DE37D2"/>
    <w:rsid w:val="00DE38D8"/>
    <w:rsid w:val="00DE3D44"/>
    <w:rsid w:val="00DE3D8D"/>
    <w:rsid w:val="00DE3E24"/>
    <w:rsid w:val="00DE409D"/>
    <w:rsid w:val="00DE40B3"/>
    <w:rsid w:val="00DE442A"/>
    <w:rsid w:val="00DE495C"/>
    <w:rsid w:val="00DE49E9"/>
    <w:rsid w:val="00DE49FF"/>
    <w:rsid w:val="00DE4D56"/>
    <w:rsid w:val="00DE4DAA"/>
    <w:rsid w:val="00DE5125"/>
    <w:rsid w:val="00DE5548"/>
    <w:rsid w:val="00DE55E6"/>
    <w:rsid w:val="00DE58CD"/>
    <w:rsid w:val="00DE6488"/>
    <w:rsid w:val="00DE64F1"/>
    <w:rsid w:val="00DE6658"/>
    <w:rsid w:val="00DE6A5B"/>
    <w:rsid w:val="00DE6E13"/>
    <w:rsid w:val="00DE6E15"/>
    <w:rsid w:val="00DE6E9F"/>
    <w:rsid w:val="00DE71C7"/>
    <w:rsid w:val="00DE7439"/>
    <w:rsid w:val="00DE7921"/>
    <w:rsid w:val="00DE7FCC"/>
    <w:rsid w:val="00DF0009"/>
    <w:rsid w:val="00DF01E5"/>
    <w:rsid w:val="00DF06C9"/>
    <w:rsid w:val="00DF07EA"/>
    <w:rsid w:val="00DF08AE"/>
    <w:rsid w:val="00DF08CF"/>
    <w:rsid w:val="00DF0A0B"/>
    <w:rsid w:val="00DF0F81"/>
    <w:rsid w:val="00DF12C4"/>
    <w:rsid w:val="00DF141D"/>
    <w:rsid w:val="00DF1555"/>
    <w:rsid w:val="00DF17CC"/>
    <w:rsid w:val="00DF1802"/>
    <w:rsid w:val="00DF1A24"/>
    <w:rsid w:val="00DF1A46"/>
    <w:rsid w:val="00DF21EF"/>
    <w:rsid w:val="00DF21F3"/>
    <w:rsid w:val="00DF224F"/>
    <w:rsid w:val="00DF2577"/>
    <w:rsid w:val="00DF28C0"/>
    <w:rsid w:val="00DF2A3A"/>
    <w:rsid w:val="00DF2ADC"/>
    <w:rsid w:val="00DF2B42"/>
    <w:rsid w:val="00DF2C86"/>
    <w:rsid w:val="00DF307A"/>
    <w:rsid w:val="00DF315A"/>
    <w:rsid w:val="00DF3288"/>
    <w:rsid w:val="00DF331D"/>
    <w:rsid w:val="00DF3660"/>
    <w:rsid w:val="00DF3698"/>
    <w:rsid w:val="00DF36A0"/>
    <w:rsid w:val="00DF38B9"/>
    <w:rsid w:val="00DF3B29"/>
    <w:rsid w:val="00DF3C07"/>
    <w:rsid w:val="00DF3D42"/>
    <w:rsid w:val="00DF3DCD"/>
    <w:rsid w:val="00DF3E31"/>
    <w:rsid w:val="00DF3E3A"/>
    <w:rsid w:val="00DF4078"/>
    <w:rsid w:val="00DF416B"/>
    <w:rsid w:val="00DF4388"/>
    <w:rsid w:val="00DF44CF"/>
    <w:rsid w:val="00DF455E"/>
    <w:rsid w:val="00DF456A"/>
    <w:rsid w:val="00DF4675"/>
    <w:rsid w:val="00DF476B"/>
    <w:rsid w:val="00DF48C9"/>
    <w:rsid w:val="00DF4993"/>
    <w:rsid w:val="00DF49F8"/>
    <w:rsid w:val="00DF4C63"/>
    <w:rsid w:val="00DF4FDB"/>
    <w:rsid w:val="00DF4FF8"/>
    <w:rsid w:val="00DF51A7"/>
    <w:rsid w:val="00DF5258"/>
    <w:rsid w:val="00DF538F"/>
    <w:rsid w:val="00DF55A3"/>
    <w:rsid w:val="00DF6013"/>
    <w:rsid w:val="00DF605B"/>
    <w:rsid w:val="00DF6073"/>
    <w:rsid w:val="00DF60CA"/>
    <w:rsid w:val="00DF60ED"/>
    <w:rsid w:val="00DF6120"/>
    <w:rsid w:val="00DF61B5"/>
    <w:rsid w:val="00DF6272"/>
    <w:rsid w:val="00DF649D"/>
    <w:rsid w:val="00DF6776"/>
    <w:rsid w:val="00DF6804"/>
    <w:rsid w:val="00DF68AA"/>
    <w:rsid w:val="00DF6C66"/>
    <w:rsid w:val="00DF6E61"/>
    <w:rsid w:val="00DF6EC0"/>
    <w:rsid w:val="00DF7080"/>
    <w:rsid w:val="00DF7247"/>
    <w:rsid w:val="00DF72AD"/>
    <w:rsid w:val="00DF72D3"/>
    <w:rsid w:val="00DF7348"/>
    <w:rsid w:val="00DF7716"/>
    <w:rsid w:val="00DF77DB"/>
    <w:rsid w:val="00DF7803"/>
    <w:rsid w:val="00DF7858"/>
    <w:rsid w:val="00DF7C50"/>
    <w:rsid w:val="00DF7D40"/>
    <w:rsid w:val="00DF7DAC"/>
    <w:rsid w:val="00E00000"/>
    <w:rsid w:val="00E0021D"/>
    <w:rsid w:val="00E0038B"/>
    <w:rsid w:val="00E0043A"/>
    <w:rsid w:val="00E00624"/>
    <w:rsid w:val="00E00DA9"/>
    <w:rsid w:val="00E00EDD"/>
    <w:rsid w:val="00E0177E"/>
    <w:rsid w:val="00E01787"/>
    <w:rsid w:val="00E018AA"/>
    <w:rsid w:val="00E0191A"/>
    <w:rsid w:val="00E019B9"/>
    <w:rsid w:val="00E01ACE"/>
    <w:rsid w:val="00E01D40"/>
    <w:rsid w:val="00E02625"/>
    <w:rsid w:val="00E02639"/>
    <w:rsid w:val="00E02DA9"/>
    <w:rsid w:val="00E02DEB"/>
    <w:rsid w:val="00E0303C"/>
    <w:rsid w:val="00E031DF"/>
    <w:rsid w:val="00E03216"/>
    <w:rsid w:val="00E03391"/>
    <w:rsid w:val="00E0378D"/>
    <w:rsid w:val="00E03835"/>
    <w:rsid w:val="00E03929"/>
    <w:rsid w:val="00E03A73"/>
    <w:rsid w:val="00E03EE0"/>
    <w:rsid w:val="00E040FD"/>
    <w:rsid w:val="00E042EC"/>
    <w:rsid w:val="00E044E7"/>
    <w:rsid w:val="00E044EE"/>
    <w:rsid w:val="00E0460D"/>
    <w:rsid w:val="00E04628"/>
    <w:rsid w:val="00E0473F"/>
    <w:rsid w:val="00E04C8E"/>
    <w:rsid w:val="00E04D3E"/>
    <w:rsid w:val="00E04E05"/>
    <w:rsid w:val="00E0547C"/>
    <w:rsid w:val="00E05672"/>
    <w:rsid w:val="00E056E9"/>
    <w:rsid w:val="00E0574E"/>
    <w:rsid w:val="00E05C81"/>
    <w:rsid w:val="00E05DA9"/>
    <w:rsid w:val="00E06635"/>
    <w:rsid w:val="00E067C2"/>
    <w:rsid w:val="00E0680B"/>
    <w:rsid w:val="00E0680C"/>
    <w:rsid w:val="00E069D6"/>
    <w:rsid w:val="00E06A2A"/>
    <w:rsid w:val="00E06FFB"/>
    <w:rsid w:val="00E07020"/>
    <w:rsid w:val="00E07111"/>
    <w:rsid w:val="00E07195"/>
    <w:rsid w:val="00E074EF"/>
    <w:rsid w:val="00E076B5"/>
    <w:rsid w:val="00E078DE"/>
    <w:rsid w:val="00E07A75"/>
    <w:rsid w:val="00E07C65"/>
    <w:rsid w:val="00E07D82"/>
    <w:rsid w:val="00E07F6B"/>
    <w:rsid w:val="00E07F96"/>
    <w:rsid w:val="00E10001"/>
    <w:rsid w:val="00E10427"/>
    <w:rsid w:val="00E106A1"/>
    <w:rsid w:val="00E106FF"/>
    <w:rsid w:val="00E1076A"/>
    <w:rsid w:val="00E1088D"/>
    <w:rsid w:val="00E10999"/>
    <w:rsid w:val="00E10A88"/>
    <w:rsid w:val="00E10B76"/>
    <w:rsid w:val="00E10D7D"/>
    <w:rsid w:val="00E11084"/>
    <w:rsid w:val="00E111A4"/>
    <w:rsid w:val="00E11263"/>
    <w:rsid w:val="00E112E0"/>
    <w:rsid w:val="00E1178E"/>
    <w:rsid w:val="00E117E5"/>
    <w:rsid w:val="00E11946"/>
    <w:rsid w:val="00E11988"/>
    <w:rsid w:val="00E11A8D"/>
    <w:rsid w:val="00E11B9D"/>
    <w:rsid w:val="00E120CE"/>
    <w:rsid w:val="00E121E9"/>
    <w:rsid w:val="00E1229C"/>
    <w:rsid w:val="00E12723"/>
    <w:rsid w:val="00E128C9"/>
    <w:rsid w:val="00E12F3E"/>
    <w:rsid w:val="00E130B6"/>
    <w:rsid w:val="00E1315A"/>
    <w:rsid w:val="00E13295"/>
    <w:rsid w:val="00E1332B"/>
    <w:rsid w:val="00E133C4"/>
    <w:rsid w:val="00E134DD"/>
    <w:rsid w:val="00E13A59"/>
    <w:rsid w:val="00E13CBC"/>
    <w:rsid w:val="00E13CEA"/>
    <w:rsid w:val="00E14074"/>
    <w:rsid w:val="00E14244"/>
    <w:rsid w:val="00E142B1"/>
    <w:rsid w:val="00E142C4"/>
    <w:rsid w:val="00E143B9"/>
    <w:rsid w:val="00E1449A"/>
    <w:rsid w:val="00E1465A"/>
    <w:rsid w:val="00E14AB6"/>
    <w:rsid w:val="00E14BE2"/>
    <w:rsid w:val="00E14C35"/>
    <w:rsid w:val="00E15526"/>
    <w:rsid w:val="00E15527"/>
    <w:rsid w:val="00E155BF"/>
    <w:rsid w:val="00E156ED"/>
    <w:rsid w:val="00E159A4"/>
    <w:rsid w:val="00E15C1A"/>
    <w:rsid w:val="00E15C5F"/>
    <w:rsid w:val="00E15CC7"/>
    <w:rsid w:val="00E15EAB"/>
    <w:rsid w:val="00E15FB7"/>
    <w:rsid w:val="00E15FC9"/>
    <w:rsid w:val="00E16103"/>
    <w:rsid w:val="00E161CE"/>
    <w:rsid w:val="00E16211"/>
    <w:rsid w:val="00E167A5"/>
    <w:rsid w:val="00E167E2"/>
    <w:rsid w:val="00E16AE5"/>
    <w:rsid w:val="00E16C21"/>
    <w:rsid w:val="00E16E02"/>
    <w:rsid w:val="00E1715B"/>
    <w:rsid w:val="00E17374"/>
    <w:rsid w:val="00E173CC"/>
    <w:rsid w:val="00E17458"/>
    <w:rsid w:val="00E1765B"/>
    <w:rsid w:val="00E17672"/>
    <w:rsid w:val="00E17B3F"/>
    <w:rsid w:val="00E17B42"/>
    <w:rsid w:val="00E17C0D"/>
    <w:rsid w:val="00E17D44"/>
    <w:rsid w:val="00E17F36"/>
    <w:rsid w:val="00E200C2"/>
    <w:rsid w:val="00E201BE"/>
    <w:rsid w:val="00E206A9"/>
    <w:rsid w:val="00E20B3E"/>
    <w:rsid w:val="00E20B74"/>
    <w:rsid w:val="00E20B8C"/>
    <w:rsid w:val="00E20C3D"/>
    <w:rsid w:val="00E20E81"/>
    <w:rsid w:val="00E20F3D"/>
    <w:rsid w:val="00E20F8E"/>
    <w:rsid w:val="00E2112C"/>
    <w:rsid w:val="00E21585"/>
    <w:rsid w:val="00E216AB"/>
    <w:rsid w:val="00E21704"/>
    <w:rsid w:val="00E21808"/>
    <w:rsid w:val="00E21A74"/>
    <w:rsid w:val="00E21C08"/>
    <w:rsid w:val="00E21CE6"/>
    <w:rsid w:val="00E22048"/>
    <w:rsid w:val="00E22206"/>
    <w:rsid w:val="00E229F8"/>
    <w:rsid w:val="00E22ABF"/>
    <w:rsid w:val="00E22B0D"/>
    <w:rsid w:val="00E23121"/>
    <w:rsid w:val="00E233FB"/>
    <w:rsid w:val="00E23411"/>
    <w:rsid w:val="00E23724"/>
    <w:rsid w:val="00E23B87"/>
    <w:rsid w:val="00E23D5E"/>
    <w:rsid w:val="00E246DE"/>
    <w:rsid w:val="00E24A1E"/>
    <w:rsid w:val="00E24FE1"/>
    <w:rsid w:val="00E25248"/>
    <w:rsid w:val="00E25378"/>
    <w:rsid w:val="00E255CB"/>
    <w:rsid w:val="00E25924"/>
    <w:rsid w:val="00E25A13"/>
    <w:rsid w:val="00E25AA8"/>
    <w:rsid w:val="00E25E79"/>
    <w:rsid w:val="00E26024"/>
    <w:rsid w:val="00E265C2"/>
    <w:rsid w:val="00E26876"/>
    <w:rsid w:val="00E26936"/>
    <w:rsid w:val="00E26A13"/>
    <w:rsid w:val="00E26C02"/>
    <w:rsid w:val="00E26C91"/>
    <w:rsid w:val="00E26DE7"/>
    <w:rsid w:val="00E26DEA"/>
    <w:rsid w:val="00E27029"/>
    <w:rsid w:val="00E2717A"/>
    <w:rsid w:val="00E271B2"/>
    <w:rsid w:val="00E2738B"/>
    <w:rsid w:val="00E2744D"/>
    <w:rsid w:val="00E27575"/>
    <w:rsid w:val="00E275EA"/>
    <w:rsid w:val="00E27711"/>
    <w:rsid w:val="00E27A05"/>
    <w:rsid w:val="00E27B19"/>
    <w:rsid w:val="00E27CDB"/>
    <w:rsid w:val="00E27F41"/>
    <w:rsid w:val="00E300D7"/>
    <w:rsid w:val="00E30425"/>
    <w:rsid w:val="00E306BE"/>
    <w:rsid w:val="00E307F1"/>
    <w:rsid w:val="00E3080A"/>
    <w:rsid w:val="00E30931"/>
    <w:rsid w:val="00E30CF3"/>
    <w:rsid w:val="00E30F70"/>
    <w:rsid w:val="00E31155"/>
    <w:rsid w:val="00E31597"/>
    <w:rsid w:val="00E31599"/>
    <w:rsid w:val="00E319CD"/>
    <w:rsid w:val="00E31A30"/>
    <w:rsid w:val="00E31E7A"/>
    <w:rsid w:val="00E31F3E"/>
    <w:rsid w:val="00E3213B"/>
    <w:rsid w:val="00E321B7"/>
    <w:rsid w:val="00E32242"/>
    <w:rsid w:val="00E3243C"/>
    <w:rsid w:val="00E325B0"/>
    <w:rsid w:val="00E326EE"/>
    <w:rsid w:val="00E32A23"/>
    <w:rsid w:val="00E32BA4"/>
    <w:rsid w:val="00E32D9C"/>
    <w:rsid w:val="00E32E64"/>
    <w:rsid w:val="00E32F49"/>
    <w:rsid w:val="00E33251"/>
    <w:rsid w:val="00E33300"/>
    <w:rsid w:val="00E333D1"/>
    <w:rsid w:val="00E334A9"/>
    <w:rsid w:val="00E33B98"/>
    <w:rsid w:val="00E33EBC"/>
    <w:rsid w:val="00E3403C"/>
    <w:rsid w:val="00E34304"/>
    <w:rsid w:val="00E34309"/>
    <w:rsid w:val="00E34520"/>
    <w:rsid w:val="00E3471B"/>
    <w:rsid w:val="00E3472D"/>
    <w:rsid w:val="00E34E40"/>
    <w:rsid w:val="00E34E87"/>
    <w:rsid w:val="00E34F70"/>
    <w:rsid w:val="00E350DD"/>
    <w:rsid w:val="00E356D0"/>
    <w:rsid w:val="00E356FC"/>
    <w:rsid w:val="00E35995"/>
    <w:rsid w:val="00E359B9"/>
    <w:rsid w:val="00E35EF1"/>
    <w:rsid w:val="00E36051"/>
    <w:rsid w:val="00E36136"/>
    <w:rsid w:val="00E363A3"/>
    <w:rsid w:val="00E3655E"/>
    <w:rsid w:val="00E368CB"/>
    <w:rsid w:val="00E36BFD"/>
    <w:rsid w:val="00E36DA4"/>
    <w:rsid w:val="00E36DF6"/>
    <w:rsid w:val="00E36E59"/>
    <w:rsid w:val="00E37167"/>
    <w:rsid w:val="00E37362"/>
    <w:rsid w:val="00E37453"/>
    <w:rsid w:val="00E375F8"/>
    <w:rsid w:val="00E376C0"/>
    <w:rsid w:val="00E378CF"/>
    <w:rsid w:val="00E37B51"/>
    <w:rsid w:val="00E4007E"/>
    <w:rsid w:val="00E400AA"/>
    <w:rsid w:val="00E402E3"/>
    <w:rsid w:val="00E403F0"/>
    <w:rsid w:val="00E40887"/>
    <w:rsid w:val="00E40AF0"/>
    <w:rsid w:val="00E40BD5"/>
    <w:rsid w:val="00E40D74"/>
    <w:rsid w:val="00E40DAD"/>
    <w:rsid w:val="00E40FB3"/>
    <w:rsid w:val="00E410D7"/>
    <w:rsid w:val="00E4112A"/>
    <w:rsid w:val="00E4119A"/>
    <w:rsid w:val="00E411D9"/>
    <w:rsid w:val="00E412FF"/>
    <w:rsid w:val="00E4151C"/>
    <w:rsid w:val="00E417CE"/>
    <w:rsid w:val="00E41A1D"/>
    <w:rsid w:val="00E41B25"/>
    <w:rsid w:val="00E41ED6"/>
    <w:rsid w:val="00E42100"/>
    <w:rsid w:val="00E42247"/>
    <w:rsid w:val="00E42264"/>
    <w:rsid w:val="00E42319"/>
    <w:rsid w:val="00E423BA"/>
    <w:rsid w:val="00E42988"/>
    <w:rsid w:val="00E42A05"/>
    <w:rsid w:val="00E42AB6"/>
    <w:rsid w:val="00E42B86"/>
    <w:rsid w:val="00E42BC5"/>
    <w:rsid w:val="00E42CC6"/>
    <w:rsid w:val="00E42D2A"/>
    <w:rsid w:val="00E42E41"/>
    <w:rsid w:val="00E43115"/>
    <w:rsid w:val="00E4311B"/>
    <w:rsid w:val="00E432F5"/>
    <w:rsid w:val="00E4332B"/>
    <w:rsid w:val="00E43413"/>
    <w:rsid w:val="00E4350C"/>
    <w:rsid w:val="00E43AD9"/>
    <w:rsid w:val="00E43C52"/>
    <w:rsid w:val="00E43D00"/>
    <w:rsid w:val="00E43E40"/>
    <w:rsid w:val="00E43F26"/>
    <w:rsid w:val="00E440C6"/>
    <w:rsid w:val="00E44155"/>
    <w:rsid w:val="00E44247"/>
    <w:rsid w:val="00E4427C"/>
    <w:rsid w:val="00E44318"/>
    <w:rsid w:val="00E444E1"/>
    <w:rsid w:val="00E44770"/>
    <w:rsid w:val="00E44789"/>
    <w:rsid w:val="00E44803"/>
    <w:rsid w:val="00E44AAE"/>
    <w:rsid w:val="00E44BCE"/>
    <w:rsid w:val="00E44C41"/>
    <w:rsid w:val="00E44C48"/>
    <w:rsid w:val="00E44D17"/>
    <w:rsid w:val="00E44EED"/>
    <w:rsid w:val="00E451B7"/>
    <w:rsid w:val="00E4578E"/>
    <w:rsid w:val="00E45822"/>
    <w:rsid w:val="00E45AFE"/>
    <w:rsid w:val="00E45B8D"/>
    <w:rsid w:val="00E45D90"/>
    <w:rsid w:val="00E45EEC"/>
    <w:rsid w:val="00E45F91"/>
    <w:rsid w:val="00E46201"/>
    <w:rsid w:val="00E46269"/>
    <w:rsid w:val="00E46D8F"/>
    <w:rsid w:val="00E46EB9"/>
    <w:rsid w:val="00E471E3"/>
    <w:rsid w:val="00E47876"/>
    <w:rsid w:val="00E47884"/>
    <w:rsid w:val="00E47B26"/>
    <w:rsid w:val="00E47C25"/>
    <w:rsid w:val="00E506E6"/>
    <w:rsid w:val="00E507EB"/>
    <w:rsid w:val="00E50872"/>
    <w:rsid w:val="00E5091F"/>
    <w:rsid w:val="00E50F7B"/>
    <w:rsid w:val="00E51396"/>
    <w:rsid w:val="00E51398"/>
    <w:rsid w:val="00E5146F"/>
    <w:rsid w:val="00E5153F"/>
    <w:rsid w:val="00E5158A"/>
    <w:rsid w:val="00E5160F"/>
    <w:rsid w:val="00E51ABF"/>
    <w:rsid w:val="00E51B38"/>
    <w:rsid w:val="00E51DC9"/>
    <w:rsid w:val="00E5207E"/>
    <w:rsid w:val="00E52373"/>
    <w:rsid w:val="00E5265A"/>
    <w:rsid w:val="00E5287C"/>
    <w:rsid w:val="00E52C9A"/>
    <w:rsid w:val="00E530B8"/>
    <w:rsid w:val="00E53269"/>
    <w:rsid w:val="00E5339A"/>
    <w:rsid w:val="00E53458"/>
    <w:rsid w:val="00E53645"/>
    <w:rsid w:val="00E53675"/>
    <w:rsid w:val="00E53880"/>
    <w:rsid w:val="00E53A27"/>
    <w:rsid w:val="00E53A5A"/>
    <w:rsid w:val="00E53B91"/>
    <w:rsid w:val="00E53BCD"/>
    <w:rsid w:val="00E53DF7"/>
    <w:rsid w:val="00E53F40"/>
    <w:rsid w:val="00E53FF7"/>
    <w:rsid w:val="00E541BD"/>
    <w:rsid w:val="00E544EE"/>
    <w:rsid w:val="00E546D1"/>
    <w:rsid w:val="00E54A42"/>
    <w:rsid w:val="00E54B17"/>
    <w:rsid w:val="00E54B1F"/>
    <w:rsid w:val="00E54B41"/>
    <w:rsid w:val="00E54C32"/>
    <w:rsid w:val="00E55029"/>
    <w:rsid w:val="00E55289"/>
    <w:rsid w:val="00E552B9"/>
    <w:rsid w:val="00E552BF"/>
    <w:rsid w:val="00E55346"/>
    <w:rsid w:val="00E55518"/>
    <w:rsid w:val="00E555FF"/>
    <w:rsid w:val="00E55620"/>
    <w:rsid w:val="00E5562C"/>
    <w:rsid w:val="00E55755"/>
    <w:rsid w:val="00E55B53"/>
    <w:rsid w:val="00E55B9C"/>
    <w:rsid w:val="00E562C9"/>
    <w:rsid w:val="00E5653C"/>
    <w:rsid w:val="00E5658D"/>
    <w:rsid w:val="00E56593"/>
    <w:rsid w:val="00E56AA8"/>
    <w:rsid w:val="00E56AD9"/>
    <w:rsid w:val="00E56BA9"/>
    <w:rsid w:val="00E56BB3"/>
    <w:rsid w:val="00E56BEA"/>
    <w:rsid w:val="00E56EB0"/>
    <w:rsid w:val="00E56F14"/>
    <w:rsid w:val="00E5711D"/>
    <w:rsid w:val="00E57417"/>
    <w:rsid w:val="00E574C0"/>
    <w:rsid w:val="00E57574"/>
    <w:rsid w:val="00E5765E"/>
    <w:rsid w:val="00E57697"/>
    <w:rsid w:val="00E5771C"/>
    <w:rsid w:val="00E577C2"/>
    <w:rsid w:val="00E577DB"/>
    <w:rsid w:val="00E579B3"/>
    <w:rsid w:val="00E579DF"/>
    <w:rsid w:val="00E57EF5"/>
    <w:rsid w:val="00E57FE6"/>
    <w:rsid w:val="00E6001A"/>
    <w:rsid w:val="00E601F3"/>
    <w:rsid w:val="00E6028D"/>
    <w:rsid w:val="00E603CC"/>
    <w:rsid w:val="00E60462"/>
    <w:rsid w:val="00E60530"/>
    <w:rsid w:val="00E6068F"/>
    <w:rsid w:val="00E608C8"/>
    <w:rsid w:val="00E60B74"/>
    <w:rsid w:val="00E60B88"/>
    <w:rsid w:val="00E60D63"/>
    <w:rsid w:val="00E60E5C"/>
    <w:rsid w:val="00E60F84"/>
    <w:rsid w:val="00E6106F"/>
    <w:rsid w:val="00E611A5"/>
    <w:rsid w:val="00E611C8"/>
    <w:rsid w:val="00E6120E"/>
    <w:rsid w:val="00E613B8"/>
    <w:rsid w:val="00E614DB"/>
    <w:rsid w:val="00E6183F"/>
    <w:rsid w:val="00E618B2"/>
    <w:rsid w:val="00E61B86"/>
    <w:rsid w:val="00E61CD8"/>
    <w:rsid w:val="00E61F75"/>
    <w:rsid w:val="00E6200B"/>
    <w:rsid w:val="00E6235B"/>
    <w:rsid w:val="00E625E0"/>
    <w:rsid w:val="00E6278D"/>
    <w:rsid w:val="00E62B2F"/>
    <w:rsid w:val="00E62B88"/>
    <w:rsid w:val="00E62DD1"/>
    <w:rsid w:val="00E62DFB"/>
    <w:rsid w:val="00E62F88"/>
    <w:rsid w:val="00E632D0"/>
    <w:rsid w:val="00E632D8"/>
    <w:rsid w:val="00E632FD"/>
    <w:rsid w:val="00E634E0"/>
    <w:rsid w:val="00E63809"/>
    <w:rsid w:val="00E63856"/>
    <w:rsid w:val="00E638A7"/>
    <w:rsid w:val="00E6399D"/>
    <w:rsid w:val="00E63AB6"/>
    <w:rsid w:val="00E63DC0"/>
    <w:rsid w:val="00E63ED8"/>
    <w:rsid w:val="00E64087"/>
    <w:rsid w:val="00E64104"/>
    <w:rsid w:val="00E641EB"/>
    <w:rsid w:val="00E64318"/>
    <w:rsid w:val="00E645B4"/>
    <w:rsid w:val="00E64975"/>
    <w:rsid w:val="00E64AFD"/>
    <w:rsid w:val="00E64B59"/>
    <w:rsid w:val="00E64CC0"/>
    <w:rsid w:val="00E64ECA"/>
    <w:rsid w:val="00E6513A"/>
    <w:rsid w:val="00E656FD"/>
    <w:rsid w:val="00E65775"/>
    <w:rsid w:val="00E6643B"/>
    <w:rsid w:val="00E664E5"/>
    <w:rsid w:val="00E66546"/>
    <w:rsid w:val="00E6678C"/>
    <w:rsid w:val="00E667D1"/>
    <w:rsid w:val="00E6680B"/>
    <w:rsid w:val="00E66893"/>
    <w:rsid w:val="00E668CB"/>
    <w:rsid w:val="00E66927"/>
    <w:rsid w:val="00E66C9D"/>
    <w:rsid w:val="00E66ED9"/>
    <w:rsid w:val="00E66FE9"/>
    <w:rsid w:val="00E67090"/>
    <w:rsid w:val="00E672B9"/>
    <w:rsid w:val="00E673F3"/>
    <w:rsid w:val="00E67540"/>
    <w:rsid w:val="00E675DD"/>
    <w:rsid w:val="00E67BDE"/>
    <w:rsid w:val="00E7003F"/>
    <w:rsid w:val="00E70461"/>
    <w:rsid w:val="00E705C1"/>
    <w:rsid w:val="00E70646"/>
    <w:rsid w:val="00E70709"/>
    <w:rsid w:val="00E7070D"/>
    <w:rsid w:val="00E7079D"/>
    <w:rsid w:val="00E70AA4"/>
    <w:rsid w:val="00E70BF7"/>
    <w:rsid w:val="00E70CCE"/>
    <w:rsid w:val="00E70CED"/>
    <w:rsid w:val="00E70E44"/>
    <w:rsid w:val="00E71302"/>
    <w:rsid w:val="00E7148C"/>
    <w:rsid w:val="00E71543"/>
    <w:rsid w:val="00E715A8"/>
    <w:rsid w:val="00E716A0"/>
    <w:rsid w:val="00E71743"/>
    <w:rsid w:val="00E71886"/>
    <w:rsid w:val="00E719B7"/>
    <w:rsid w:val="00E71AFD"/>
    <w:rsid w:val="00E71CA1"/>
    <w:rsid w:val="00E71D1B"/>
    <w:rsid w:val="00E71E35"/>
    <w:rsid w:val="00E71E6A"/>
    <w:rsid w:val="00E72007"/>
    <w:rsid w:val="00E7242E"/>
    <w:rsid w:val="00E724BF"/>
    <w:rsid w:val="00E725B1"/>
    <w:rsid w:val="00E725C9"/>
    <w:rsid w:val="00E72C4A"/>
    <w:rsid w:val="00E72DB7"/>
    <w:rsid w:val="00E72FFD"/>
    <w:rsid w:val="00E73075"/>
    <w:rsid w:val="00E733B8"/>
    <w:rsid w:val="00E73661"/>
    <w:rsid w:val="00E736F8"/>
    <w:rsid w:val="00E73788"/>
    <w:rsid w:val="00E7379B"/>
    <w:rsid w:val="00E73A74"/>
    <w:rsid w:val="00E73C58"/>
    <w:rsid w:val="00E73EAC"/>
    <w:rsid w:val="00E7405B"/>
    <w:rsid w:val="00E74248"/>
    <w:rsid w:val="00E74541"/>
    <w:rsid w:val="00E7484F"/>
    <w:rsid w:val="00E74E1A"/>
    <w:rsid w:val="00E74E83"/>
    <w:rsid w:val="00E7530A"/>
    <w:rsid w:val="00E75455"/>
    <w:rsid w:val="00E755C8"/>
    <w:rsid w:val="00E75741"/>
    <w:rsid w:val="00E7583D"/>
    <w:rsid w:val="00E75A01"/>
    <w:rsid w:val="00E75A6B"/>
    <w:rsid w:val="00E75D09"/>
    <w:rsid w:val="00E75D2A"/>
    <w:rsid w:val="00E75E3D"/>
    <w:rsid w:val="00E75F18"/>
    <w:rsid w:val="00E76024"/>
    <w:rsid w:val="00E7603D"/>
    <w:rsid w:val="00E76746"/>
    <w:rsid w:val="00E76B16"/>
    <w:rsid w:val="00E76C24"/>
    <w:rsid w:val="00E76EA4"/>
    <w:rsid w:val="00E77017"/>
    <w:rsid w:val="00E771F4"/>
    <w:rsid w:val="00E7741B"/>
    <w:rsid w:val="00E77A33"/>
    <w:rsid w:val="00E77A50"/>
    <w:rsid w:val="00E77B05"/>
    <w:rsid w:val="00E77CB5"/>
    <w:rsid w:val="00E77E55"/>
    <w:rsid w:val="00E79009"/>
    <w:rsid w:val="00E800F4"/>
    <w:rsid w:val="00E80778"/>
    <w:rsid w:val="00E809B4"/>
    <w:rsid w:val="00E80A09"/>
    <w:rsid w:val="00E80AB0"/>
    <w:rsid w:val="00E80B79"/>
    <w:rsid w:val="00E80C14"/>
    <w:rsid w:val="00E80C5B"/>
    <w:rsid w:val="00E80D5E"/>
    <w:rsid w:val="00E80EEA"/>
    <w:rsid w:val="00E80F2C"/>
    <w:rsid w:val="00E80F9A"/>
    <w:rsid w:val="00E81278"/>
    <w:rsid w:val="00E8136F"/>
    <w:rsid w:val="00E815E3"/>
    <w:rsid w:val="00E81811"/>
    <w:rsid w:val="00E81E90"/>
    <w:rsid w:val="00E823A7"/>
    <w:rsid w:val="00E823B5"/>
    <w:rsid w:val="00E8260C"/>
    <w:rsid w:val="00E829B7"/>
    <w:rsid w:val="00E82D9D"/>
    <w:rsid w:val="00E82EB1"/>
    <w:rsid w:val="00E835EF"/>
    <w:rsid w:val="00E83691"/>
    <w:rsid w:val="00E8373E"/>
    <w:rsid w:val="00E83A14"/>
    <w:rsid w:val="00E83AD7"/>
    <w:rsid w:val="00E83D04"/>
    <w:rsid w:val="00E83E26"/>
    <w:rsid w:val="00E841E7"/>
    <w:rsid w:val="00E842F7"/>
    <w:rsid w:val="00E84336"/>
    <w:rsid w:val="00E84450"/>
    <w:rsid w:val="00E8456F"/>
    <w:rsid w:val="00E84588"/>
    <w:rsid w:val="00E84AAC"/>
    <w:rsid w:val="00E84D45"/>
    <w:rsid w:val="00E84DBF"/>
    <w:rsid w:val="00E84E1A"/>
    <w:rsid w:val="00E8527E"/>
    <w:rsid w:val="00E8540F"/>
    <w:rsid w:val="00E8556B"/>
    <w:rsid w:val="00E857F7"/>
    <w:rsid w:val="00E85D8E"/>
    <w:rsid w:val="00E85E39"/>
    <w:rsid w:val="00E85FF3"/>
    <w:rsid w:val="00E8633D"/>
    <w:rsid w:val="00E86368"/>
    <w:rsid w:val="00E863B3"/>
    <w:rsid w:val="00E863BA"/>
    <w:rsid w:val="00E86597"/>
    <w:rsid w:val="00E86BE5"/>
    <w:rsid w:val="00E86CA5"/>
    <w:rsid w:val="00E86EB2"/>
    <w:rsid w:val="00E86EB4"/>
    <w:rsid w:val="00E86F97"/>
    <w:rsid w:val="00E86FD3"/>
    <w:rsid w:val="00E87006"/>
    <w:rsid w:val="00E87221"/>
    <w:rsid w:val="00E87269"/>
    <w:rsid w:val="00E873C1"/>
    <w:rsid w:val="00E873C7"/>
    <w:rsid w:val="00E8745B"/>
    <w:rsid w:val="00E87940"/>
    <w:rsid w:val="00E87A9B"/>
    <w:rsid w:val="00E87C4F"/>
    <w:rsid w:val="00E87F5D"/>
    <w:rsid w:val="00E90195"/>
    <w:rsid w:val="00E90271"/>
    <w:rsid w:val="00E9037A"/>
    <w:rsid w:val="00E903E3"/>
    <w:rsid w:val="00E905F3"/>
    <w:rsid w:val="00E90783"/>
    <w:rsid w:val="00E907C5"/>
    <w:rsid w:val="00E908C8"/>
    <w:rsid w:val="00E909B0"/>
    <w:rsid w:val="00E90EE4"/>
    <w:rsid w:val="00E90F57"/>
    <w:rsid w:val="00E910D9"/>
    <w:rsid w:val="00E9118D"/>
    <w:rsid w:val="00E9121E"/>
    <w:rsid w:val="00E9140B"/>
    <w:rsid w:val="00E91717"/>
    <w:rsid w:val="00E91733"/>
    <w:rsid w:val="00E91E9E"/>
    <w:rsid w:val="00E91F81"/>
    <w:rsid w:val="00E9207C"/>
    <w:rsid w:val="00E922C1"/>
    <w:rsid w:val="00E924EF"/>
    <w:rsid w:val="00E92668"/>
    <w:rsid w:val="00E927AB"/>
    <w:rsid w:val="00E931B4"/>
    <w:rsid w:val="00E93281"/>
    <w:rsid w:val="00E93352"/>
    <w:rsid w:val="00E9344D"/>
    <w:rsid w:val="00E935ED"/>
    <w:rsid w:val="00E93CE4"/>
    <w:rsid w:val="00E93E89"/>
    <w:rsid w:val="00E940F0"/>
    <w:rsid w:val="00E9431A"/>
    <w:rsid w:val="00E94580"/>
    <w:rsid w:val="00E946AB"/>
    <w:rsid w:val="00E946E8"/>
    <w:rsid w:val="00E9497B"/>
    <w:rsid w:val="00E94B72"/>
    <w:rsid w:val="00E94BBC"/>
    <w:rsid w:val="00E94E6C"/>
    <w:rsid w:val="00E94EF6"/>
    <w:rsid w:val="00E94F59"/>
    <w:rsid w:val="00E94F76"/>
    <w:rsid w:val="00E9514C"/>
    <w:rsid w:val="00E95333"/>
    <w:rsid w:val="00E9546F"/>
    <w:rsid w:val="00E95491"/>
    <w:rsid w:val="00E95629"/>
    <w:rsid w:val="00E95D70"/>
    <w:rsid w:val="00E95FC6"/>
    <w:rsid w:val="00E964DF"/>
    <w:rsid w:val="00E9654D"/>
    <w:rsid w:val="00E96673"/>
    <w:rsid w:val="00E96B45"/>
    <w:rsid w:val="00E96D8D"/>
    <w:rsid w:val="00E972B7"/>
    <w:rsid w:val="00E975AB"/>
    <w:rsid w:val="00E97808"/>
    <w:rsid w:val="00E9786A"/>
    <w:rsid w:val="00E97A71"/>
    <w:rsid w:val="00E97AD3"/>
    <w:rsid w:val="00E97C2A"/>
    <w:rsid w:val="00E97CA1"/>
    <w:rsid w:val="00E97E34"/>
    <w:rsid w:val="00EA0134"/>
    <w:rsid w:val="00EA0152"/>
    <w:rsid w:val="00EA0345"/>
    <w:rsid w:val="00EA048A"/>
    <w:rsid w:val="00EA0603"/>
    <w:rsid w:val="00EA0A0B"/>
    <w:rsid w:val="00EA0DB7"/>
    <w:rsid w:val="00EA0E9F"/>
    <w:rsid w:val="00EA0F0C"/>
    <w:rsid w:val="00EA1183"/>
    <w:rsid w:val="00EA16A9"/>
    <w:rsid w:val="00EA18C5"/>
    <w:rsid w:val="00EA190D"/>
    <w:rsid w:val="00EA1A41"/>
    <w:rsid w:val="00EA1D16"/>
    <w:rsid w:val="00EA1F74"/>
    <w:rsid w:val="00EA222F"/>
    <w:rsid w:val="00EA22F2"/>
    <w:rsid w:val="00EA25FD"/>
    <w:rsid w:val="00EA29EE"/>
    <w:rsid w:val="00EA2A18"/>
    <w:rsid w:val="00EA2BD2"/>
    <w:rsid w:val="00EA2E1D"/>
    <w:rsid w:val="00EA2FDB"/>
    <w:rsid w:val="00EA318C"/>
    <w:rsid w:val="00EA3232"/>
    <w:rsid w:val="00EA35CF"/>
    <w:rsid w:val="00EA3612"/>
    <w:rsid w:val="00EA370A"/>
    <w:rsid w:val="00EA391E"/>
    <w:rsid w:val="00EA39C2"/>
    <w:rsid w:val="00EA3AC5"/>
    <w:rsid w:val="00EA3B9B"/>
    <w:rsid w:val="00EA3C2B"/>
    <w:rsid w:val="00EA3C5E"/>
    <w:rsid w:val="00EA3F13"/>
    <w:rsid w:val="00EA3F34"/>
    <w:rsid w:val="00EA4075"/>
    <w:rsid w:val="00EA4310"/>
    <w:rsid w:val="00EA441E"/>
    <w:rsid w:val="00EA443E"/>
    <w:rsid w:val="00EA4467"/>
    <w:rsid w:val="00EA4479"/>
    <w:rsid w:val="00EA4946"/>
    <w:rsid w:val="00EA49DF"/>
    <w:rsid w:val="00EA4B38"/>
    <w:rsid w:val="00EA4D32"/>
    <w:rsid w:val="00EA4F14"/>
    <w:rsid w:val="00EA518E"/>
    <w:rsid w:val="00EA555D"/>
    <w:rsid w:val="00EA56F5"/>
    <w:rsid w:val="00EA57CF"/>
    <w:rsid w:val="00EA5B4A"/>
    <w:rsid w:val="00EA635B"/>
    <w:rsid w:val="00EA64FB"/>
    <w:rsid w:val="00EA6597"/>
    <w:rsid w:val="00EA65FB"/>
    <w:rsid w:val="00EA667C"/>
    <w:rsid w:val="00EA66C8"/>
    <w:rsid w:val="00EA6811"/>
    <w:rsid w:val="00EA68A8"/>
    <w:rsid w:val="00EA68E7"/>
    <w:rsid w:val="00EA6909"/>
    <w:rsid w:val="00EA6B15"/>
    <w:rsid w:val="00EA6D2D"/>
    <w:rsid w:val="00EA6DB1"/>
    <w:rsid w:val="00EA6EA9"/>
    <w:rsid w:val="00EA6EAA"/>
    <w:rsid w:val="00EA7245"/>
    <w:rsid w:val="00EA7594"/>
    <w:rsid w:val="00EA7C87"/>
    <w:rsid w:val="00EA7D18"/>
    <w:rsid w:val="00EA7EF7"/>
    <w:rsid w:val="00EB061D"/>
    <w:rsid w:val="00EB0956"/>
    <w:rsid w:val="00EB0980"/>
    <w:rsid w:val="00EB0BEA"/>
    <w:rsid w:val="00EB0C1B"/>
    <w:rsid w:val="00EB0C39"/>
    <w:rsid w:val="00EB0E8B"/>
    <w:rsid w:val="00EB0F81"/>
    <w:rsid w:val="00EB11D5"/>
    <w:rsid w:val="00EB157F"/>
    <w:rsid w:val="00EB1744"/>
    <w:rsid w:val="00EB1848"/>
    <w:rsid w:val="00EB19FC"/>
    <w:rsid w:val="00EB1C9E"/>
    <w:rsid w:val="00EB1CB2"/>
    <w:rsid w:val="00EB2182"/>
    <w:rsid w:val="00EB2183"/>
    <w:rsid w:val="00EB2235"/>
    <w:rsid w:val="00EB2633"/>
    <w:rsid w:val="00EB2800"/>
    <w:rsid w:val="00EB28DD"/>
    <w:rsid w:val="00EB2DC6"/>
    <w:rsid w:val="00EB2EB0"/>
    <w:rsid w:val="00EB302B"/>
    <w:rsid w:val="00EB3032"/>
    <w:rsid w:val="00EB35A8"/>
    <w:rsid w:val="00EB3814"/>
    <w:rsid w:val="00EB39D4"/>
    <w:rsid w:val="00EB3AB0"/>
    <w:rsid w:val="00EB3D99"/>
    <w:rsid w:val="00EB3DC6"/>
    <w:rsid w:val="00EB43E7"/>
    <w:rsid w:val="00EB471D"/>
    <w:rsid w:val="00EB476E"/>
    <w:rsid w:val="00EB48AD"/>
    <w:rsid w:val="00EB4B01"/>
    <w:rsid w:val="00EB4C01"/>
    <w:rsid w:val="00EB4C54"/>
    <w:rsid w:val="00EB4C7C"/>
    <w:rsid w:val="00EB4CD5"/>
    <w:rsid w:val="00EB4CDF"/>
    <w:rsid w:val="00EB4F43"/>
    <w:rsid w:val="00EB5123"/>
    <w:rsid w:val="00EB5565"/>
    <w:rsid w:val="00EB55EB"/>
    <w:rsid w:val="00EB5748"/>
    <w:rsid w:val="00EB5854"/>
    <w:rsid w:val="00EB5CD2"/>
    <w:rsid w:val="00EB62A5"/>
    <w:rsid w:val="00EB6413"/>
    <w:rsid w:val="00EB6430"/>
    <w:rsid w:val="00EB6437"/>
    <w:rsid w:val="00EB6486"/>
    <w:rsid w:val="00EB6594"/>
    <w:rsid w:val="00EB67BE"/>
    <w:rsid w:val="00EB68A7"/>
    <w:rsid w:val="00EB6973"/>
    <w:rsid w:val="00EB6C51"/>
    <w:rsid w:val="00EB6C93"/>
    <w:rsid w:val="00EB7001"/>
    <w:rsid w:val="00EB72E7"/>
    <w:rsid w:val="00EB73ED"/>
    <w:rsid w:val="00EB7559"/>
    <w:rsid w:val="00EB786E"/>
    <w:rsid w:val="00EB7C61"/>
    <w:rsid w:val="00EB7F83"/>
    <w:rsid w:val="00EC0086"/>
    <w:rsid w:val="00EC0265"/>
    <w:rsid w:val="00EC055B"/>
    <w:rsid w:val="00EC0698"/>
    <w:rsid w:val="00EC08B9"/>
    <w:rsid w:val="00EC0902"/>
    <w:rsid w:val="00EC099A"/>
    <w:rsid w:val="00EC0A48"/>
    <w:rsid w:val="00EC0B40"/>
    <w:rsid w:val="00EC0C6D"/>
    <w:rsid w:val="00EC0CEA"/>
    <w:rsid w:val="00EC0F0E"/>
    <w:rsid w:val="00EC0F43"/>
    <w:rsid w:val="00EC1186"/>
    <w:rsid w:val="00EC137B"/>
    <w:rsid w:val="00EC13ED"/>
    <w:rsid w:val="00EC1531"/>
    <w:rsid w:val="00EC1859"/>
    <w:rsid w:val="00EC1860"/>
    <w:rsid w:val="00EC1FDF"/>
    <w:rsid w:val="00EC203D"/>
    <w:rsid w:val="00EC203F"/>
    <w:rsid w:val="00EC2A33"/>
    <w:rsid w:val="00EC2AED"/>
    <w:rsid w:val="00EC2BAA"/>
    <w:rsid w:val="00EC2DA2"/>
    <w:rsid w:val="00EC2E2E"/>
    <w:rsid w:val="00EC3205"/>
    <w:rsid w:val="00EC3957"/>
    <w:rsid w:val="00EC3DC7"/>
    <w:rsid w:val="00EC3F90"/>
    <w:rsid w:val="00EC4062"/>
    <w:rsid w:val="00EC4197"/>
    <w:rsid w:val="00EC4213"/>
    <w:rsid w:val="00EC4408"/>
    <w:rsid w:val="00EC45D8"/>
    <w:rsid w:val="00EC469A"/>
    <w:rsid w:val="00EC4858"/>
    <w:rsid w:val="00EC4A27"/>
    <w:rsid w:val="00EC4B53"/>
    <w:rsid w:val="00EC50A3"/>
    <w:rsid w:val="00EC540E"/>
    <w:rsid w:val="00EC5444"/>
    <w:rsid w:val="00EC5697"/>
    <w:rsid w:val="00EC575B"/>
    <w:rsid w:val="00EC5A3F"/>
    <w:rsid w:val="00EC5B53"/>
    <w:rsid w:val="00EC5B75"/>
    <w:rsid w:val="00EC5C82"/>
    <w:rsid w:val="00EC5D83"/>
    <w:rsid w:val="00EC60D1"/>
    <w:rsid w:val="00EC62A4"/>
    <w:rsid w:val="00EC64A3"/>
    <w:rsid w:val="00EC64CE"/>
    <w:rsid w:val="00EC650C"/>
    <w:rsid w:val="00EC69B1"/>
    <w:rsid w:val="00EC6CFD"/>
    <w:rsid w:val="00EC6D1D"/>
    <w:rsid w:val="00EC7151"/>
    <w:rsid w:val="00EC71C1"/>
    <w:rsid w:val="00EC7378"/>
    <w:rsid w:val="00EC75DB"/>
    <w:rsid w:val="00EC7B84"/>
    <w:rsid w:val="00EC7C82"/>
    <w:rsid w:val="00EC7EE8"/>
    <w:rsid w:val="00EC7F73"/>
    <w:rsid w:val="00ED0294"/>
    <w:rsid w:val="00ED0409"/>
    <w:rsid w:val="00ED07CF"/>
    <w:rsid w:val="00ED0A11"/>
    <w:rsid w:val="00ED0C18"/>
    <w:rsid w:val="00ED0C4B"/>
    <w:rsid w:val="00ED0DAE"/>
    <w:rsid w:val="00ED0E67"/>
    <w:rsid w:val="00ED111A"/>
    <w:rsid w:val="00ED1211"/>
    <w:rsid w:val="00ED12D2"/>
    <w:rsid w:val="00ED12F0"/>
    <w:rsid w:val="00ED1471"/>
    <w:rsid w:val="00ED1855"/>
    <w:rsid w:val="00ED1D4D"/>
    <w:rsid w:val="00ED22A4"/>
    <w:rsid w:val="00ED2B2D"/>
    <w:rsid w:val="00ED2BCA"/>
    <w:rsid w:val="00ED2D97"/>
    <w:rsid w:val="00ED2E4F"/>
    <w:rsid w:val="00ED2FCE"/>
    <w:rsid w:val="00ED332A"/>
    <w:rsid w:val="00ED33B0"/>
    <w:rsid w:val="00ED352C"/>
    <w:rsid w:val="00ED35B6"/>
    <w:rsid w:val="00ED3627"/>
    <w:rsid w:val="00ED362A"/>
    <w:rsid w:val="00ED3900"/>
    <w:rsid w:val="00ED3A53"/>
    <w:rsid w:val="00ED3EB4"/>
    <w:rsid w:val="00ED4056"/>
    <w:rsid w:val="00ED4062"/>
    <w:rsid w:val="00ED4555"/>
    <w:rsid w:val="00ED47E5"/>
    <w:rsid w:val="00ED4804"/>
    <w:rsid w:val="00ED4882"/>
    <w:rsid w:val="00ED4889"/>
    <w:rsid w:val="00ED4A64"/>
    <w:rsid w:val="00ED4B2A"/>
    <w:rsid w:val="00ED4C50"/>
    <w:rsid w:val="00ED5093"/>
    <w:rsid w:val="00ED5137"/>
    <w:rsid w:val="00ED52CD"/>
    <w:rsid w:val="00ED5518"/>
    <w:rsid w:val="00ED5683"/>
    <w:rsid w:val="00ED56A8"/>
    <w:rsid w:val="00ED5B61"/>
    <w:rsid w:val="00ED5C38"/>
    <w:rsid w:val="00ED5C49"/>
    <w:rsid w:val="00ED615B"/>
    <w:rsid w:val="00ED6230"/>
    <w:rsid w:val="00ED663A"/>
    <w:rsid w:val="00ED674B"/>
    <w:rsid w:val="00ED6920"/>
    <w:rsid w:val="00ED6BF5"/>
    <w:rsid w:val="00ED7E58"/>
    <w:rsid w:val="00ED7F86"/>
    <w:rsid w:val="00EE00BF"/>
    <w:rsid w:val="00EE0120"/>
    <w:rsid w:val="00EE061C"/>
    <w:rsid w:val="00EE07F4"/>
    <w:rsid w:val="00EE0A32"/>
    <w:rsid w:val="00EE0A74"/>
    <w:rsid w:val="00EE0ADE"/>
    <w:rsid w:val="00EE0B01"/>
    <w:rsid w:val="00EE0B86"/>
    <w:rsid w:val="00EE0C58"/>
    <w:rsid w:val="00EE0E63"/>
    <w:rsid w:val="00EE1127"/>
    <w:rsid w:val="00EE117D"/>
    <w:rsid w:val="00EE118C"/>
    <w:rsid w:val="00EE12B1"/>
    <w:rsid w:val="00EE1441"/>
    <w:rsid w:val="00EE1543"/>
    <w:rsid w:val="00EE1592"/>
    <w:rsid w:val="00EE1749"/>
    <w:rsid w:val="00EE1C06"/>
    <w:rsid w:val="00EE1D6C"/>
    <w:rsid w:val="00EE1D7F"/>
    <w:rsid w:val="00EE1E2C"/>
    <w:rsid w:val="00EE1E59"/>
    <w:rsid w:val="00EE1ECD"/>
    <w:rsid w:val="00EE27A8"/>
    <w:rsid w:val="00EE2824"/>
    <w:rsid w:val="00EE2DAC"/>
    <w:rsid w:val="00EE2E98"/>
    <w:rsid w:val="00EE3290"/>
    <w:rsid w:val="00EE3599"/>
    <w:rsid w:val="00EE35AD"/>
    <w:rsid w:val="00EE3614"/>
    <w:rsid w:val="00EE36F0"/>
    <w:rsid w:val="00EE3C0D"/>
    <w:rsid w:val="00EE3D6D"/>
    <w:rsid w:val="00EE3DC7"/>
    <w:rsid w:val="00EE41E3"/>
    <w:rsid w:val="00EE43F3"/>
    <w:rsid w:val="00EE4435"/>
    <w:rsid w:val="00EE4A85"/>
    <w:rsid w:val="00EE4BE4"/>
    <w:rsid w:val="00EE4D24"/>
    <w:rsid w:val="00EE51E3"/>
    <w:rsid w:val="00EE54A6"/>
    <w:rsid w:val="00EE5561"/>
    <w:rsid w:val="00EE55D8"/>
    <w:rsid w:val="00EE56E9"/>
    <w:rsid w:val="00EE5854"/>
    <w:rsid w:val="00EE5BD6"/>
    <w:rsid w:val="00EE5C4F"/>
    <w:rsid w:val="00EE5C63"/>
    <w:rsid w:val="00EE5DDE"/>
    <w:rsid w:val="00EE5E23"/>
    <w:rsid w:val="00EE5F34"/>
    <w:rsid w:val="00EE5F93"/>
    <w:rsid w:val="00EE5F94"/>
    <w:rsid w:val="00EE625D"/>
    <w:rsid w:val="00EE6338"/>
    <w:rsid w:val="00EE660C"/>
    <w:rsid w:val="00EE66B2"/>
    <w:rsid w:val="00EE67A3"/>
    <w:rsid w:val="00EE6D6C"/>
    <w:rsid w:val="00EE6DDD"/>
    <w:rsid w:val="00EE72C8"/>
    <w:rsid w:val="00EE7733"/>
    <w:rsid w:val="00EE78DA"/>
    <w:rsid w:val="00EE7D62"/>
    <w:rsid w:val="00EE7E24"/>
    <w:rsid w:val="00EE7E3F"/>
    <w:rsid w:val="00EF01FE"/>
    <w:rsid w:val="00EF03E9"/>
    <w:rsid w:val="00EF07D7"/>
    <w:rsid w:val="00EF085F"/>
    <w:rsid w:val="00EF0870"/>
    <w:rsid w:val="00EF0B25"/>
    <w:rsid w:val="00EF0BDD"/>
    <w:rsid w:val="00EF0D39"/>
    <w:rsid w:val="00EF0D6B"/>
    <w:rsid w:val="00EF0DDF"/>
    <w:rsid w:val="00EF120E"/>
    <w:rsid w:val="00EF159A"/>
    <w:rsid w:val="00EF16A3"/>
    <w:rsid w:val="00EF1953"/>
    <w:rsid w:val="00EF19EF"/>
    <w:rsid w:val="00EF1B58"/>
    <w:rsid w:val="00EF1B61"/>
    <w:rsid w:val="00EF1DDD"/>
    <w:rsid w:val="00EF1FC3"/>
    <w:rsid w:val="00EF2601"/>
    <w:rsid w:val="00EF2744"/>
    <w:rsid w:val="00EF2B77"/>
    <w:rsid w:val="00EF2E4E"/>
    <w:rsid w:val="00EF2F39"/>
    <w:rsid w:val="00EF303E"/>
    <w:rsid w:val="00EF3078"/>
    <w:rsid w:val="00EF3444"/>
    <w:rsid w:val="00EF3491"/>
    <w:rsid w:val="00EF34CE"/>
    <w:rsid w:val="00EF3695"/>
    <w:rsid w:val="00EF3784"/>
    <w:rsid w:val="00EF382F"/>
    <w:rsid w:val="00EF3AE6"/>
    <w:rsid w:val="00EF3E45"/>
    <w:rsid w:val="00EF3EB1"/>
    <w:rsid w:val="00EF3F79"/>
    <w:rsid w:val="00EF416A"/>
    <w:rsid w:val="00EF420B"/>
    <w:rsid w:val="00EF46C0"/>
    <w:rsid w:val="00EF48D3"/>
    <w:rsid w:val="00EF4EBE"/>
    <w:rsid w:val="00EF5483"/>
    <w:rsid w:val="00EF5766"/>
    <w:rsid w:val="00EF5958"/>
    <w:rsid w:val="00EF5CEF"/>
    <w:rsid w:val="00EF60AE"/>
    <w:rsid w:val="00EF65C7"/>
    <w:rsid w:val="00EF65E3"/>
    <w:rsid w:val="00EF6A6F"/>
    <w:rsid w:val="00EF6A9C"/>
    <w:rsid w:val="00EF6B8C"/>
    <w:rsid w:val="00EF6C8E"/>
    <w:rsid w:val="00EF6E49"/>
    <w:rsid w:val="00EF70AE"/>
    <w:rsid w:val="00EF70F0"/>
    <w:rsid w:val="00EF71F1"/>
    <w:rsid w:val="00EF7319"/>
    <w:rsid w:val="00EF74E5"/>
    <w:rsid w:val="00EF7772"/>
    <w:rsid w:val="00EF7981"/>
    <w:rsid w:val="00EF7B75"/>
    <w:rsid w:val="00F000C0"/>
    <w:rsid w:val="00F000C3"/>
    <w:rsid w:val="00F001CD"/>
    <w:rsid w:val="00F003A2"/>
    <w:rsid w:val="00F00488"/>
    <w:rsid w:val="00F005E3"/>
    <w:rsid w:val="00F006AF"/>
    <w:rsid w:val="00F0084B"/>
    <w:rsid w:val="00F008E7"/>
    <w:rsid w:val="00F00B62"/>
    <w:rsid w:val="00F00DDA"/>
    <w:rsid w:val="00F00E36"/>
    <w:rsid w:val="00F011CE"/>
    <w:rsid w:val="00F0124F"/>
    <w:rsid w:val="00F01499"/>
    <w:rsid w:val="00F016B6"/>
    <w:rsid w:val="00F01E8D"/>
    <w:rsid w:val="00F021B5"/>
    <w:rsid w:val="00F02498"/>
    <w:rsid w:val="00F02858"/>
    <w:rsid w:val="00F02A80"/>
    <w:rsid w:val="00F02AC7"/>
    <w:rsid w:val="00F02B5C"/>
    <w:rsid w:val="00F02B82"/>
    <w:rsid w:val="00F02C43"/>
    <w:rsid w:val="00F02E5F"/>
    <w:rsid w:val="00F02E70"/>
    <w:rsid w:val="00F03026"/>
    <w:rsid w:val="00F03260"/>
    <w:rsid w:val="00F03267"/>
    <w:rsid w:val="00F033D3"/>
    <w:rsid w:val="00F03696"/>
    <w:rsid w:val="00F03866"/>
    <w:rsid w:val="00F03992"/>
    <w:rsid w:val="00F03B36"/>
    <w:rsid w:val="00F03ED3"/>
    <w:rsid w:val="00F03F9B"/>
    <w:rsid w:val="00F03FC2"/>
    <w:rsid w:val="00F04070"/>
    <w:rsid w:val="00F047E3"/>
    <w:rsid w:val="00F049A3"/>
    <w:rsid w:val="00F049F7"/>
    <w:rsid w:val="00F04A8B"/>
    <w:rsid w:val="00F04FE3"/>
    <w:rsid w:val="00F051A5"/>
    <w:rsid w:val="00F0535E"/>
    <w:rsid w:val="00F05415"/>
    <w:rsid w:val="00F05D65"/>
    <w:rsid w:val="00F05DFC"/>
    <w:rsid w:val="00F05E65"/>
    <w:rsid w:val="00F05E80"/>
    <w:rsid w:val="00F06280"/>
    <w:rsid w:val="00F063EF"/>
    <w:rsid w:val="00F06450"/>
    <w:rsid w:val="00F06487"/>
    <w:rsid w:val="00F065D6"/>
    <w:rsid w:val="00F065EA"/>
    <w:rsid w:val="00F06682"/>
    <w:rsid w:val="00F068D0"/>
    <w:rsid w:val="00F068F6"/>
    <w:rsid w:val="00F06945"/>
    <w:rsid w:val="00F06C2B"/>
    <w:rsid w:val="00F06D16"/>
    <w:rsid w:val="00F06E5C"/>
    <w:rsid w:val="00F06EDD"/>
    <w:rsid w:val="00F070B0"/>
    <w:rsid w:val="00F0747A"/>
    <w:rsid w:val="00F074DE"/>
    <w:rsid w:val="00F07890"/>
    <w:rsid w:val="00F07A08"/>
    <w:rsid w:val="00F07FAF"/>
    <w:rsid w:val="00F1006D"/>
    <w:rsid w:val="00F10478"/>
    <w:rsid w:val="00F10684"/>
    <w:rsid w:val="00F109DC"/>
    <w:rsid w:val="00F10F5A"/>
    <w:rsid w:val="00F1113E"/>
    <w:rsid w:val="00F111DD"/>
    <w:rsid w:val="00F11281"/>
    <w:rsid w:val="00F11298"/>
    <w:rsid w:val="00F112E1"/>
    <w:rsid w:val="00F115B1"/>
    <w:rsid w:val="00F115FC"/>
    <w:rsid w:val="00F1161C"/>
    <w:rsid w:val="00F11625"/>
    <w:rsid w:val="00F11729"/>
    <w:rsid w:val="00F1185F"/>
    <w:rsid w:val="00F120A1"/>
    <w:rsid w:val="00F120E8"/>
    <w:rsid w:val="00F123F0"/>
    <w:rsid w:val="00F12404"/>
    <w:rsid w:val="00F125B3"/>
    <w:rsid w:val="00F1274F"/>
    <w:rsid w:val="00F127DC"/>
    <w:rsid w:val="00F12845"/>
    <w:rsid w:val="00F12869"/>
    <w:rsid w:val="00F12895"/>
    <w:rsid w:val="00F12979"/>
    <w:rsid w:val="00F12AC0"/>
    <w:rsid w:val="00F12B3A"/>
    <w:rsid w:val="00F12D80"/>
    <w:rsid w:val="00F12EE8"/>
    <w:rsid w:val="00F13180"/>
    <w:rsid w:val="00F13286"/>
    <w:rsid w:val="00F135FB"/>
    <w:rsid w:val="00F138A6"/>
    <w:rsid w:val="00F13A82"/>
    <w:rsid w:val="00F13AB4"/>
    <w:rsid w:val="00F13BE3"/>
    <w:rsid w:val="00F13DB7"/>
    <w:rsid w:val="00F13F4B"/>
    <w:rsid w:val="00F143F8"/>
    <w:rsid w:val="00F14504"/>
    <w:rsid w:val="00F14805"/>
    <w:rsid w:val="00F148D3"/>
    <w:rsid w:val="00F14AFF"/>
    <w:rsid w:val="00F15037"/>
    <w:rsid w:val="00F153C2"/>
    <w:rsid w:val="00F15BD8"/>
    <w:rsid w:val="00F15CDF"/>
    <w:rsid w:val="00F15CFD"/>
    <w:rsid w:val="00F15E6F"/>
    <w:rsid w:val="00F15EC0"/>
    <w:rsid w:val="00F16691"/>
    <w:rsid w:val="00F166BF"/>
    <w:rsid w:val="00F16B2B"/>
    <w:rsid w:val="00F1702A"/>
    <w:rsid w:val="00F17240"/>
    <w:rsid w:val="00F1743A"/>
    <w:rsid w:val="00F1757C"/>
    <w:rsid w:val="00F17612"/>
    <w:rsid w:val="00F1768A"/>
    <w:rsid w:val="00F177E0"/>
    <w:rsid w:val="00F17951"/>
    <w:rsid w:val="00F17A21"/>
    <w:rsid w:val="00F17CBF"/>
    <w:rsid w:val="00F17F09"/>
    <w:rsid w:val="00F17FC8"/>
    <w:rsid w:val="00F1D9B7"/>
    <w:rsid w:val="00F20120"/>
    <w:rsid w:val="00F202A3"/>
    <w:rsid w:val="00F20501"/>
    <w:rsid w:val="00F205E4"/>
    <w:rsid w:val="00F207A7"/>
    <w:rsid w:val="00F20B98"/>
    <w:rsid w:val="00F20BD6"/>
    <w:rsid w:val="00F20E59"/>
    <w:rsid w:val="00F20EA1"/>
    <w:rsid w:val="00F20F2B"/>
    <w:rsid w:val="00F213DF"/>
    <w:rsid w:val="00F214D6"/>
    <w:rsid w:val="00F215A7"/>
    <w:rsid w:val="00F215DD"/>
    <w:rsid w:val="00F2160B"/>
    <w:rsid w:val="00F21707"/>
    <w:rsid w:val="00F219CB"/>
    <w:rsid w:val="00F21AA7"/>
    <w:rsid w:val="00F21ADD"/>
    <w:rsid w:val="00F21AE8"/>
    <w:rsid w:val="00F229DE"/>
    <w:rsid w:val="00F22ACA"/>
    <w:rsid w:val="00F22B34"/>
    <w:rsid w:val="00F22D4F"/>
    <w:rsid w:val="00F22DCC"/>
    <w:rsid w:val="00F22F97"/>
    <w:rsid w:val="00F23300"/>
    <w:rsid w:val="00F23325"/>
    <w:rsid w:val="00F23518"/>
    <w:rsid w:val="00F23B24"/>
    <w:rsid w:val="00F23D71"/>
    <w:rsid w:val="00F244BE"/>
    <w:rsid w:val="00F245CE"/>
    <w:rsid w:val="00F2499F"/>
    <w:rsid w:val="00F24A1F"/>
    <w:rsid w:val="00F24A8B"/>
    <w:rsid w:val="00F25094"/>
    <w:rsid w:val="00F251DD"/>
    <w:rsid w:val="00F2536F"/>
    <w:rsid w:val="00F253FB"/>
    <w:rsid w:val="00F25686"/>
    <w:rsid w:val="00F256F7"/>
    <w:rsid w:val="00F257A7"/>
    <w:rsid w:val="00F257F1"/>
    <w:rsid w:val="00F25AE6"/>
    <w:rsid w:val="00F25B65"/>
    <w:rsid w:val="00F25C6F"/>
    <w:rsid w:val="00F25E58"/>
    <w:rsid w:val="00F25EEF"/>
    <w:rsid w:val="00F25FB6"/>
    <w:rsid w:val="00F260D7"/>
    <w:rsid w:val="00F260EA"/>
    <w:rsid w:val="00F264AB"/>
    <w:rsid w:val="00F2681A"/>
    <w:rsid w:val="00F2682C"/>
    <w:rsid w:val="00F26884"/>
    <w:rsid w:val="00F2694A"/>
    <w:rsid w:val="00F26B45"/>
    <w:rsid w:val="00F26BD7"/>
    <w:rsid w:val="00F26C30"/>
    <w:rsid w:val="00F26D3B"/>
    <w:rsid w:val="00F26EE5"/>
    <w:rsid w:val="00F272FF"/>
    <w:rsid w:val="00F273B9"/>
    <w:rsid w:val="00F274AA"/>
    <w:rsid w:val="00F274CC"/>
    <w:rsid w:val="00F27B07"/>
    <w:rsid w:val="00F27B96"/>
    <w:rsid w:val="00F27C69"/>
    <w:rsid w:val="00F27D79"/>
    <w:rsid w:val="00F30179"/>
    <w:rsid w:val="00F301BA"/>
    <w:rsid w:val="00F301FF"/>
    <w:rsid w:val="00F30760"/>
    <w:rsid w:val="00F30B55"/>
    <w:rsid w:val="00F30B85"/>
    <w:rsid w:val="00F30FA7"/>
    <w:rsid w:val="00F3138B"/>
    <w:rsid w:val="00F3172B"/>
    <w:rsid w:val="00F319A9"/>
    <w:rsid w:val="00F31C10"/>
    <w:rsid w:val="00F3202C"/>
    <w:rsid w:val="00F32129"/>
    <w:rsid w:val="00F32538"/>
    <w:rsid w:val="00F32557"/>
    <w:rsid w:val="00F325CE"/>
    <w:rsid w:val="00F3277F"/>
    <w:rsid w:val="00F32830"/>
    <w:rsid w:val="00F3296D"/>
    <w:rsid w:val="00F32A09"/>
    <w:rsid w:val="00F32A2F"/>
    <w:rsid w:val="00F32B0E"/>
    <w:rsid w:val="00F32B17"/>
    <w:rsid w:val="00F32FCD"/>
    <w:rsid w:val="00F3307D"/>
    <w:rsid w:val="00F330B3"/>
    <w:rsid w:val="00F33257"/>
    <w:rsid w:val="00F3327C"/>
    <w:rsid w:val="00F332A9"/>
    <w:rsid w:val="00F33671"/>
    <w:rsid w:val="00F33BBD"/>
    <w:rsid w:val="00F33F05"/>
    <w:rsid w:val="00F3431C"/>
    <w:rsid w:val="00F34484"/>
    <w:rsid w:val="00F34D09"/>
    <w:rsid w:val="00F34DD7"/>
    <w:rsid w:val="00F34EEF"/>
    <w:rsid w:val="00F34FC9"/>
    <w:rsid w:val="00F351EE"/>
    <w:rsid w:val="00F353F4"/>
    <w:rsid w:val="00F353F8"/>
    <w:rsid w:val="00F35AF5"/>
    <w:rsid w:val="00F35D6F"/>
    <w:rsid w:val="00F360DA"/>
    <w:rsid w:val="00F36382"/>
    <w:rsid w:val="00F36499"/>
    <w:rsid w:val="00F367AB"/>
    <w:rsid w:val="00F368D3"/>
    <w:rsid w:val="00F36978"/>
    <w:rsid w:val="00F36A2A"/>
    <w:rsid w:val="00F36B27"/>
    <w:rsid w:val="00F36BA3"/>
    <w:rsid w:val="00F37546"/>
    <w:rsid w:val="00F37833"/>
    <w:rsid w:val="00F378E4"/>
    <w:rsid w:val="00F401F7"/>
    <w:rsid w:val="00F4020C"/>
    <w:rsid w:val="00F4027C"/>
    <w:rsid w:val="00F40321"/>
    <w:rsid w:val="00F406D4"/>
    <w:rsid w:val="00F40A01"/>
    <w:rsid w:val="00F40A0C"/>
    <w:rsid w:val="00F40A59"/>
    <w:rsid w:val="00F40B17"/>
    <w:rsid w:val="00F40BB3"/>
    <w:rsid w:val="00F40E99"/>
    <w:rsid w:val="00F4127B"/>
    <w:rsid w:val="00F4142E"/>
    <w:rsid w:val="00F415A8"/>
    <w:rsid w:val="00F418CF"/>
    <w:rsid w:val="00F41A69"/>
    <w:rsid w:val="00F41E63"/>
    <w:rsid w:val="00F42317"/>
    <w:rsid w:val="00F42424"/>
    <w:rsid w:val="00F4251C"/>
    <w:rsid w:val="00F425D1"/>
    <w:rsid w:val="00F42616"/>
    <w:rsid w:val="00F426D1"/>
    <w:rsid w:val="00F429AC"/>
    <w:rsid w:val="00F42AB6"/>
    <w:rsid w:val="00F42CC3"/>
    <w:rsid w:val="00F42D76"/>
    <w:rsid w:val="00F430D6"/>
    <w:rsid w:val="00F43276"/>
    <w:rsid w:val="00F43C1B"/>
    <w:rsid w:val="00F43C9E"/>
    <w:rsid w:val="00F43E94"/>
    <w:rsid w:val="00F43ECA"/>
    <w:rsid w:val="00F44037"/>
    <w:rsid w:val="00F4413A"/>
    <w:rsid w:val="00F445C5"/>
    <w:rsid w:val="00F4482A"/>
    <w:rsid w:val="00F448F2"/>
    <w:rsid w:val="00F44BE6"/>
    <w:rsid w:val="00F44E82"/>
    <w:rsid w:val="00F452DB"/>
    <w:rsid w:val="00F45542"/>
    <w:rsid w:val="00F457A5"/>
    <w:rsid w:val="00F4598E"/>
    <w:rsid w:val="00F45A5E"/>
    <w:rsid w:val="00F45AB7"/>
    <w:rsid w:val="00F45B7F"/>
    <w:rsid w:val="00F45DC1"/>
    <w:rsid w:val="00F45F6C"/>
    <w:rsid w:val="00F460FA"/>
    <w:rsid w:val="00F467D9"/>
    <w:rsid w:val="00F46874"/>
    <w:rsid w:val="00F4691A"/>
    <w:rsid w:val="00F46A21"/>
    <w:rsid w:val="00F47483"/>
    <w:rsid w:val="00F479BD"/>
    <w:rsid w:val="00F5004C"/>
    <w:rsid w:val="00F50138"/>
    <w:rsid w:val="00F50139"/>
    <w:rsid w:val="00F5026A"/>
    <w:rsid w:val="00F504FD"/>
    <w:rsid w:val="00F5082B"/>
    <w:rsid w:val="00F50A8B"/>
    <w:rsid w:val="00F50B06"/>
    <w:rsid w:val="00F50CD3"/>
    <w:rsid w:val="00F50DE6"/>
    <w:rsid w:val="00F50F77"/>
    <w:rsid w:val="00F51126"/>
    <w:rsid w:val="00F5122E"/>
    <w:rsid w:val="00F51251"/>
    <w:rsid w:val="00F51592"/>
    <w:rsid w:val="00F515F9"/>
    <w:rsid w:val="00F51BFA"/>
    <w:rsid w:val="00F51D4C"/>
    <w:rsid w:val="00F51E8C"/>
    <w:rsid w:val="00F5203B"/>
    <w:rsid w:val="00F52390"/>
    <w:rsid w:val="00F5253E"/>
    <w:rsid w:val="00F52744"/>
    <w:rsid w:val="00F528CC"/>
    <w:rsid w:val="00F52DE9"/>
    <w:rsid w:val="00F5309F"/>
    <w:rsid w:val="00F53466"/>
    <w:rsid w:val="00F534BA"/>
    <w:rsid w:val="00F53548"/>
    <w:rsid w:val="00F54192"/>
    <w:rsid w:val="00F54351"/>
    <w:rsid w:val="00F54848"/>
    <w:rsid w:val="00F549CB"/>
    <w:rsid w:val="00F54A62"/>
    <w:rsid w:val="00F5549F"/>
    <w:rsid w:val="00F5555F"/>
    <w:rsid w:val="00F556CE"/>
    <w:rsid w:val="00F55845"/>
    <w:rsid w:val="00F55903"/>
    <w:rsid w:val="00F55A26"/>
    <w:rsid w:val="00F55A93"/>
    <w:rsid w:val="00F55C56"/>
    <w:rsid w:val="00F55C59"/>
    <w:rsid w:val="00F55CAA"/>
    <w:rsid w:val="00F55F9D"/>
    <w:rsid w:val="00F560FD"/>
    <w:rsid w:val="00F56111"/>
    <w:rsid w:val="00F561F2"/>
    <w:rsid w:val="00F56256"/>
    <w:rsid w:val="00F562F0"/>
    <w:rsid w:val="00F56BB0"/>
    <w:rsid w:val="00F56BC6"/>
    <w:rsid w:val="00F5702A"/>
    <w:rsid w:val="00F57061"/>
    <w:rsid w:val="00F57075"/>
    <w:rsid w:val="00F571F3"/>
    <w:rsid w:val="00F576D6"/>
    <w:rsid w:val="00F57762"/>
    <w:rsid w:val="00F57B08"/>
    <w:rsid w:val="00F57D2E"/>
    <w:rsid w:val="00F60137"/>
    <w:rsid w:val="00F6019F"/>
    <w:rsid w:val="00F602C4"/>
    <w:rsid w:val="00F604DE"/>
    <w:rsid w:val="00F60AD8"/>
    <w:rsid w:val="00F60C21"/>
    <w:rsid w:val="00F60C34"/>
    <w:rsid w:val="00F60C73"/>
    <w:rsid w:val="00F60CA6"/>
    <w:rsid w:val="00F60D16"/>
    <w:rsid w:val="00F60E50"/>
    <w:rsid w:val="00F60EF6"/>
    <w:rsid w:val="00F611C0"/>
    <w:rsid w:val="00F612B9"/>
    <w:rsid w:val="00F61481"/>
    <w:rsid w:val="00F614E3"/>
    <w:rsid w:val="00F6165C"/>
    <w:rsid w:val="00F6168A"/>
    <w:rsid w:val="00F61887"/>
    <w:rsid w:val="00F6190C"/>
    <w:rsid w:val="00F61CC4"/>
    <w:rsid w:val="00F62055"/>
    <w:rsid w:val="00F6216F"/>
    <w:rsid w:val="00F62461"/>
    <w:rsid w:val="00F625D5"/>
    <w:rsid w:val="00F627EC"/>
    <w:rsid w:val="00F62A3E"/>
    <w:rsid w:val="00F62A71"/>
    <w:rsid w:val="00F62CCE"/>
    <w:rsid w:val="00F62E7D"/>
    <w:rsid w:val="00F6300E"/>
    <w:rsid w:val="00F6305B"/>
    <w:rsid w:val="00F630C2"/>
    <w:rsid w:val="00F630E5"/>
    <w:rsid w:val="00F63207"/>
    <w:rsid w:val="00F63267"/>
    <w:rsid w:val="00F6326E"/>
    <w:rsid w:val="00F633F0"/>
    <w:rsid w:val="00F634D5"/>
    <w:rsid w:val="00F634FC"/>
    <w:rsid w:val="00F63529"/>
    <w:rsid w:val="00F6358C"/>
    <w:rsid w:val="00F63698"/>
    <w:rsid w:val="00F6390C"/>
    <w:rsid w:val="00F63956"/>
    <w:rsid w:val="00F63A5A"/>
    <w:rsid w:val="00F63F0A"/>
    <w:rsid w:val="00F641D5"/>
    <w:rsid w:val="00F643A2"/>
    <w:rsid w:val="00F645EC"/>
    <w:rsid w:val="00F645FA"/>
    <w:rsid w:val="00F64ABD"/>
    <w:rsid w:val="00F64F0E"/>
    <w:rsid w:val="00F65108"/>
    <w:rsid w:val="00F651B4"/>
    <w:rsid w:val="00F652D7"/>
    <w:rsid w:val="00F653B9"/>
    <w:rsid w:val="00F65458"/>
    <w:rsid w:val="00F654FB"/>
    <w:rsid w:val="00F65567"/>
    <w:rsid w:val="00F656F2"/>
    <w:rsid w:val="00F65807"/>
    <w:rsid w:val="00F6580F"/>
    <w:rsid w:val="00F65AC9"/>
    <w:rsid w:val="00F65EC5"/>
    <w:rsid w:val="00F65F4C"/>
    <w:rsid w:val="00F66298"/>
    <w:rsid w:val="00F66700"/>
    <w:rsid w:val="00F6670C"/>
    <w:rsid w:val="00F66923"/>
    <w:rsid w:val="00F66933"/>
    <w:rsid w:val="00F6694E"/>
    <w:rsid w:val="00F66C03"/>
    <w:rsid w:val="00F66D17"/>
    <w:rsid w:val="00F66E45"/>
    <w:rsid w:val="00F6711F"/>
    <w:rsid w:val="00F6714B"/>
    <w:rsid w:val="00F67171"/>
    <w:rsid w:val="00F673C9"/>
    <w:rsid w:val="00F67C04"/>
    <w:rsid w:val="00F67C4D"/>
    <w:rsid w:val="00F67D74"/>
    <w:rsid w:val="00F67DE2"/>
    <w:rsid w:val="00F67E03"/>
    <w:rsid w:val="00F67F6B"/>
    <w:rsid w:val="00F67FD3"/>
    <w:rsid w:val="00F7028A"/>
    <w:rsid w:val="00F70C1B"/>
    <w:rsid w:val="00F70F91"/>
    <w:rsid w:val="00F71532"/>
    <w:rsid w:val="00F71540"/>
    <w:rsid w:val="00F7165D"/>
    <w:rsid w:val="00F719CC"/>
    <w:rsid w:val="00F71B3E"/>
    <w:rsid w:val="00F71EA3"/>
    <w:rsid w:val="00F72038"/>
    <w:rsid w:val="00F72124"/>
    <w:rsid w:val="00F72142"/>
    <w:rsid w:val="00F725FD"/>
    <w:rsid w:val="00F72693"/>
    <w:rsid w:val="00F72715"/>
    <w:rsid w:val="00F72725"/>
    <w:rsid w:val="00F727D6"/>
    <w:rsid w:val="00F72A92"/>
    <w:rsid w:val="00F72AD5"/>
    <w:rsid w:val="00F72CFB"/>
    <w:rsid w:val="00F7307E"/>
    <w:rsid w:val="00F73109"/>
    <w:rsid w:val="00F732B9"/>
    <w:rsid w:val="00F732C5"/>
    <w:rsid w:val="00F738A5"/>
    <w:rsid w:val="00F73953"/>
    <w:rsid w:val="00F73B8E"/>
    <w:rsid w:val="00F74072"/>
    <w:rsid w:val="00F741F1"/>
    <w:rsid w:val="00F7427A"/>
    <w:rsid w:val="00F74D87"/>
    <w:rsid w:val="00F74E25"/>
    <w:rsid w:val="00F750C8"/>
    <w:rsid w:val="00F752B2"/>
    <w:rsid w:val="00F7531A"/>
    <w:rsid w:val="00F75D12"/>
    <w:rsid w:val="00F75E16"/>
    <w:rsid w:val="00F75EA5"/>
    <w:rsid w:val="00F75F15"/>
    <w:rsid w:val="00F761A0"/>
    <w:rsid w:val="00F76253"/>
    <w:rsid w:val="00F7639B"/>
    <w:rsid w:val="00F76482"/>
    <w:rsid w:val="00F765FF"/>
    <w:rsid w:val="00F76757"/>
    <w:rsid w:val="00F769F8"/>
    <w:rsid w:val="00F769F9"/>
    <w:rsid w:val="00F76B30"/>
    <w:rsid w:val="00F76B5C"/>
    <w:rsid w:val="00F7703C"/>
    <w:rsid w:val="00F77077"/>
    <w:rsid w:val="00F7741C"/>
    <w:rsid w:val="00F77715"/>
    <w:rsid w:val="00F77847"/>
    <w:rsid w:val="00F77910"/>
    <w:rsid w:val="00F77A15"/>
    <w:rsid w:val="00F77B27"/>
    <w:rsid w:val="00F77EF0"/>
    <w:rsid w:val="00F8005E"/>
    <w:rsid w:val="00F800DE"/>
    <w:rsid w:val="00F80224"/>
    <w:rsid w:val="00F80378"/>
    <w:rsid w:val="00F8039E"/>
    <w:rsid w:val="00F80895"/>
    <w:rsid w:val="00F80DEC"/>
    <w:rsid w:val="00F80E6E"/>
    <w:rsid w:val="00F80FA4"/>
    <w:rsid w:val="00F810EC"/>
    <w:rsid w:val="00F81115"/>
    <w:rsid w:val="00F818CC"/>
    <w:rsid w:val="00F81C6D"/>
    <w:rsid w:val="00F81E09"/>
    <w:rsid w:val="00F81F27"/>
    <w:rsid w:val="00F81F7E"/>
    <w:rsid w:val="00F81F81"/>
    <w:rsid w:val="00F820C6"/>
    <w:rsid w:val="00F822A8"/>
    <w:rsid w:val="00F822B6"/>
    <w:rsid w:val="00F8233B"/>
    <w:rsid w:val="00F824BB"/>
    <w:rsid w:val="00F826EE"/>
    <w:rsid w:val="00F826F0"/>
    <w:rsid w:val="00F8276B"/>
    <w:rsid w:val="00F82CE1"/>
    <w:rsid w:val="00F82D59"/>
    <w:rsid w:val="00F830C3"/>
    <w:rsid w:val="00F83230"/>
    <w:rsid w:val="00F8324C"/>
    <w:rsid w:val="00F84090"/>
    <w:rsid w:val="00F84306"/>
    <w:rsid w:val="00F84818"/>
    <w:rsid w:val="00F84947"/>
    <w:rsid w:val="00F849CD"/>
    <w:rsid w:val="00F84BF5"/>
    <w:rsid w:val="00F84CF7"/>
    <w:rsid w:val="00F84D71"/>
    <w:rsid w:val="00F84F49"/>
    <w:rsid w:val="00F85123"/>
    <w:rsid w:val="00F85340"/>
    <w:rsid w:val="00F8541C"/>
    <w:rsid w:val="00F85702"/>
    <w:rsid w:val="00F858B1"/>
    <w:rsid w:val="00F859C5"/>
    <w:rsid w:val="00F85A88"/>
    <w:rsid w:val="00F85D3A"/>
    <w:rsid w:val="00F85D8D"/>
    <w:rsid w:val="00F86103"/>
    <w:rsid w:val="00F86156"/>
    <w:rsid w:val="00F86172"/>
    <w:rsid w:val="00F86327"/>
    <w:rsid w:val="00F863A6"/>
    <w:rsid w:val="00F86441"/>
    <w:rsid w:val="00F865B0"/>
    <w:rsid w:val="00F865CA"/>
    <w:rsid w:val="00F8672C"/>
    <w:rsid w:val="00F8684F"/>
    <w:rsid w:val="00F86895"/>
    <w:rsid w:val="00F86AD9"/>
    <w:rsid w:val="00F86BFA"/>
    <w:rsid w:val="00F8701A"/>
    <w:rsid w:val="00F870AE"/>
    <w:rsid w:val="00F87183"/>
    <w:rsid w:val="00F87270"/>
    <w:rsid w:val="00F87563"/>
    <w:rsid w:val="00F8759D"/>
    <w:rsid w:val="00F875F3"/>
    <w:rsid w:val="00F87732"/>
    <w:rsid w:val="00F8779E"/>
    <w:rsid w:val="00F878DA"/>
    <w:rsid w:val="00F878F4"/>
    <w:rsid w:val="00F87AA5"/>
    <w:rsid w:val="00F87E2A"/>
    <w:rsid w:val="00F87F07"/>
    <w:rsid w:val="00F87F72"/>
    <w:rsid w:val="00F87FC6"/>
    <w:rsid w:val="00F87FDB"/>
    <w:rsid w:val="00F90234"/>
    <w:rsid w:val="00F90240"/>
    <w:rsid w:val="00F9028D"/>
    <w:rsid w:val="00F90292"/>
    <w:rsid w:val="00F9035C"/>
    <w:rsid w:val="00F906B4"/>
    <w:rsid w:val="00F9071D"/>
    <w:rsid w:val="00F909EC"/>
    <w:rsid w:val="00F90F99"/>
    <w:rsid w:val="00F91097"/>
    <w:rsid w:val="00F91327"/>
    <w:rsid w:val="00F9134B"/>
    <w:rsid w:val="00F91399"/>
    <w:rsid w:val="00F913AC"/>
    <w:rsid w:val="00F91499"/>
    <w:rsid w:val="00F917D1"/>
    <w:rsid w:val="00F918C5"/>
    <w:rsid w:val="00F918EB"/>
    <w:rsid w:val="00F91A16"/>
    <w:rsid w:val="00F91FDC"/>
    <w:rsid w:val="00F9217C"/>
    <w:rsid w:val="00F9221F"/>
    <w:rsid w:val="00F9226D"/>
    <w:rsid w:val="00F92762"/>
    <w:rsid w:val="00F927E7"/>
    <w:rsid w:val="00F92966"/>
    <w:rsid w:val="00F92B88"/>
    <w:rsid w:val="00F92C76"/>
    <w:rsid w:val="00F92DF6"/>
    <w:rsid w:val="00F92F63"/>
    <w:rsid w:val="00F92F83"/>
    <w:rsid w:val="00F93111"/>
    <w:rsid w:val="00F931E9"/>
    <w:rsid w:val="00F935C9"/>
    <w:rsid w:val="00F9393C"/>
    <w:rsid w:val="00F93DDA"/>
    <w:rsid w:val="00F93DE0"/>
    <w:rsid w:val="00F93FF6"/>
    <w:rsid w:val="00F94251"/>
    <w:rsid w:val="00F94430"/>
    <w:rsid w:val="00F946F0"/>
    <w:rsid w:val="00F948B0"/>
    <w:rsid w:val="00F94B38"/>
    <w:rsid w:val="00F94BC6"/>
    <w:rsid w:val="00F94BE1"/>
    <w:rsid w:val="00F95087"/>
    <w:rsid w:val="00F951DF"/>
    <w:rsid w:val="00F95395"/>
    <w:rsid w:val="00F95633"/>
    <w:rsid w:val="00F956B3"/>
    <w:rsid w:val="00F958EA"/>
    <w:rsid w:val="00F958EB"/>
    <w:rsid w:val="00F9590F"/>
    <w:rsid w:val="00F95C4A"/>
    <w:rsid w:val="00F96109"/>
    <w:rsid w:val="00F961BE"/>
    <w:rsid w:val="00F96204"/>
    <w:rsid w:val="00F96550"/>
    <w:rsid w:val="00F9676E"/>
    <w:rsid w:val="00F9679C"/>
    <w:rsid w:val="00F96817"/>
    <w:rsid w:val="00F96B4B"/>
    <w:rsid w:val="00F97102"/>
    <w:rsid w:val="00F971BC"/>
    <w:rsid w:val="00F9720F"/>
    <w:rsid w:val="00F972F1"/>
    <w:rsid w:val="00F977F1"/>
    <w:rsid w:val="00F97890"/>
    <w:rsid w:val="00F979C7"/>
    <w:rsid w:val="00F97B94"/>
    <w:rsid w:val="00F97C80"/>
    <w:rsid w:val="00F97FD8"/>
    <w:rsid w:val="00FA034F"/>
    <w:rsid w:val="00FA05BD"/>
    <w:rsid w:val="00FA07DA"/>
    <w:rsid w:val="00FA080A"/>
    <w:rsid w:val="00FA09EC"/>
    <w:rsid w:val="00FA0A9A"/>
    <w:rsid w:val="00FA0ABB"/>
    <w:rsid w:val="00FA0D47"/>
    <w:rsid w:val="00FA0EB7"/>
    <w:rsid w:val="00FA1316"/>
    <w:rsid w:val="00FA1473"/>
    <w:rsid w:val="00FA1B4A"/>
    <w:rsid w:val="00FA1C27"/>
    <w:rsid w:val="00FA1D1D"/>
    <w:rsid w:val="00FA1E33"/>
    <w:rsid w:val="00FA2338"/>
    <w:rsid w:val="00FA2457"/>
    <w:rsid w:val="00FA2790"/>
    <w:rsid w:val="00FA2793"/>
    <w:rsid w:val="00FA2970"/>
    <w:rsid w:val="00FA2974"/>
    <w:rsid w:val="00FA2A7E"/>
    <w:rsid w:val="00FA2B99"/>
    <w:rsid w:val="00FA2C3E"/>
    <w:rsid w:val="00FA2CC8"/>
    <w:rsid w:val="00FA2DE9"/>
    <w:rsid w:val="00FA2F7D"/>
    <w:rsid w:val="00FA3246"/>
    <w:rsid w:val="00FA335F"/>
    <w:rsid w:val="00FA33B9"/>
    <w:rsid w:val="00FA344C"/>
    <w:rsid w:val="00FA3470"/>
    <w:rsid w:val="00FA36E6"/>
    <w:rsid w:val="00FA3770"/>
    <w:rsid w:val="00FA3798"/>
    <w:rsid w:val="00FA3A50"/>
    <w:rsid w:val="00FA3EF2"/>
    <w:rsid w:val="00FA40BF"/>
    <w:rsid w:val="00FA427D"/>
    <w:rsid w:val="00FA4409"/>
    <w:rsid w:val="00FA450F"/>
    <w:rsid w:val="00FA467B"/>
    <w:rsid w:val="00FA4A96"/>
    <w:rsid w:val="00FA4B74"/>
    <w:rsid w:val="00FA4C08"/>
    <w:rsid w:val="00FA4C40"/>
    <w:rsid w:val="00FA4CC6"/>
    <w:rsid w:val="00FA4D52"/>
    <w:rsid w:val="00FA4EE8"/>
    <w:rsid w:val="00FA4FCF"/>
    <w:rsid w:val="00FA5051"/>
    <w:rsid w:val="00FA54B0"/>
    <w:rsid w:val="00FA55C5"/>
    <w:rsid w:val="00FA579E"/>
    <w:rsid w:val="00FA5833"/>
    <w:rsid w:val="00FA5907"/>
    <w:rsid w:val="00FA6242"/>
    <w:rsid w:val="00FA641E"/>
    <w:rsid w:val="00FA64FD"/>
    <w:rsid w:val="00FA6545"/>
    <w:rsid w:val="00FA6657"/>
    <w:rsid w:val="00FA6659"/>
    <w:rsid w:val="00FA680B"/>
    <w:rsid w:val="00FA6AFF"/>
    <w:rsid w:val="00FA6B23"/>
    <w:rsid w:val="00FA6BD0"/>
    <w:rsid w:val="00FA6E72"/>
    <w:rsid w:val="00FA6EAF"/>
    <w:rsid w:val="00FA7315"/>
    <w:rsid w:val="00FA78C1"/>
    <w:rsid w:val="00FA7B86"/>
    <w:rsid w:val="00FA7B8F"/>
    <w:rsid w:val="00FA7C7D"/>
    <w:rsid w:val="00FA7E1F"/>
    <w:rsid w:val="00FA7EE7"/>
    <w:rsid w:val="00FB0308"/>
    <w:rsid w:val="00FB0A3F"/>
    <w:rsid w:val="00FB0B28"/>
    <w:rsid w:val="00FB0DFB"/>
    <w:rsid w:val="00FB0E21"/>
    <w:rsid w:val="00FB1413"/>
    <w:rsid w:val="00FB1416"/>
    <w:rsid w:val="00FB1452"/>
    <w:rsid w:val="00FB1576"/>
    <w:rsid w:val="00FB15C3"/>
    <w:rsid w:val="00FB1839"/>
    <w:rsid w:val="00FB1AEB"/>
    <w:rsid w:val="00FB1B0F"/>
    <w:rsid w:val="00FB1CD2"/>
    <w:rsid w:val="00FB1F0E"/>
    <w:rsid w:val="00FB1F78"/>
    <w:rsid w:val="00FB230D"/>
    <w:rsid w:val="00FB2317"/>
    <w:rsid w:val="00FB236C"/>
    <w:rsid w:val="00FB244B"/>
    <w:rsid w:val="00FB2770"/>
    <w:rsid w:val="00FB287F"/>
    <w:rsid w:val="00FB289C"/>
    <w:rsid w:val="00FB2954"/>
    <w:rsid w:val="00FB2A0A"/>
    <w:rsid w:val="00FB2B13"/>
    <w:rsid w:val="00FB2F33"/>
    <w:rsid w:val="00FB2F43"/>
    <w:rsid w:val="00FB2FA0"/>
    <w:rsid w:val="00FB34E0"/>
    <w:rsid w:val="00FB35B1"/>
    <w:rsid w:val="00FB386E"/>
    <w:rsid w:val="00FB3899"/>
    <w:rsid w:val="00FB3A34"/>
    <w:rsid w:val="00FB3E77"/>
    <w:rsid w:val="00FB4026"/>
    <w:rsid w:val="00FB41F5"/>
    <w:rsid w:val="00FB460A"/>
    <w:rsid w:val="00FB464E"/>
    <w:rsid w:val="00FB4C51"/>
    <w:rsid w:val="00FB4E37"/>
    <w:rsid w:val="00FB4E69"/>
    <w:rsid w:val="00FB4EF9"/>
    <w:rsid w:val="00FB5289"/>
    <w:rsid w:val="00FB5401"/>
    <w:rsid w:val="00FB5483"/>
    <w:rsid w:val="00FB54E9"/>
    <w:rsid w:val="00FB57CD"/>
    <w:rsid w:val="00FB580A"/>
    <w:rsid w:val="00FB5CB0"/>
    <w:rsid w:val="00FB6186"/>
    <w:rsid w:val="00FB62B4"/>
    <w:rsid w:val="00FB6386"/>
    <w:rsid w:val="00FB65FE"/>
    <w:rsid w:val="00FB6638"/>
    <w:rsid w:val="00FB6CF7"/>
    <w:rsid w:val="00FB7058"/>
    <w:rsid w:val="00FB71A3"/>
    <w:rsid w:val="00FB7363"/>
    <w:rsid w:val="00FB7524"/>
    <w:rsid w:val="00FB75C5"/>
    <w:rsid w:val="00FB75CA"/>
    <w:rsid w:val="00FB7802"/>
    <w:rsid w:val="00FB7A78"/>
    <w:rsid w:val="00FB7B0C"/>
    <w:rsid w:val="00FB7CE0"/>
    <w:rsid w:val="00FB7D0C"/>
    <w:rsid w:val="00FC006B"/>
    <w:rsid w:val="00FC0363"/>
    <w:rsid w:val="00FC0598"/>
    <w:rsid w:val="00FC0744"/>
    <w:rsid w:val="00FC08FB"/>
    <w:rsid w:val="00FC0DF7"/>
    <w:rsid w:val="00FC117D"/>
    <w:rsid w:val="00FC14FF"/>
    <w:rsid w:val="00FC16BF"/>
    <w:rsid w:val="00FC1702"/>
    <w:rsid w:val="00FC1767"/>
    <w:rsid w:val="00FC1BC0"/>
    <w:rsid w:val="00FC1C5D"/>
    <w:rsid w:val="00FC208B"/>
    <w:rsid w:val="00FC2207"/>
    <w:rsid w:val="00FC228E"/>
    <w:rsid w:val="00FC23ED"/>
    <w:rsid w:val="00FC24C4"/>
    <w:rsid w:val="00FC2B33"/>
    <w:rsid w:val="00FC3FC6"/>
    <w:rsid w:val="00FC402E"/>
    <w:rsid w:val="00FC4086"/>
    <w:rsid w:val="00FC415C"/>
    <w:rsid w:val="00FC431B"/>
    <w:rsid w:val="00FC4466"/>
    <w:rsid w:val="00FC48AD"/>
    <w:rsid w:val="00FC4987"/>
    <w:rsid w:val="00FC4CF9"/>
    <w:rsid w:val="00FC4D93"/>
    <w:rsid w:val="00FC51F1"/>
    <w:rsid w:val="00FC54B5"/>
    <w:rsid w:val="00FC5645"/>
    <w:rsid w:val="00FC566C"/>
    <w:rsid w:val="00FC57DD"/>
    <w:rsid w:val="00FC58A2"/>
    <w:rsid w:val="00FC59F6"/>
    <w:rsid w:val="00FC5C91"/>
    <w:rsid w:val="00FC5CD4"/>
    <w:rsid w:val="00FC5D9B"/>
    <w:rsid w:val="00FC5F81"/>
    <w:rsid w:val="00FC6089"/>
    <w:rsid w:val="00FC6183"/>
    <w:rsid w:val="00FC63EF"/>
    <w:rsid w:val="00FC64DD"/>
    <w:rsid w:val="00FC6A6E"/>
    <w:rsid w:val="00FC6C5F"/>
    <w:rsid w:val="00FC6F63"/>
    <w:rsid w:val="00FC722F"/>
    <w:rsid w:val="00FC7249"/>
    <w:rsid w:val="00FC7323"/>
    <w:rsid w:val="00FC7A00"/>
    <w:rsid w:val="00FC7FCF"/>
    <w:rsid w:val="00FD033E"/>
    <w:rsid w:val="00FD05A3"/>
    <w:rsid w:val="00FD05AF"/>
    <w:rsid w:val="00FD084B"/>
    <w:rsid w:val="00FD0889"/>
    <w:rsid w:val="00FD0B5C"/>
    <w:rsid w:val="00FD0BEB"/>
    <w:rsid w:val="00FD0D0B"/>
    <w:rsid w:val="00FD0E98"/>
    <w:rsid w:val="00FD0EEF"/>
    <w:rsid w:val="00FD0F90"/>
    <w:rsid w:val="00FD1310"/>
    <w:rsid w:val="00FD16FA"/>
    <w:rsid w:val="00FD1838"/>
    <w:rsid w:val="00FD19E4"/>
    <w:rsid w:val="00FD19FF"/>
    <w:rsid w:val="00FD1AE5"/>
    <w:rsid w:val="00FD1DBC"/>
    <w:rsid w:val="00FD1DC8"/>
    <w:rsid w:val="00FD1EB1"/>
    <w:rsid w:val="00FD2809"/>
    <w:rsid w:val="00FD2926"/>
    <w:rsid w:val="00FD33E1"/>
    <w:rsid w:val="00FD346D"/>
    <w:rsid w:val="00FD37FB"/>
    <w:rsid w:val="00FD3A86"/>
    <w:rsid w:val="00FD3D28"/>
    <w:rsid w:val="00FD41BF"/>
    <w:rsid w:val="00FD4425"/>
    <w:rsid w:val="00FD4469"/>
    <w:rsid w:val="00FD4592"/>
    <w:rsid w:val="00FD49F2"/>
    <w:rsid w:val="00FD4A3E"/>
    <w:rsid w:val="00FD4C20"/>
    <w:rsid w:val="00FD4C72"/>
    <w:rsid w:val="00FD4D0C"/>
    <w:rsid w:val="00FD4D9A"/>
    <w:rsid w:val="00FD4E4A"/>
    <w:rsid w:val="00FD4FCE"/>
    <w:rsid w:val="00FD5118"/>
    <w:rsid w:val="00FD5344"/>
    <w:rsid w:val="00FD54D9"/>
    <w:rsid w:val="00FD5608"/>
    <w:rsid w:val="00FD562E"/>
    <w:rsid w:val="00FD5EDA"/>
    <w:rsid w:val="00FD5F8B"/>
    <w:rsid w:val="00FD6115"/>
    <w:rsid w:val="00FD61F1"/>
    <w:rsid w:val="00FD65B0"/>
    <w:rsid w:val="00FD6788"/>
    <w:rsid w:val="00FD6B58"/>
    <w:rsid w:val="00FD6C5D"/>
    <w:rsid w:val="00FD6E9A"/>
    <w:rsid w:val="00FD7028"/>
    <w:rsid w:val="00FD761E"/>
    <w:rsid w:val="00FD7656"/>
    <w:rsid w:val="00FD77CD"/>
    <w:rsid w:val="00FD7D1F"/>
    <w:rsid w:val="00FD7D60"/>
    <w:rsid w:val="00FD7DDE"/>
    <w:rsid w:val="00FD7DF7"/>
    <w:rsid w:val="00FD7E55"/>
    <w:rsid w:val="00FE0120"/>
    <w:rsid w:val="00FE040D"/>
    <w:rsid w:val="00FE0649"/>
    <w:rsid w:val="00FE08AD"/>
    <w:rsid w:val="00FE09E0"/>
    <w:rsid w:val="00FE0A4B"/>
    <w:rsid w:val="00FE0C76"/>
    <w:rsid w:val="00FE0C7B"/>
    <w:rsid w:val="00FE0C99"/>
    <w:rsid w:val="00FE0F4D"/>
    <w:rsid w:val="00FE0F83"/>
    <w:rsid w:val="00FE0FDC"/>
    <w:rsid w:val="00FE16DE"/>
    <w:rsid w:val="00FE1AC4"/>
    <w:rsid w:val="00FE1EF9"/>
    <w:rsid w:val="00FE1F2E"/>
    <w:rsid w:val="00FE22B4"/>
    <w:rsid w:val="00FE2794"/>
    <w:rsid w:val="00FE2A6E"/>
    <w:rsid w:val="00FE2C7F"/>
    <w:rsid w:val="00FE3128"/>
    <w:rsid w:val="00FE314A"/>
    <w:rsid w:val="00FE3602"/>
    <w:rsid w:val="00FE3689"/>
    <w:rsid w:val="00FE36C6"/>
    <w:rsid w:val="00FE3726"/>
    <w:rsid w:val="00FE38EE"/>
    <w:rsid w:val="00FE39FF"/>
    <w:rsid w:val="00FE3D7A"/>
    <w:rsid w:val="00FE3DC0"/>
    <w:rsid w:val="00FE4077"/>
    <w:rsid w:val="00FE413B"/>
    <w:rsid w:val="00FE4424"/>
    <w:rsid w:val="00FE45F0"/>
    <w:rsid w:val="00FE467B"/>
    <w:rsid w:val="00FE472E"/>
    <w:rsid w:val="00FE4806"/>
    <w:rsid w:val="00FE4809"/>
    <w:rsid w:val="00FE48A8"/>
    <w:rsid w:val="00FE4902"/>
    <w:rsid w:val="00FE4B06"/>
    <w:rsid w:val="00FE4B93"/>
    <w:rsid w:val="00FE4DC8"/>
    <w:rsid w:val="00FE4EF8"/>
    <w:rsid w:val="00FE4F2E"/>
    <w:rsid w:val="00FE51F6"/>
    <w:rsid w:val="00FE5629"/>
    <w:rsid w:val="00FE5799"/>
    <w:rsid w:val="00FE587A"/>
    <w:rsid w:val="00FE58FC"/>
    <w:rsid w:val="00FE5AA7"/>
    <w:rsid w:val="00FE5AED"/>
    <w:rsid w:val="00FE5B1F"/>
    <w:rsid w:val="00FE5C79"/>
    <w:rsid w:val="00FE5CFE"/>
    <w:rsid w:val="00FE5D3C"/>
    <w:rsid w:val="00FE5DE3"/>
    <w:rsid w:val="00FE5E94"/>
    <w:rsid w:val="00FE5F1C"/>
    <w:rsid w:val="00FE62FB"/>
    <w:rsid w:val="00FE639F"/>
    <w:rsid w:val="00FE65FC"/>
    <w:rsid w:val="00FE662D"/>
    <w:rsid w:val="00FE6834"/>
    <w:rsid w:val="00FE6C33"/>
    <w:rsid w:val="00FE6D2A"/>
    <w:rsid w:val="00FE6DAC"/>
    <w:rsid w:val="00FE6DBE"/>
    <w:rsid w:val="00FE6DBF"/>
    <w:rsid w:val="00FE6F74"/>
    <w:rsid w:val="00FE7028"/>
    <w:rsid w:val="00FE7230"/>
    <w:rsid w:val="00FE74D1"/>
    <w:rsid w:val="00FE76AB"/>
    <w:rsid w:val="00FE77DC"/>
    <w:rsid w:val="00FE780E"/>
    <w:rsid w:val="00FE7D28"/>
    <w:rsid w:val="00FE7F17"/>
    <w:rsid w:val="00FE7F58"/>
    <w:rsid w:val="00FF0A24"/>
    <w:rsid w:val="00FF0C51"/>
    <w:rsid w:val="00FF100D"/>
    <w:rsid w:val="00FF1075"/>
    <w:rsid w:val="00FF136F"/>
    <w:rsid w:val="00FF174C"/>
    <w:rsid w:val="00FF1A6E"/>
    <w:rsid w:val="00FF1A9F"/>
    <w:rsid w:val="00FF2123"/>
    <w:rsid w:val="00FF21AC"/>
    <w:rsid w:val="00FF2470"/>
    <w:rsid w:val="00FF2599"/>
    <w:rsid w:val="00FF26B2"/>
    <w:rsid w:val="00FF26BE"/>
    <w:rsid w:val="00FF272A"/>
    <w:rsid w:val="00FF2817"/>
    <w:rsid w:val="00FF28F6"/>
    <w:rsid w:val="00FF2A01"/>
    <w:rsid w:val="00FF2BB9"/>
    <w:rsid w:val="00FF2BDA"/>
    <w:rsid w:val="00FF2D1D"/>
    <w:rsid w:val="00FF32FF"/>
    <w:rsid w:val="00FF37DA"/>
    <w:rsid w:val="00FF3A2F"/>
    <w:rsid w:val="00FF3B41"/>
    <w:rsid w:val="00FF426B"/>
    <w:rsid w:val="00FF45D1"/>
    <w:rsid w:val="00FF4AEF"/>
    <w:rsid w:val="00FF4B0A"/>
    <w:rsid w:val="00FF4CC2"/>
    <w:rsid w:val="00FF4E35"/>
    <w:rsid w:val="00FF5370"/>
    <w:rsid w:val="00FF53D6"/>
    <w:rsid w:val="00FF55A3"/>
    <w:rsid w:val="00FF5694"/>
    <w:rsid w:val="00FF57D3"/>
    <w:rsid w:val="00FF5BC0"/>
    <w:rsid w:val="00FF5C14"/>
    <w:rsid w:val="00FF5DE2"/>
    <w:rsid w:val="00FF5FD9"/>
    <w:rsid w:val="00FF6173"/>
    <w:rsid w:val="00FF619E"/>
    <w:rsid w:val="00FF6477"/>
    <w:rsid w:val="00FF67F8"/>
    <w:rsid w:val="00FF6892"/>
    <w:rsid w:val="00FF6B8B"/>
    <w:rsid w:val="00FF6BB3"/>
    <w:rsid w:val="00FF70CF"/>
    <w:rsid w:val="00FF743F"/>
    <w:rsid w:val="00FF74BF"/>
    <w:rsid w:val="00FF75B9"/>
    <w:rsid w:val="00FF79FA"/>
    <w:rsid w:val="00FF7D01"/>
    <w:rsid w:val="0103009C"/>
    <w:rsid w:val="010914E1"/>
    <w:rsid w:val="0127B2A2"/>
    <w:rsid w:val="01401833"/>
    <w:rsid w:val="01523355"/>
    <w:rsid w:val="015BB105"/>
    <w:rsid w:val="015D3264"/>
    <w:rsid w:val="01767B2F"/>
    <w:rsid w:val="018183B5"/>
    <w:rsid w:val="01853856"/>
    <w:rsid w:val="018CD248"/>
    <w:rsid w:val="019B5924"/>
    <w:rsid w:val="019ED92C"/>
    <w:rsid w:val="01A7EA90"/>
    <w:rsid w:val="01A7EEC2"/>
    <w:rsid w:val="01A7FA78"/>
    <w:rsid w:val="01B36235"/>
    <w:rsid w:val="01D9CA92"/>
    <w:rsid w:val="01DB6139"/>
    <w:rsid w:val="01DBEA97"/>
    <w:rsid w:val="01DD5849"/>
    <w:rsid w:val="01DE16AB"/>
    <w:rsid w:val="01DF4DCB"/>
    <w:rsid w:val="01E0FF02"/>
    <w:rsid w:val="01E72B1E"/>
    <w:rsid w:val="01ED4BE2"/>
    <w:rsid w:val="01F8CBD9"/>
    <w:rsid w:val="01FA8A3E"/>
    <w:rsid w:val="01FDC10A"/>
    <w:rsid w:val="01FDCA82"/>
    <w:rsid w:val="01FE2D51"/>
    <w:rsid w:val="021309CB"/>
    <w:rsid w:val="021FA7C0"/>
    <w:rsid w:val="022A1250"/>
    <w:rsid w:val="022CD2DA"/>
    <w:rsid w:val="02404D66"/>
    <w:rsid w:val="02451886"/>
    <w:rsid w:val="0263D2C4"/>
    <w:rsid w:val="026E2D01"/>
    <w:rsid w:val="026EDDDE"/>
    <w:rsid w:val="027584C5"/>
    <w:rsid w:val="02759D38"/>
    <w:rsid w:val="02844CCB"/>
    <w:rsid w:val="0294A218"/>
    <w:rsid w:val="0297A5F6"/>
    <w:rsid w:val="029AEA26"/>
    <w:rsid w:val="029B9772"/>
    <w:rsid w:val="02A9CF00"/>
    <w:rsid w:val="02C31CC3"/>
    <w:rsid w:val="02CB5E1B"/>
    <w:rsid w:val="02D288B5"/>
    <w:rsid w:val="02D42892"/>
    <w:rsid w:val="02D5508A"/>
    <w:rsid w:val="02E1E59C"/>
    <w:rsid w:val="02EAD1BB"/>
    <w:rsid w:val="030DD6DF"/>
    <w:rsid w:val="0322B149"/>
    <w:rsid w:val="03324D8F"/>
    <w:rsid w:val="03359CA7"/>
    <w:rsid w:val="0338981C"/>
    <w:rsid w:val="033A4C43"/>
    <w:rsid w:val="033B64D9"/>
    <w:rsid w:val="033ED0A7"/>
    <w:rsid w:val="0340F2D5"/>
    <w:rsid w:val="03485E42"/>
    <w:rsid w:val="034EEF12"/>
    <w:rsid w:val="03610914"/>
    <w:rsid w:val="0365C019"/>
    <w:rsid w:val="0369B900"/>
    <w:rsid w:val="036A14C8"/>
    <w:rsid w:val="036B23F6"/>
    <w:rsid w:val="036E3848"/>
    <w:rsid w:val="037EA72A"/>
    <w:rsid w:val="0385FA7B"/>
    <w:rsid w:val="03A0E386"/>
    <w:rsid w:val="03AEFB22"/>
    <w:rsid w:val="03CE0629"/>
    <w:rsid w:val="03E139EC"/>
    <w:rsid w:val="03E7B457"/>
    <w:rsid w:val="03F7378B"/>
    <w:rsid w:val="040195F2"/>
    <w:rsid w:val="04021529"/>
    <w:rsid w:val="0403A2F2"/>
    <w:rsid w:val="040E81E8"/>
    <w:rsid w:val="0413C6FE"/>
    <w:rsid w:val="0417392E"/>
    <w:rsid w:val="04180B4D"/>
    <w:rsid w:val="04371A02"/>
    <w:rsid w:val="0438E034"/>
    <w:rsid w:val="043C00E9"/>
    <w:rsid w:val="043DE657"/>
    <w:rsid w:val="044D9B5C"/>
    <w:rsid w:val="045034D9"/>
    <w:rsid w:val="04533B91"/>
    <w:rsid w:val="04596B88"/>
    <w:rsid w:val="045D604B"/>
    <w:rsid w:val="045E34A5"/>
    <w:rsid w:val="0463D094"/>
    <w:rsid w:val="04646FD4"/>
    <w:rsid w:val="04738FBC"/>
    <w:rsid w:val="04746173"/>
    <w:rsid w:val="047949AE"/>
    <w:rsid w:val="0482E255"/>
    <w:rsid w:val="0496606C"/>
    <w:rsid w:val="04B2C380"/>
    <w:rsid w:val="04B63286"/>
    <w:rsid w:val="04BFC566"/>
    <w:rsid w:val="04CF8364"/>
    <w:rsid w:val="04DD819F"/>
    <w:rsid w:val="04DFC995"/>
    <w:rsid w:val="04E3D199"/>
    <w:rsid w:val="04E52A11"/>
    <w:rsid w:val="04E921CA"/>
    <w:rsid w:val="04EAD03C"/>
    <w:rsid w:val="04EF5D2C"/>
    <w:rsid w:val="050BCB3F"/>
    <w:rsid w:val="05158FA1"/>
    <w:rsid w:val="05203349"/>
    <w:rsid w:val="052643BC"/>
    <w:rsid w:val="052A05C1"/>
    <w:rsid w:val="052A69F3"/>
    <w:rsid w:val="052BCB2B"/>
    <w:rsid w:val="052D09E4"/>
    <w:rsid w:val="05548927"/>
    <w:rsid w:val="055676B2"/>
    <w:rsid w:val="056DB897"/>
    <w:rsid w:val="056EF221"/>
    <w:rsid w:val="05795D7F"/>
    <w:rsid w:val="057D63FB"/>
    <w:rsid w:val="0583C5DA"/>
    <w:rsid w:val="0588C065"/>
    <w:rsid w:val="058E2539"/>
    <w:rsid w:val="058FD9D1"/>
    <w:rsid w:val="05A57D1F"/>
    <w:rsid w:val="05A891E0"/>
    <w:rsid w:val="05BAD278"/>
    <w:rsid w:val="05CA156D"/>
    <w:rsid w:val="05DB8D04"/>
    <w:rsid w:val="05FBA4E4"/>
    <w:rsid w:val="0602C276"/>
    <w:rsid w:val="061882AF"/>
    <w:rsid w:val="062346C8"/>
    <w:rsid w:val="063A864E"/>
    <w:rsid w:val="063A8E79"/>
    <w:rsid w:val="0643584B"/>
    <w:rsid w:val="065AADFB"/>
    <w:rsid w:val="066A6532"/>
    <w:rsid w:val="066E458D"/>
    <w:rsid w:val="0671ED1D"/>
    <w:rsid w:val="06990176"/>
    <w:rsid w:val="06995FFB"/>
    <w:rsid w:val="069F4864"/>
    <w:rsid w:val="069FE203"/>
    <w:rsid w:val="06AA2322"/>
    <w:rsid w:val="06AF2057"/>
    <w:rsid w:val="06BE7A2D"/>
    <w:rsid w:val="06C6DBB6"/>
    <w:rsid w:val="06EB75F0"/>
    <w:rsid w:val="06F17B15"/>
    <w:rsid w:val="070F65B9"/>
    <w:rsid w:val="071D2BE2"/>
    <w:rsid w:val="07200416"/>
    <w:rsid w:val="07236A08"/>
    <w:rsid w:val="0726A68F"/>
    <w:rsid w:val="07339811"/>
    <w:rsid w:val="07388557"/>
    <w:rsid w:val="073D11B8"/>
    <w:rsid w:val="0745B685"/>
    <w:rsid w:val="074B22A7"/>
    <w:rsid w:val="0760E04E"/>
    <w:rsid w:val="0768C84E"/>
    <w:rsid w:val="07751295"/>
    <w:rsid w:val="077D9C34"/>
    <w:rsid w:val="0788390F"/>
    <w:rsid w:val="078D3FFE"/>
    <w:rsid w:val="0791D38E"/>
    <w:rsid w:val="079264A4"/>
    <w:rsid w:val="079380BB"/>
    <w:rsid w:val="079390B0"/>
    <w:rsid w:val="07967FCD"/>
    <w:rsid w:val="079B6C8B"/>
    <w:rsid w:val="079F1FAB"/>
    <w:rsid w:val="07C000E0"/>
    <w:rsid w:val="07C2F71A"/>
    <w:rsid w:val="07CF0E3B"/>
    <w:rsid w:val="07D9A772"/>
    <w:rsid w:val="07EBE9BF"/>
    <w:rsid w:val="07EEB845"/>
    <w:rsid w:val="07EEF2B9"/>
    <w:rsid w:val="07F4E5FA"/>
    <w:rsid w:val="080157D6"/>
    <w:rsid w:val="08017E1E"/>
    <w:rsid w:val="081A79F7"/>
    <w:rsid w:val="083BBD80"/>
    <w:rsid w:val="083BC55C"/>
    <w:rsid w:val="083E9410"/>
    <w:rsid w:val="084087CB"/>
    <w:rsid w:val="084366F8"/>
    <w:rsid w:val="08531126"/>
    <w:rsid w:val="085C29A9"/>
    <w:rsid w:val="085CE86A"/>
    <w:rsid w:val="087BE14E"/>
    <w:rsid w:val="088037BE"/>
    <w:rsid w:val="0884385C"/>
    <w:rsid w:val="088B21B2"/>
    <w:rsid w:val="088BB6E1"/>
    <w:rsid w:val="089516F3"/>
    <w:rsid w:val="0898BBF0"/>
    <w:rsid w:val="089CA7A9"/>
    <w:rsid w:val="08ADCD3E"/>
    <w:rsid w:val="08B3CEF4"/>
    <w:rsid w:val="08B78932"/>
    <w:rsid w:val="08DFFABE"/>
    <w:rsid w:val="08E0E5AF"/>
    <w:rsid w:val="08E9B7A3"/>
    <w:rsid w:val="091BA448"/>
    <w:rsid w:val="093345A6"/>
    <w:rsid w:val="093B8F92"/>
    <w:rsid w:val="0942D29E"/>
    <w:rsid w:val="09447811"/>
    <w:rsid w:val="09543939"/>
    <w:rsid w:val="09564AA3"/>
    <w:rsid w:val="095DFDD1"/>
    <w:rsid w:val="095E6F6E"/>
    <w:rsid w:val="097CAFE7"/>
    <w:rsid w:val="097D7E74"/>
    <w:rsid w:val="0982DA42"/>
    <w:rsid w:val="0998D3C4"/>
    <w:rsid w:val="09B7B818"/>
    <w:rsid w:val="09CFCA9E"/>
    <w:rsid w:val="09D09F15"/>
    <w:rsid w:val="09D4D336"/>
    <w:rsid w:val="09D628A8"/>
    <w:rsid w:val="09EBFA63"/>
    <w:rsid w:val="09F43150"/>
    <w:rsid w:val="09FA9A23"/>
    <w:rsid w:val="0A0222DC"/>
    <w:rsid w:val="0A0EA9DE"/>
    <w:rsid w:val="0A17CA56"/>
    <w:rsid w:val="0A19E602"/>
    <w:rsid w:val="0A1EBAD0"/>
    <w:rsid w:val="0A242916"/>
    <w:rsid w:val="0A438030"/>
    <w:rsid w:val="0A465CE4"/>
    <w:rsid w:val="0A5EB0CA"/>
    <w:rsid w:val="0A666168"/>
    <w:rsid w:val="0A746E6C"/>
    <w:rsid w:val="0A8EC10E"/>
    <w:rsid w:val="0A980837"/>
    <w:rsid w:val="0A989FBC"/>
    <w:rsid w:val="0AA6A0E2"/>
    <w:rsid w:val="0AA93DC4"/>
    <w:rsid w:val="0AC9274D"/>
    <w:rsid w:val="0AD287D2"/>
    <w:rsid w:val="0AD992B1"/>
    <w:rsid w:val="0AE08E47"/>
    <w:rsid w:val="0AEBDCA7"/>
    <w:rsid w:val="0B010A03"/>
    <w:rsid w:val="0B083A61"/>
    <w:rsid w:val="0B172F26"/>
    <w:rsid w:val="0B3154BE"/>
    <w:rsid w:val="0B32091F"/>
    <w:rsid w:val="0B3522BA"/>
    <w:rsid w:val="0B389AF2"/>
    <w:rsid w:val="0B44504D"/>
    <w:rsid w:val="0B5D3CB9"/>
    <w:rsid w:val="0B6ACAA1"/>
    <w:rsid w:val="0B74BAC2"/>
    <w:rsid w:val="0B762472"/>
    <w:rsid w:val="0B7CEE73"/>
    <w:rsid w:val="0B84B1DE"/>
    <w:rsid w:val="0BAC92F4"/>
    <w:rsid w:val="0BAE1349"/>
    <w:rsid w:val="0BAE1B7B"/>
    <w:rsid w:val="0BBFEC8D"/>
    <w:rsid w:val="0BC8EEDF"/>
    <w:rsid w:val="0BD21212"/>
    <w:rsid w:val="0BD7D75D"/>
    <w:rsid w:val="0BEA31B7"/>
    <w:rsid w:val="0BF48852"/>
    <w:rsid w:val="0BFEB0CC"/>
    <w:rsid w:val="0C12B641"/>
    <w:rsid w:val="0C145C54"/>
    <w:rsid w:val="0C15B253"/>
    <w:rsid w:val="0C18BD90"/>
    <w:rsid w:val="0C2F1AA4"/>
    <w:rsid w:val="0C338823"/>
    <w:rsid w:val="0C415A23"/>
    <w:rsid w:val="0C50E2F2"/>
    <w:rsid w:val="0C538162"/>
    <w:rsid w:val="0C556269"/>
    <w:rsid w:val="0C58B333"/>
    <w:rsid w:val="0C6CB877"/>
    <w:rsid w:val="0C6F6F60"/>
    <w:rsid w:val="0C7BD9D0"/>
    <w:rsid w:val="0C944EF6"/>
    <w:rsid w:val="0C9AC030"/>
    <w:rsid w:val="0C9F78DF"/>
    <w:rsid w:val="0CB7E9D2"/>
    <w:rsid w:val="0CC012AD"/>
    <w:rsid w:val="0CC5FDA3"/>
    <w:rsid w:val="0CDA9339"/>
    <w:rsid w:val="0CE7C1A2"/>
    <w:rsid w:val="0CE9F5D6"/>
    <w:rsid w:val="0CEAFDEC"/>
    <w:rsid w:val="0CEB3613"/>
    <w:rsid w:val="0CEFE184"/>
    <w:rsid w:val="0D113796"/>
    <w:rsid w:val="0D19B653"/>
    <w:rsid w:val="0D1C33F9"/>
    <w:rsid w:val="0D2978B8"/>
    <w:rsid w:val="0D2B02FC"/>
    <w:rsid w:val="0D301D9B"/>
    <w:rsid w:val="0D33DD08"/>
    <w:rsid w:val="0D36E26F"/>
    <w:rsid w:val="0D3E5F53"/>
    <w:rsid w:val="0D4095DE"/>
    <w:rsid w:val="0D5C35AE"/>
    <w:rsid w:val="0D6B3E7A"/>
    <w:rsid w:val="0D6C0928"/>
    <w:rsid w:val="0D6DDB64"/>
    <w:rsid w:val="0D77D4A2"/>
    <w:rsid w:val="0D7F1CA7"/>
    <w:rsid w:val="0D7F7CC8"/>
    <w:rsid w:val="0D82FEA0"/>
    <w:rsid w:val="0D862D1C"/>
    <w:rsid w:val="0D883D81"/>
    <w:rsid w:val="0D95249D"/>
    <w:rsid w:val="0DA0C37A"/>
    <w:rsid w:val="0DB1B60F"/>
    <w:rsid w:val="0DBA84B5"/>
    <w:rsid w:val="0DD2812E"/>
    <w:rsid w:val="0DE4542D"/>
    <w:rsid w:val="0DF6F372"/>
    <w:rsid w:val="0E02A866"/>
    <w:rsid w:val="0E21E3FE"/>
    <w:rsid w:val="0E27028A"/>
    <w:rsid w:val="0E4263AE"/>
    <w:rsid w:val="0E429F80"/>
    <w:rsid w:val="0E4BEA41"/>
    <w:rsid w:val="0E4EB5BF"/>
    <w:rsid w:val="0E523054"/>
    <w:rsid w:val="0E66FC41"/>
    <w:rsid w:val="0E67097A"/>
    <w:rsid w:val="0E783D07"/>
    <w:rsid w:val="0E7906C2"/>
    <w:rsid w:val="0E8512D5"/>
    <w:rsid w:val="0E9546DD"/>
    <w:rsid w:val="0EBE9ED6"/>
    <w:rsid w:val="0EC7E428"/>
    <w:rsid w:val="0EC7EA89"/>
    <w:rsid w:val="0ECA5419"/>
    <w:rsid w:val="0ECA664D"/>
    <w:rsid w:val="0ED220F9"/>
    <w:rsid w:val="0ED6C784"/>
    <w:rsid w:val="0EF55DAF"/>
    <w:rsid w:val="0EF97383"/>
    <w:rsid w:val="0F085C96"/>
    <w:rsid w:val="0F192656"/>
    <w:rsid w:val="0F1B70BF"/>
    <w:rsid w:val="0F31BC2E"/>
    <w:rsid w:val="0F393DF7"/>
    <w:rsid w:val="0F41A0A0"/>
    <w:rsid w:val="0F4DEFED"/>
    <w:rsid w:val="0F54C2FB"/>
    <w:rsid w:val="0F568700"/>
    <w:rsid w:val="0F69DC2A"/>
    <w:rsid w:val="0F7AEA61"/>
    <w:rsid w:val="0F86821F"/>
    <w:rsid w:val="0F8995E3"/>
    <w:rsid w:val="0F98BF7A"/>
    <w:rsid w:val="0F9E5420"/>
    <w:rsid w:val="0F9FD920"/>
    <w:rsid w:val="0F9FE3A4"/>
    <w:rsid w:val="0FA0E04B"/>
    <w:rsid w:val="0FB3B995"/>
    <w:rsid w:val="0FB851A8"/>
    <w:rsid w:val="0FBA0523"/>
    <w:rsid w:val="0FC1959D"/>
    <w:rsid w:val="0FE4072E"/>
    <w:rsid w:val="0FE913EC"/>
    <w:rsid w:val="0FFC35D5"/>
    <w:rsid w:val="10046DD7"/>
    <w:rsid w:val="1008DED9"/>
    <w:rsid w:val="100D1A5F"/>
    <w:rsid w:val="101D21DE"/>
    <w:rsid w:val="102271C0"/>
    <w:rsid w:val="102D30D8"/>
    <w:rsid w:val="103D42D3"/>
    <w:rsid w:val="103FBA86"/>
    <w:rsid w:val="1057FF97"/>
    <w:rsid w:val="10586D09"/>
    <w:rsid w:val="105DEA88"/>
    <w:rsid w:val="107AE44E"/>
    <w:rsid w:val="1082A03A"/>
    <w:rsid w:val="108AA578"/>
    <w:rsid w:val="10912D63"/>
    <w:rsid w:val="109D7075"/>
    <w:rsid w:val="10ABD5A9"/>
    <w:rsid w:val="10AC035C"/>
    <w:rsid w:val="10B6D31B"/>
    <w:rsid w:val="10BE5C07"/>
    <w:rsid w:val="10C0517B"/>
    <w:rsid w:val="10C684B1"/>
    <w:rsid w:val="10E66747"/>
    <w:rsid w:val="10F1E469"/>
    <w:rsid w:val="10F8B0FD"/>
    <w:rsid w:val="11049508"/>
    <w:rsid w:val="11070490"/>
    <w:rsid w:val="110976AB"/>
    <w:rsid w:val="110BA8D9"/>
    <w:rsid w:val="110ED7E8"/>
    <w:rsid w:val="1123EEE2"/>
    <w:rsid w:val="11241128"/>
    <w:rsid w:val="113DAED1"/>
    <w:rsid w:val="1153B068"/>
    <w:rsid w:val="115B0DE9"/>
    <w:rsid w:val="1177FCE9"/>
    <w:rsid w:val="11821800"/>
    <w:rsid w:val="119E486E"/>
    <w:rsid w:val="11A93829"/>
    <w:rsid w:val="11B75676"/>
    <w:rsid w:val="11CF1446"/>
    <w:rsid w:val="11D37324"/>
    <w:rsid w:val="11D3F1D0"/>
    <w:rsid w:val="11D866A7"/>
    <w:rsid w:val="11DBFD78"/>
    <w:rsid w:val="11DE681F"/>
    <w:rsid w:val="11E85E1D"/>
    <w:rsid w:val="11EC1145"/>
    <w:rsid w:val="11F8AC0E"/>
    <w:rsid w:val="11FD15F2"/>
    <w:rsid w:val="11FF94F9"/>
    <w:rsid w:val="120860FA"/>
    <w:rsid w:val="120FECB6"/>
    <w:rsid w:val="121E0BF4"/>
    <w:rsid w:val="12208DCF"/>
    <w:rsid w:val="1221DCC8"/>
    <w:rsid w:val="1222275B"/>
    <w:rsid w:val="1227EB37"/>
    <w:rsid w:val="122B9B5C"/>
    <w:rsid w:val="123A6B2D"/>
    <w:rsid w:val="123A80D9"/>
    <w:rsid w:val="12508F63"/>
    <w:rsid w:val="1253EE6C"/>
    <w:rsid w:val="125945A0"/>
    <w:rsid w:val="125D3E67"/>
    <w:rsid w:val="12612A9A"/>
    <w:rsid w:val="1265AA1F"/>
    <w:rsid w:val="126E0A39"/>
    <w:rsid w:val="1274EE3C"/>
    <w:rsid w:val="1282C6C6"/>
    <w:rsid w:val="12906CB9"/>
    <w:rsid w:val="12911CC1"/>
    <w:rsid w:val="1294E201"/>
    <w:rsid w:val="12975C0C"/>
    <w:rsid w:val="12AFEEC3"/>
    <w:rsid w:val="12BCFAC9"/>
    <w:rsid w:val="12C9D458"/>
    <w:rsid w:val="12DBA27B"/>
    <w:rsid w:val="12E0E9EA"/>
    <w:rsid w:val="12E2C0D1"/>
    <w:rsid w:val="12E59A74"/>
    <w:rsid w:val="12EACA98"/>
    <w:rsid w:val="12ED1D6B"/>
    <w:rsid w:val="12EDA5E2"/>
    <w:rsid w:val="12EDC17F"/>
    <w:rsid w:val="12F4AC51"/>
    <w:rsid w:val="12FA9D6B"/>
    <w:rsid w:val="13029F60"/>
    <w:rsid w:val="130774C2"/>
    <w:rsid w:val="130DFE62"/>
    <w:rsid w:val="1312B739"/>
    <w:rsid w:val="131D73AE"/>
    <w:rsid w:val="1324479F"/>
    <w:rsid w:val="1341A15F"/>
    <w:rsid w:val="1342CF8A"/>
    <w:rsid w:val="1344A49D"/>
    <w:rsid w:val="134708D8"/>
    <w:rsid w:val="1348F463"/>
    <w:rsid w:val="1351C9F7"/>
    <w:rsid w:val="13542011"/>
    <w:rsid w:val="1358B93F"/>
    <w:rsid w:val="135C3B02"/>
    <w:rsid w:val="135D2447"/>
    <w:rsid w:val="13647899"/>
    <w:rsid w:val="136598D0"/>
    <w:rsid w:val="13675905"/>
    <w:rsid w:val="13846525"/>
    <w:rsid w:val="1391C078"/>
    <w:rsid w:val="13949ABE"/>
    <w:rsid w:val="139BC99A"/>
    <w:rsid w:val="139D7B15"/>
    <w:rsid w:val="13A8A4E7"/>
    <w:rsid w:val="13A9534F"/>
    <w:rsid w:val="13AAF1BA"/>
    <w:rsid w:val="13AE6F45"/>
    <w:rsid w:val="13AF87DB"/>
    <w:rsid w:val="13B94CEA"/>
    <w:rsid w:val="13BDC5E6"/>
    <w:rsid w:val="13BE1F13"/>
    <w:rsid w:val="13C53AA5"/>
    <w:rsid w:val="13C76DCF"/>
    <w:rsid w:val="13C8C3C6"/>
    <w:rsid w:val="13D00447"/>
    <w:rsid w:val="13F5A100"/>
    <w:rsid w:val="140622CE"/>
    <w:rsid w:val="1407497F"/>
    <w:rsid w:val="1407CA33"/>
    <w:rsid w:val="140BD6BB"/>
    <w:rsid w:val="14116714"/>
    <w:rsid w:val="141C6BA9"/>
    <w:rsid w:val="142E526A"/>
    <w:rsid w:val="142F576F"/>
    <w:rsid w:val="143479E9"/>
    <w:rsid w:val="1445A0A9"/>
    <w:rsid w:val="1454AECD"/>
    <w:rsid w:val="1456151F"/>
    <w:rsid w:val="1456A482"/>
    <w:rsid w:val="145B37F7"/>
    <w:rsid w:val="145B3C87"/>
    <w:rsid w:val="145B94DA"/>
    <w:rsid w:val="145CCB85"/>
    <w:rsid w:val="145D4EF5"/>
    <w:rsid w:val="1461821C"/>
    <w:rsid w:val="1463CF3A"/>
    <w:rsid w:val="1466BA1D"/>
    <w:rsid w:val="1468DA41"/>
    <w:rsid w:val="146CE8E3"/>
    <w:rsid w:val="146F43DF"/>
    <w:rsid w:val="1470CFA0"/>
    <w:rsid w:val="14724E67"/>
    <w:rsid w:val="147E573B"/>
    <w:rsid w:val="148B3F7A"/>
    <w:rsid w:val="148F183E"/>
    <w:rsid w:val="14955FC3"/>
    <w:rsid w:val="149C6B83"/>
    <w:rsid w:val="149CF5BE"/>
    <w:rsid w:val="14A4F1FD"/>
    <w:rsid w:val="14B63496"/>
    <w:rsid w:val="14CE03C6"/>
    <w:rsid w:val="14D6C6A7"/>
    <w:rsid w:val="14D76721"/>
    <w:rsid w:val="14F0B435"/>
    <w:rsid w:val="14F717D3"/>
    <w:rsid w:val="150699CE"/>
    <w:rsid w:val="151402B7"/>
    <w:rsid w:val="15216133"/>
    <w:rsid w:val="152B7C17"/>
    <w:rsid w:val="15436B3E"/>
    <w:rsid w:val="154B7D19"/>
    <w:rsid w:val="1553731C"/>
    <w:rsid w:val="155422A8"/>
    <w:rsid w:val="155873D9"/>
    <w:rsid w:val="155AADE3"/>
    <w:rsid w:val="155C641D"/>
    <w:rsid w:val="15621703"/>
    <w:rsid w:val="156747C5"/>
    <w:rsid w:val="15695E01"/>
    <w:rsid w:val="156BB864"/>
    <w:rsid w:val="15786D35"/>
    <w:rsid w:val="157E9179"/>
    <w:rsid w:val="15860DA7"/>
    <w:rsid w:val="158B010B"/>
    <w:rsid w:val="158D917D"/>
    <w:rsid w:val="159822AF"/>
    <w:rsid w:val="15A8680B"/>
    <w:rsid w:val="15B52D35"/>
    <w:rsid w:val="15BFEFFB"/>
    <w:rsid w:val="15C17BB8"/>
    <w:rsid w:val="15C379C3"/>
    <w:rsid w:val="15EC617F"/>
    <w:rsid w:val="15F908CE"/>
    <w:rsid w:val="15FA6415"/>
    <w:rsid w:val="15FAD7D8"/>
    <w:rsid w:val="16001411"/>
    <w:rsid w:val="160674A5"/>
    <w:rsid w:val="162BC640"/>
    <w:rsid w:val="16335C3F"/>
    <w:rsid w:val="1663DF11"/>
    <w:rsid w:val="16684222"/>
    <w:rsid w:val="1671AA80"/>
    <w:rsid w:val="167C035D"/>
    <w:rsid w:val="167F614F"/>
    <w:rsid w:val="167FB92A"/>
    <w:rsid w:val="16A66DD8"/>
    <w:rsid w:val="16AD1F76"/>
    <w:rsid w:val="16B4346B"/>
    <w:rsid w:val="16BBE870"/>
    <w:rsid w:val="16D10782"/>
    <w:rsid w:val="16D25D4D"/>
    <w:rsid w:val="16D4F71E"/>
    <w:rsid w:val="16DC3439"/>
    <w:rsid w:val="16DD1C70"/>
    <w:rsid w:val="16DED3F6"/>
    <w:rsid w:val="16E81CD6"/>
    <w:rsid w:val="16EAF1D8"/>
    <w:rsid w:val="16EC8A56"/>
    <w:rsid w:val="16F9CDFA"/>
    <w:rsid w:val="170938AC"/>
    <w:rsid w:val="170C6E8E"/>
    <w:rsid w:val="171262DB"/>
    <w:rsid w:val="1718B441"/>
    <w:rsid w:val="171E7257"/>
    <w:rsid w:val="171F3F6E"/>
    <w:rsid w:val="171F4794"/>
    <w:rsid w:val="1727CD4A"/>
    <w:rsid w:val="172F7EEF"/>
    <w:rsid w:val="1739968E"/>
    <w:rsid w:val="173B0BD1"/>
    <w:rsid w:val="174054F5"/>
    <w:rsid w:val="176641D5"/>
    <w:rsid w:val="176AE3C3"/>
    <w:rsid w:val="176D5AED"/>
    <w:rsid w:val="176F1D9A"/>
    <w:rsid w:val="1771B4EC"/>
    <w:rsid w:val="1777EA9E"/>
    <w:rsid w:val="177A892F"/>
    <w:rsid w:val="17866212"/>
    <w:rsid w:val="17890D7F"/>
    <w:rsid w:val="178CE823"/>
    <w:rsid w:val="17979AEC"/>
    <w:rsid w:val="17A61FCA"/>
    <w:rsid w:val="17A69A6C"/>
    <w:rsid w:val="17A98E5C"/>
    <w:rsid w:val="17AC44E1"/>
    <w:rsid w:val="17B2FBF2"/>
    <w:rsid w:val="17B54146"/>
    <w:rsid w:val="17B68B8F"/>
    <w:rsid w:val="17D0CA8C"/>
    <w:rsid w:val="17D2494A"/>
    <w:rsid w:val="17D42E6A"/>
    <w:rsid w:val="17E02DEF"/>
    <w:rsid w:val="17E99B9A"/>
    <w:rsid w:val="17F04A08"/>
    <w:rsid w:val="17F2B88E"/>
    <w:rsid w:val="17F634AE"/>
    <w:rsid w:val="17FDADA3"/>
    <w:rsid w:val="17FEE251"/>
    <w:rsid w:val="1802C39C"/>
    <w:rsid w:val="1806D24C"/>
    <w:rsid w:val="18076B04"/>
    <w:rsid w:val="180781E4"/>
    <w:rsid w:val="1808765A"/>
    <w:rsid w:val="180CC699"/>
    <w:rsid w:val="1814B9FF"/>
    <w:rsid w:val="1815F935"/>
    <w:rsid w:val="181A5E05"/>
    <w:rsid w:val="18324E56"/>
    <w:rsid w:val="18386215"/>
    <w:rsid w:val="183CCAC9"/>
    <w:rsid w:val="183E17D5"/>
    <w:rsid w:val="183E8F83"/>
    <w:rsid w:val="1840324A"/>
    <w:rsid w:val="1845DC1C"/>
    <w:rsid w:val="18518423"/>
    <w:rsid w:val="1851CE9B"/>
    <w:rsid w:val="18559A50"/>
    <w:rsid w:val="1865FCAF"/>
    <w:rsid w:val="18689D78"/>
    <w:rsid w:val="186A7210"/>
    <w:rsid w:val="186B226C"/>
    <w:rsid w:val="1878A542"/>
    <w:rsid w:val="188CC783"/>
    <w:rsid w:val="189F83FA"/>
    <w:rsid w:val="18AAB37B"/>
    <w:rsid w:val="18B1E972"/>
    <w:rsid w:val="18BBF1BF"/>
    <w:rsid w:val="18BCBBD9"/>
    <w:rsid w:val="18CB6A56"/>
    <w:rsid w:val="18CEB1E5"/>
    <w:rsid w:val="18D0BC9C"/>
    <w:rsid w:val="18DAB256"/>
    <w:rsid w:val="18DC0D59"/>
    <w:rsid w:val="18E17F5D"/>
    <w:rsid w:val="18E2C62A"/>
    <w:rsid w:val="18F109CE"/>
    <w:rsid w:val="191993F3"/>
    <w:rsid w:val="19264DD0"/>
    <w:rsid w:val="192E9876"/>
    <w:rsid w:val="19312BD9"/>
    <w:rsid w:val="19437D70"/>
    <w:rsid w:val="194DB798"/>
    <w:rsid w:val="194E17B0"/>
    <w:rsid w:val="194E2C9E"/>
    <w:rsid w:val="19570271"/>
    <w:rsid w:val="195AC6C9"/>
    <w:rsid w:val="1964A633"/>
    <w:rsid w:val="19653389"/>
    <w:rsid w:val="1973F5E4"/>
    <w:rsid w:val="1981FC76"/>
    <w:rsid w:val="1990B6D1"/>
    <w:rsid w:val="19AC87E5"/>
    <w:rsid w:val="19AFDE47"/>
    <w:rsid w:val="19C9447D"/>
    <w:rsid w:val="19CD0851"/>
    <w:rsid w:val="19D81ECD"/>
    <w:rsid w:val="19F07051"/>
    <w:rsid w:val="19F3AAAC"/>
    <w:rsid w:val="19F77AD8"/>
    <w:rsid w:val="1A0D5C0B"/>
    <w:rsid w:val="1A125B69"/>
    <w:rsid w:val="1A1F753D"/>
    <w:rsid w:val="1A20809B"/>
    <w:rsid w:val="1A288661"/>
    <w:rsid w:val="1A33FBB0"/>
    <w:rsid w:val="1A44F818"/>
    <w:rsid w:val="1A4F4A8A"/>
    <w:rsid w:val="1A5324A0"/>
    <w:rsid w:val="1A5608DD"/>
    <w:rsid w:val="1A5F2D1B"/>
    <w:rsid w:val="1A66C31A"/>
    <w:rsid w:val="1A6D10E8"/>
    <w:rsid w:val="1A74805C"/>
    <w:rsid w:val="1A8E9358"/>
    <w:rsid w:val="1A92C153"/>
    <w:rsid w:val="1A9751FA"/>
    <w:rsid w:val="1AA0ABA8"/>
    <w:rsid w:val="1AA3CC3F"/>
    <w:rsid w:val="1AB066B3"/>
    <w:rsid w:val="1AB14DE5"/>
    <w:rsid w:val="1AB4A9AD"/>
    <w:rsid w:val="1AB5260C"/>
    <w:rsid w:val="1AB9F38D"/>
    <w:rsid w:val="1ABB9AE0"/>
    <w:rsid w:val="1AC5249C"/>
    <w:rsid w:val="1ACF8532"/>
    <w:rsid w:val="1AD6EE87"/>
    <w:rsid w:val="1AEC5DF0"/>
    <w:rsid w:val="1AF88FC1"/>
    <w:rsid w:val="1AFEBB15"/>
    <w:rsid w:val="1B020B59"/>
    <w:rsid w:val="1B04342D"/>
    <w:rsid w:val="1B0C4B2C"/>
    <w:rsid w:val="1B115A16"/>
    <w:rsid w:val="1B118CCF"/>
    <w:rsid w:val="1B124DEB"/>
    <w:rsid w:val="1B284747"/>
    <w:rsid w:val="1B2C00B1"/>
    <w:rsid w:val="1B3B3F83"/>
    <w:rsid w:val="1B3C7014"/>
    <w:rsid w:val="1B47624D"/>
    <w:rsid w:val="1B5211B0"/>
    <w:rsid w:val="1B5F2D05"/>
    <w:rsid w:val="1B69666E"/>
    <w:rsid w:val="1B6B70D2"/>
    <w:rsid w:val="1B72F176"/>
    <w:rsid w:val="1B788F5A"/>
    <w:rsid w:val="1B79E43A"/>
    <w:rsid w:val="1B843771"/>
    <w:rsid w:val="1B8C5C8C"/>
    <w:rsid w:val="1B961E90"/>
    <w:rsid w:val="1BA19C97"/>
    <w:rsid w:val="1BAAFB3D"/>
    <w:rsid w:val="1BB96FBA"/>
    <w:rsid w:val="1BC05632"/>
    <w:rsid w:val="1BCB9FEB"/>
    <w:rsid w:val="1BCDB360"/>
    <w:rsid w:val="1BD6BFB4"/>
    <w:rsid w:val="1BDB7413"/>
    <w:rsid w:val="1C19EFE5"/>
    <w:rsid w:val="1C1A490D"/>
    <w:rsid w:val="1C3377D9"/>
    <w:rsid w:val="1C3436CF"/>
    <w:rsid w:val="1C36B4AD"/>
    <w:rsid w:val="1C376FA3"/>
    <w:rsid w:val="1C465130"/>
    <w:rsid w:val="1C4D2513"/>
    <w:rsid w:val="1C563AB4"/>
    <w:rsid w:val="1C5FD375"/>
    <w:rsid w:val="1C64A53F"/>
    <w:rsid w:val="1C67C489"/>
    <w:rsid w:val="1C6A1C4E"/>
    <w:rsid w:val="1C6CC6BC"/>
    <w:rsid w:val="1C7E2444"/>
    <w:rsid w:val="1C7EB1C1"/>
    <w:rsid w:val="1C8101C6"/>
    <w:rsid w:val="1C93F3FC"/>
    <w:rsid w:val="1C9FE35E"/>
    <w:rsid w:val="1CA071E2"/>
    <w:rsid w:val="1CA23BF9"/>
    <w:rsid w:val="1CA349B1"/>
    <w:rsid w:val="1CA59F34"/>
    <w:rsid w:val="1CB174D8"/>
    <w:rsid w:val="1CBCC484"/>
    <w:rsid w:val="1CCA32DD"/>
    <w:rsid w:val="1CD5F802"/>
    <w:rsid w:val="1CE8632C"/>
    <w:rsid w:val="1CEAF771"/>
    <w:rsid w:val="1CF5E0A3"/>
    <w:rsid w:val="1D103BEC"/>
    <w:rsid w:val="1D15B278"/>
    <w:rsid w:val="1D2B8183"/>
    <w:rsid w:val="1D2CE270"/>
    <w:rsid w:val="1D59F679"/>
    <w:rsid w:val="1D7ABC60"/>
    <w:rsid w:val="1D7D04AB"/>
    <w:rsid w:val="1D97FD6C"/>
    <w:rsid w:val="1D99E518"/>
    <w:rsid w:val="1DA11F5F"/>
    <w:rsid w:val="1DA29D2A"/>
    <w:rsid w:val="1DC3EFA1"/>
    <w:rsid w:val="1DEB1559"/>
    <w:rsid w:val="1DEC7939"/>
    <w:rsid w:val="1DEDB6E8"/>
    <w:rsid w:val="1E08AEEF"/>
    <w:rsid w:val="1E152CB5"/>
    <w:rsid w:val="1E2064A9"/>
    <w:rsid w:val="1E24FAF3"/>
    <w:rsid w:val="1E2BEF0D"/>
    <w:rsid w:val="1E33536F"/>
    <w:rsid w:val="1E3361EE"/>
    <w:rsid w:val="1E3C2AA5"/>
    <w:rsid w:val="1E3C67CB"/>
    <w:rsid w:val="1E45B617"/>
    <w:rsid w:val="1E4BD1E5"/>
    <w:rsid w:val="1E52B35E"/>
    <w:rsid w:val="1E5D38F1"/>
    <w:rsid w:val="1E6552D0"/>
    <w:rsid w:val="1E680358"/>
    <w:rsid w:val="1E6E3B93"/>
    <w:rsid w:val="1E755452"/>
    <w:rsid w:val="1E7E3F64"/>
    <w:rsid w:val="1E808D46"/>
    <w:rsid w:val="1E809163"/>
    <w:rsid w:val="1E8C6B5D"/>
    <w:rsid w:val="1E921D70"/>
    <w:rsid w:val="1E9BEA65"/>
    <w:rsid w:val="1EA10582"/>
    <w:rsid w:val="1EA3A1DA"/>
    <w:rsid w:val="1EA7CDC1"/>
    <w:rsid w:val="1EA95B1C"/>
    <w:rsid w:val="1EB1DDA3"/>
    <w:rsid w:val="1EBC7DB1"/>
    <w:rsid w:val="1EC0D4FF"/>
    <w:rsid w:val="1EC875D4"/>
    <w:rsid w:val="1EE05FAF"/>
    <w:rsid w:val="1EE43BEB"/>
    <w:rsid w:val="1EFA01F5"/>
    <w:rsid w:val="1EFA65D7"/>
    <w:rsid w:val="1EFBD1FE"/>
    <w:rsid w:val="1EFC8217"/>
    <w:rsid w:val="1F04DF88"/>
    <w:rsid w:val="1F2012DD"/>
    <w:rsid w:val="1F307BF2"/>
    <w:rsid w:val="1F3B147F"/>
    <w:rsid w:val="1F466319"/>
    <w:rsid w:val="1F4EAEF5"/>
    <w:rsid w:val="1F504617"/>
    <w:rsid w:val="1F67DFFE"/>
    <w:rsid w:val="1F69A8C9"/>
    <w:rsid w:val="1F714441"/>
    <w:rsid w:val="1F7EC3AE"/>
    <w:rsid w:val="1F8BB53C"/>
    <w:rsid w:val="1F9A9A65"/>
    <w:rsid w:val="1FAC85AE"/>
    <w:rsid w:val="1FAC90BF"/>
    <w:rsid w:val="1FB310AF"/>
    <w:rsid w:val="1FC4B40B"/>
    <w:rsid w:val="1FCB357B"/>
    <w:rsid w:val="1FCFC106"/>
    <w:rsid w:val="1FD95771"/>
    <w:rsid w:val="1FDEC487"/>
    <w:rsid w:val="1FE8D2FB"/>
    <w:rsid w:val="1FE90170"/>
    <w:rsid w:val="1FF58979"/>
    <w:rsid w:val="20050F8E"/>
    <w:rsid w:val="20106F83"/>
    <w:rsid w:val="2010D211"/>
    <w:rsid w:val="202861C4"/>
    <w:rsid w:val="20316C6A"/>
    <w:rsid w:val="203842A1"/>
    <w:rsid w:val="204A694E"/>
    <w:rsid w:val="2050FD0E"/>
    <w:rsid w:val="205CB572"/>
    <w:rsid w:val="20617059"/>
    <w:rsid w:val="20679D27"/>
    <w:rsid w:val="2069DE05"/>
    <w:rsid w:val="206EFFA4"/>
    <w:rsid w:val="207053E3"/>
    <w:rsid w:val="207E5816"/>
    <w:rsid w:val="208E655F"/>
    <w:rsid w:val="2097FB18"/>
    <w:rsid w:val="20B85356"/>
    <w:rsid w:val="20C5AF4B"/>
    <w:rsid w:val="20C8B050"/>
    <w:rsid w:val="20CA1D1E"/>
    <w:rsid w:val="20CC4C47"/>
    <w:rsid w:val="20D0C38D"/>
    <w:rsid w:val="20D10170"/>
    <w:rsid w:val="20D4D14A"/>
    <w:rsid w:val="20DB0B9A"/>
    <w:rsid w:val="20E7373B"/>
    <w:rsid w:val="20FC94EF"/>
    <w:rsid w:val="20FD58DA"/>
    <w:rsid w:val="21003437"/>
    <w:rsid w:val="2105A908"/>
    <w:rsid w:val="2114F112"/>
    <w:rsid w:val="211A90AE"/>
    <w:rsid w:val="2129B46D"/>
    <w:rsid w:val="212EC324"/>
    <w:rsid w:val="2132B5B9"/>
    <w:rsid w:val="21383028"/>
    <w:rsid w:val="213959C3"/>
    <w:rsid w:val="213CC36E"/>
    <w:rsid w:val="21412424"/>
    <w:rsid w:val="2144AD2B"/>
    <w:rsid w:val="2151ABE1"/>
    <w:rsid w:val="2165AF76"/>
    <w:rsid w:val="2171751E"/>
    <w:rsid w:val="2181A289"/>
    <w:rsid w:val="218E9517"/>
    <w:rsid w:val="2195B71A"/>
    <w:rsid w:val="2199B0F5"/>
    <w:rsid w:val="21A3CBCA"/>
    <w:rsid w:val="21A3F034"/>
    <w:rsid w:val="21A6230F"/>
    <w:rsid w:val="21AB7F42"/>
    <w:rsid w:val="21C600B1"/>
    <w:rsid w:val="21CA84B2"/>
    <w:rsid w:val="21D9329A"/>
    <w:rsid w:val="22071299"/>
    <w:rsid w:val="221CC0E4"/>
    <w:rsid w:val="22380027"/>
    <w:rsid w:val="22437564"/>
    <w:rsid w:val="22470192"/>
    <w:rsid w:val="22493DDE"/>
    <w:rsid w:val="225DC757"/>
    <w:rsid w:val="22733972"/>
    <w:rsid w:val="2290A363"/>
    <w:rsid w:val="2299C498"/>
    <w:rsid w:val="22A084F6"/>
    <w:rsid w:val="22AE8A53"/>
    <w:rsid w:val="22B67615"/>
    <w:rsid w:val="22BEAD3F"/>
    <w:rsid w:val="22CA6BBA"/>
    <w:rsid w:val="22D95D16"/>
    <w:rsid w:val="22E4E5B4"/>
    <w:rsid w:val="22E84C5F"/>
    <w:rsid w:val="22F1CB88"/>
    <w:rsid w:val="23038BAD"/>
    <w:rsid w:val="2309BAA9"/>
    <w:rsid w:val="231372DE"/>
    <w:rsid w:val="2326CA86"/>
    <w:rsid w:val="232C9E11"/>
    <w:rsid w:val="2339EEF5"/>
    <w:rsid w:val="23413AA9"/>
    <w:rsid w:val="2347092E"/>
    <w:rsid w:val="23483434"/>
    <w:rsid w:val="2348983C"/>
    <w:rsid w:val="2348EE70"/>
    <w:rsid w:val="234AB935"/>
    <w:rsid w:val="2350549C"/>
    <w:rsid w:val="235627B5"/>
    <w:rsid w:val="235D83F7"/>
    <w:rsid w:val="23621B37"/>
    <w:rsid w:val="236860A8"/>
    <w:rsid w:val="23720B7D"/>
    <w:rsid w:val="23732E41"/>
    <w:rsid w:val="23747C8D"/>
    <w:rsid w:val="2374F3A6"/>
    <w:rsid w:val="2376773F"/>
    <w:rsid w:val="2376F226"/>
    <w:rsid w:val="23791A29"/>
    <w:rsid w:val="237C0C94"/>
    <w:rsid w:val="23852E02"/>
    <w:rsid w:val="238FF77D"/>
    <w:rsid w:val="23910AD1"/>
    <w:rsid w:val="23914F67"/>
    <w:rsid w:val="2399F2F3"/>
    <w:rsid w:val="239A8DFF"/>
    <w:rsid w:val="239C42B8"/>
    <w:rsid w:val="23A06957"/>
    <w:rsid w:val="23A79E9D"/>
    <w:rsid w:val="23AD1B13"/>
    <w:rsid w:val="23B1A92C"/>
    <w:rsid w:val="23B5A370"/>
    <w:rsid w:val="23C87A48"/>
    <w:rsid w:val="23CDA8EE"/>
    <w:rsid w:val="23D82C9B"/>
    <w:rsid w:val="23F02BB7"/>
    <w:rsid w:val="23F100DE"/>
    <w:rsid w:val="23F46A5D"/>
    <w:rsid w:val="23F786F1"/>
    <w:rsid w:val="240121BA"/>
    <w:rsid w:val="240229D6"/>
    <w:rsid w:val="24163752"/>
    <w:rsid w:val="24182755"/>
    <w:rsid w:val="241AACA0"/>
    <w:rsid w:val="241D7F19"/>
    <w:rsid w:val="2427CE3C"/>
    <w:rsid w:val="24288405"/>
    <w:rsid w:val="242A1186"/>
    <w:rsid w:val="24322BC2"/>
    <w:rsid w:val="24475CDF"/>
    <w:rsid w:val="244C78F7"/>
    <w:rsid w:val="244FF4F5"/>
    <w:rsid w:val="2458CAC3"/>
    <w:rsid w:val="2471DF28"/>
    <w:rsid w:val="247833F2"/>
    <w:rsid w:val="247F487C"/>
    <w:rsid w:val="2481D668"/>
    <w:rsid w:val="2488FB24"/>
    <w:rsid w:val="248F2327"/>
    <w:rsid w:val="24916DEB"/>
    <w:rsid w:val="2498D108"/>
    <w:rsid w:val="24BA4F15"/>
    <w:rsid w:val="24C4ED45"/>
    <w:rsid w:val="24C79D03"/>
    <w:rsid w:val="24D55055"/>
    <w:rsid w:val="24EBBB80"/>
    <w:rsid w:val="24F82475"/>
    <w:rsid w:val="25134DD7"/>
    <w:rsid w:val="25196448"/>
    <w:rsid w:val="251BDADB"/>
    <w:rsid w:val="252F4930"/>
    <w:rsid w:val="253519E4"/>
    <w:rsid w:val="25388739"/>
    <w:rsid w:val="253A93E5"/>
    <w:rsid w:val="2541A651"/>
    <w:rsid w:val="255322C8"/>
    <w:rsid w:val="2556E02C"/>
    <w:rsid w:val="2570D18E"/>
    <w:rsid w:val="2572A247"/>
    <w:rsid w:val="2573E45F"/>
    <w:rsid w:val="2583B61F"/>
    <w:rsid w:val="258642FC"/>
    <w:rsid w:val="2589586B"/>
    <w:rsid w:val="258B77E7"/>
    <w:rsid w:val="25A610A6"/>
    <w:rsid w:val="25AAABCB"/>
    <w:rsid w:val="25BAF5AD"/>
    <w:rsid w:val="25DD2B88"/>
    <w:rsid w:val="25E3FD8F"/>
    <w:rsid w:val="25E9F90F"/>
    <w:rsid w:val="25F7AC5E"/>
    <w:rsid w:val="26162263"/>
    <w:rsid w:val="263C05DB"/>
    <w:rsid w:val="264993E1"/>
    <w:rsid w:val="265A7134"/>
    <w:rsid w:val="265C91AB"/>
    <w:rsid w:val="2666D18F"/>
    <w:rsid w:val="2669A6F2"/>
    <w:rsid w:val="268134AD"/>
    <w:rsid w:val="2684D468"/>
    <w:rsid w:val="268577C7"/>
    <w:rsid w:val="268A4C1E"/>
    <w:rsid w:val="268FD560"/>
    <w:rsid w:val="26A4628B"/>
    <w:rsid w:val="26B365B2"/>
    <w:rsid w:val="26B5D6DB"/>
    <w:rsid w:val="26BBC193"/>
    <w:rsid w:val="26CA1C00"/>
    <w:rsid w:val="26CE1F7E"/>
    <w:rsid w:val="26EAED31"/>
    <w:rsid w:val="26EB996B"/>
    <w:rsid w:val="26F78EC1"/>
    <w:rsid w:val="26FF130D"/>
    <w:rsid w:val="270952B2"/>
    <w:rsid w:val="270E5791"/>
    <w:rsid w:val="2719C5E2"/>
    <w:rsid w:val="271FFF62"/>
    <w:rsid w:val="27220D45"/>
    <w:rsid w:val="2731CAAD"/>
    <w:rsid w:val="2735762C"/>
    <w:rsid w:val="27444B3C"/>
    <w:rsid w:val="27541D10"/>
    <w:rsid w:val="277514C4"/>
    <w:rsid w:val="278347FF"/>
    <w:rsid w:val="27864B56"/>
    <w:rsid w:val="27B327E2"/>
    <w:rsid w:val="27BB39C9"/>
    <w:rsid w:val="27CBE1A1"/>
    <w:rsid w:val="27D7CD44"/>
    <w:rsid w:val="27E7216A"/>
    <w:rsid w:val="28091049"/>
    <w:rsid w:val="28160F91"/>
    <w:rsid w:val="28315A43"/>
    <w:rsid w:val="2832D4A5"/>
    <w:rsid w:val="284EF822"/>
    <w:rsid w:val="28583672"/>
    <w:rsid w:val="28601313"/>
    <w:rsid w:val="28709F0E"/>
    <w:rsid w:val="287D342D"/>
    <w:rsid w:val="288395EC"/>
    <w:rsid w:val="2886F269"/>
    <w:rsid w:val="2893FC55"/>
    <w:rsid w:val="28A584D4"/>
    <w:rsid w:val="28B00DF7"/>
    <w:rsid w:val="28C4271C"/>
    <w:rsid w:val="28CB8DED"/>
    <w:rsid w:val="28D30731"/>
    <w:rsid w:val="28D6C5F0"/>
    <w:rsid w:val="28E1DA94"/>
    <w:rsid w:val="28F40DC2"/>
    <w:rsid w:val="28F8E357"/>
    <w:rsid w:val="290BAB8D"/>
    <w:rsid w:val="290CF171"/>
    <w:rsid w:val="291A70ED"/>
    <w:rsid w:val="291AD172"/>
    <w:rsid w:val="291CA88B"/>
    <w:rsid w:val="2926DB89"/>
    <w:rsid w:val="292E8BC3"/>
    <w:rsid w:val="292ED90B"/>
    <w:rsid w:val="29377F0E"/>
    <w:rsid w:val="293B6F97"/>
    <w:rsid w:val="293C279F"/>
    <w:rsid w:val="29415024"/>
    <w:rsid w:val="2946A0E0"/>
    <w:rsid w:val="295F8079"/>
    <w:rsid w:val="2961675F"/>
    <w:rsid w:val="2964BAEC"/>
    <w:rsid w:val="2964E0F0"/>
    <w:rsid w:val="296F6C31"/>
    <w:rsid w:val="2982E3CA"/>
    <w:rsid w:val="298E0023"/>
    <w:rsid w:val="2990D260"/>
    <w:rsid w:val="29A43E87"/>
    <w:rsid w:val="29AD78FD"/>
    <w:rsid w:val="29B9AD08"/>
    <w:rsid w:val="29C188A5"/>
    <w:rsid w:val="29C3AF55"/>
    <w:rsid w:val="29C59BF0"/>
    <w:rsid w:val="29CBA223"/>
    <w:rsid w:val="29D776EB"/>
    <w:rsid w:val="29DE9A44"/>
    <w:rsid w:val="29DEDBAE"/>
    <w:rsid w:val="29EAB752"/>
    <w:rsid w:val="29EBEC08"/>
    <w:rsid w:val="29EDF2BE"/>
    <w:rsid w:val="29FF0451"/>
    <w:rsid w:val="2A05EF3A"/>
    <w:rsid w:val="2A1478B0"/>
    <w:rsid w:val="2A277C3D"/>
    <w:rsid w:val="2A342D1C"/>
    <w:rsid w:val="2A3741E2"/>
    <w:rsid w:val="2A4521DD"/>
    <w:rsid w:val="2A45BED7"/>
    <w:rsid w:val="2A4D6793"/>
    <w:rsid w:val="2A5C8A34"/>
    <w:rsid w:val="2A6804CF"/>
    <w:rsid w:val="2A718BBA"/>
    <w:rsid w:val="2A775D76"/>
    <w:rsid w:val="2A7CD5CE"/>
    <w:rsid w:val="2A81122F"/>
    <w:rsid w:val="2A9127B6"/>
    <w:rsid w:val="2A9F9A11"/>
    <w:rsid w:val="2AA48CE4"/>
    <w:rsid w:val="2AABC23E"/>
    <w:rsid w:val="2AB0D898"/>
    <w:rsid w:val="2AB4F2C9"/>
    <w:rsid w:val="2AB768EA"/>
    <w:rsid w:val="2AC97CBE"/>
    <w:rsid w:val="2AD2E687"/>
    <w:rsid w:val="2AD4342E"/>
    <w:rsid w:val="2AD7188D"/>
    <w:rsid w:val="2AD99E69"/>
    <w:rsid w:val="2ADA0757"/>
    <w:rsid w:val="2AEFC3A7"/>
    <w:rsid w:val="2AFA8DFC"/>
    <w:rsid w:val="2AFCE41E"/>
    <w:rsid w:val="2B08CF5E"/>
    <w:rsid w:val="2B0C19E9"/>
    <w:rsid w:val="2B2456E5"/>
    <w:rsid w:val="2B29D0BF"/>
    <w:rsid w:val="2B2CD3D3"/>
    <w:rsid w:val="2B2EF5BF"/>
    <w:rsid w:val="2B3093E0"/>
    <w:rsid w:val="2B342E0C"/>
    <w:rsid w:val="2B4EE19A"/>
    <w:rsid w:val="2B4EEDD5"/>
    <w:rsid w:val="2B5EE1AA"/>
    <w:rsid w:val="2B63E72E"/>
    <w:rsid w:val="2B686628"/>
    <w:rsid w:val="2B699A3A"/>
    <w:rsid w:val="2B6A1AD4"/>
    <w:rsid w:val="2B72676C"/>
    <w:rsid w:val="2B8ACAD0"/>
    <w:rsid w:val="2B8DB008"/>
    <w:rsid w:val="2BA0F555"/>
    <w:rsid w:val="2BA8BB2B"/>
    <w:rsid w:val="2BB120C9"/>
    <w:rsid w:val="2BB58E05"/>
    <w:rsid w:val="2BBCDEA6"/>
    <w:rsid w:val="2BC752D8"/>
    <w:rsid w:val="2BD0D64D"/>
    <w:rsid w:val="2BD95E89"/>
    <w:rsid w:val="2BE5BA5F"/>
    <w:rsid w:val="2BE71E02"/>
    <w:rsid w:val="2BEF5C8C"/>
    <w:rsid w:val="2BF43126"/>
    <w:rsid w:val="2C006B69"/>
    <w:rsid w:val="2C0FF526"/>
    <w:rsid w:val="2C11003D"/>
    <w:rsid w:val="2C1270B8"/>
    <w:rsid w:val="2C20EBA7"/>
    <w:rsid w:val="2C218A30"/>
    <w:rsid w:val="2C251624"/>
    <w:rsid w:val="2C278BD8"/>
    <w:rsid w:val="2C2D4B3E"/>
    <w:rsid w:val="2C2DD95F"/>
    <w:rsid w:val="2C44C02F"/>
    <w:rsid w:val="2C5569B1"/>
    <w:rsid w:val="2C56DF54"/>
    <w:rsid w:val="2C58DCD4"/>
    <w:rsid w:val="2C5CFE03"/>
    <w:rsid w:val="2C5E5153"/>
    <w:rsid w:val="2C6D8FB3"/>
    <w:rsid w:val="2C6FC5A9"/>
    <w:rsid w:val="2C754AA9"/>
    <w:rsid w:val="2C7B7D70"/>
    <w:rsid w:val="2CACF3AF"/>
    <w:rsid w:val="2CB07FB0"/>
    <w:rsid w:val="2CB24902"/>
    <w:rsid w:val="2CC155D4"/>
    <w:rsid w:val="2CCE54BB"/>
    <w:rsid w:val="2CD4C9D8"/>
    <w:rsid w:val="2CD94671"/>
    <w:rsid w:val="2CE1F466"/>
    <w:rsid w:val="2CE7D810"/>
    <w:rsid w:val="2CFB89F8"/>
    <w:rsid w:val="2D063E41"/>
    <w:rsid w:val="2D0A6597"/>
    <w:rsid w:val="2D0FC772"/>
    <w:rsid w:val="2D1AAA6F"/>
    <w:rsid w:val="2D1EBA90"/>
    <w:rsid w:val="2D357B7E"/>
    <w:rsid w:val="2D37F044"/>
    <w:rsid w:val="2D433D5A"/>
    <w:rsid w:val="2D49556E"/>
    <w:rsid w:val="2D55DA6D"/>
    <w:rsid w:val="2D7018DC"/>
    <w:rsid w:val="2D7A02D2"/>
    <w:rsid w:val="2D7B4C87"/>
    <w:rsid w:val="2D800FFF"/>
    <w:rsid w:val="2D845E66"/>
    <w:rsid w:val="2D87DB80"/>
    <w:rsid w:val="2D8E6C86"/>
    <w:rsid w:val="2D96E881"/>
    <w:rsid w:val="2D98618D"/>
    <w:rsid w:val="2D99F47C"/>
    <w:rsid w:val="2D9C94CB"/>
    <w:rsid w:val="2DA26DC0"/>
    <w:rsid w:val="2DA6BBFE"/>
    <w:rsid w:val="2DB1FB9D"/>
    <w:rsid w:val="2DB2D8DD"/>
    <w:rsid w:val="2DB5C115"/>
    <w:rsid w:val="2DB708EA"/>
    <w:rsid w:val="2DBCC198"/>
    <w:rsid w:val="2DBF6698"/>
    <w:rsid w:val="2DEEE54D"/>
    <w:rsid w:val="2DEFCD9C"/>
    <w:rsid w:val="2DF42FB1"/>
    <w:rsid w:val="2DF88B36"/>
    <w:rsid w:val="2DFB46A3"/>
    <w:rsid w:val="2E0D2555"/>
    <w:rsid w:val="2E1F157C"/>
    <w:rsid w:val="2E210FCA"/>
    <w:rsid w:val="2E247131"/>
    <w:rsid w:val="2E2CB801"/>
    <w:rsid w:val="2E32F5F1"/>
    <w:rsid w:val="2E3FB066"/>
    <w:rsid w:val="2E4AA1B2"/>
    <w:rsid w:val="2E4B8276"/>
    <w:rsid w:val="2E5D5CE4"/>
    <w:rsid w:val="2E6DFA35"/>
    <w:rsid w:val="2E6F9A70"/>
    <w:rsid w:val="2E7BDA08"/>
    <w:rsid w:val="2E918757"/>
    <w:rsid w:val="2EAE4459"/>
    <w:rsid w:val="2EAF3D52"/>
    <w:rsid w:val="2EBDA46B"/>
    <w:rsid w:val="2ECD9847"/>
    <w:rsid w:val="2ECEFDCD"/>
    <w:rsid w:val="2EE2BD80"/>
    <w:rsid w:val="2EE50444"/>
    <w:rsid w:val="2EE83A69"/>
    <w:rsid w:val="2EE9B378"/>
    <w:rsid w:val="2EEBA1AB"/>
    <w:rsid w:val="2EF47096"/>
    <w:rsid w:val="2EF57C1F"/>
    <w:rsid w:val="2F04058A"/>
    <w:rsid w:val="2F066769"/>
    <w:rsid w:val="2F177321"/>
    <w:rsid w:val="2F1BFD1F"/>
    <w:rsid w:val="2F1F0814"/>
    <w:rsid w:val="2F1F750E"/>
    <w:rsid w:val="2F230667"/>
    <w:rsid w:val="2F26F2B6"/>
    <w:rsid w:val="2F4398F7"/>
    <w:rsid w:val="2F4D1240"/>
    <w:rsid w:val="2F51554F"/>
    <w:rsid w:val="2F5835B0"/>
    <w:rsid w:val="2F618B2F"/>
    <w:rsid w:val="2F661A1F"/>
    <w:rsid w:val="2F67CFCC"/>
    <w:rsid w:val="2F73419C"/>
    <w:rsid w:val="2F7A5CCD"/>
    <w:rsid w:val="2F7F4B3F"/>
    <w:rsid w:val="2F92FF07"/>
    <w:rsid w:val="2FAD2744"/>
    <w:rsid w:val="2FD27495"/>
    <w:rsid w:val="2FD508A9"/>
    <w:rsid w:val="2FD541B4"/>
    <w:rsid w:val="2FEB8EAA"/>
    <w:rsid w:val="2FF6318C"/>
    <w:rsid w:val="3010206A"/>
    <w:rsid w:val="301725CA"/>
    <w:rsid w:val="301A6444"/>
    <w:rsid w:val="3022C017"/>
    <w:rsid w:val="302DAEAA"/>
    <w:rsid w:val="30332E22"/>
    <w:rsid w:val="30373AA1"/>
    <w:rsid w:val="30437D48"/>
    <w:rsid w:val="3045FFF3"/>
    <w:rsid w:val="304CB369"/>
    <w:rsid w:val="305023CA"/>
    <w:rsid w:val="305B84B4"/>
    <w:rsid w:val="306517CA"/>
    <w:rsid w:val="3065D1E1"/>
    <w:rsid w:val="307462BC"/>
    <w:rsid w:val="307AE3A1"/>
    <w:rsid w:val="308A24FC"/>
    <w:rsid w:val="30959C8E"/>
    <w:rsid w:val="309E4A96"/>
    <w:rsid w:val="30B7DC0B"/>
    <w:rsid w:val="30BE4735"/>
    <w:rsid w:val="30C5138C"/>
    <w:rsid w:val="30C9490C"/>
    <w:rsid w:val="30D9F7E6"/>
    <w:rsid w:val="30DE9E2F"/>
    <w:rsid w:val="30F35542"/>
    <w:rsid w:val="30FB264C"/>
    <w:rsid w:val="31138E63"/>
    <w:rsid w:val="31213D0C"/>
    <w:rsid w:val="31516021"/>
    <w:rsid w:val="315981AA"/>
    <w:rsid w:val="315FC8D2"/>
    <w:rsid w:val="3163B558"/>
    <w:rsid w:val="316B4B48"/>
    <w:rsid w:val="319E1235"/>
    <w:rsid w:val="319E5AAB"/>
    <w:rsid w:val="31B5BBC4"/>
    <w:rsid w:val="31B9FD49"/>
    <w:rsid w:val="31BC74E2"/>
    <w:rsid w:val="31CA6B97"/>
    <w:rsid w:val="31CC4F83"/>
    <w:rsid w:val="31D7D817"/>
    <w:rsid w:val="31D84CDC"/>
    <w:rsid w:val="31D8F143"/>
    <w:rsid w:val="31E8C689"/>
    <w:rsid w:val="31F46100"/>
    <w:rsid w:val="31F4FEBE"/>
    <w:rsid w:val="32084D1C"/>
    <w:rsid w:val="32091C37"/>
    <w:rsid w:val="32096010"/>
    <w:rsid w:val="32154477"/>
    <w:rsid w:val="3222C608"/>
    <w:rsid w:val="3229975D"/>
    <w:rsid w:val="3232F9A0"/>
    <w:rsid w:val="3238D21D"/>
    <w:rsid w:val="324057BC"/>
    <w:rsid w:val="325222E4"/>
    <w:rsid w:val="3254B18B"/>
    <w:rsid w:val="32648A1E"/>
    <w:rsid w:val="327A515F"/>
    <w:rsid w:val="328E6034"/>
    <w:rsid w:val="329B592F"/>
    <w:rsid w:val="329C32A2"/>
    <w:rsid w:val="329C3F0A"/>
    <w:rsid w:val="32ABF794"/>
    <w:rsid w:val="32B9EF90"/>
    <w:rsid w:val="32BCC0AD"/>
    <w:rsid w:val="32DC5C0E"/>
    <w:rsid w:val="32E61F56"/>
    <w:rsid w:val="32F5C1AC"/>
    <w:rsid w:val="32FBB237"/>
    <w:rsid w:val="33075699"/>
    <w:rsid w:val="3308C537"/>
    <w:rsid w:val="33103A07"/>
    <w:rsid w:val="33123CB8"/>
    <w:rsid w:val="33194A74"/>
    <w:rsid w:val="331AD886"/>
    <w:rsid w:val="331DA82D"/>
    <w:rsid w:val="3321D9EF"/>
    <w:rsid w:val="33221FD5"/>
    <w:rsid w:val="333DC28B"/>
    <w:rsid w:val="3349421B"/>
    <w:rsid w:val="334CC44E"/>
    <w:rsid w:val="335A3776"/>
    <w:rsid w:val="335DC294"/>
    <w:rsid w:val="336AC440"/>
    <w:rsid w:val="337093D0"/>
    <w:rsid w:val="33886028"/>
    <w:rsid w:val="33897187"/>
    <w:rsid w:val="33984676"/>
    <w:rsid w:val="33BA6CD5"/>
    <w:rsid w:val="33BDD946"/>
    <w:rsid w:val="33BE3D4A"/>
    <w:rsid w:val="33CBC8D4"/>
    <w:rsid w:val="3400F7D4"/>
    <w:rsid w:val="3411DEC9"/>
    <w:rsid w:val="34184FE1"/>
    <w:rsid w:val="3423FE1C"/>
    <w:rsid w:val="3425C8D3"/>
    <w:rsid w:val="34281E23"/>
    <w:rsid w:val="342A9A8E"/>
    <w:rsid w:val="34333E96"/>
    <w:rsid w:val="343DFD9E"/>
    <w:rsid w:val="3445640F"/>
    <w:rsid w:val="344B6723"/>
    <w:rsid w:val="344F8A6F"/>
    <w:rsid w:val="344FA8ED"/>
    <w:rsid w:val="3451ED49"/>
    <w:rsid w:val="346A157E"/>
    <w:rsid w:val="346C0277"/>
    <w:rsid w:val="3474A69A"/>
    <w:rsid w:val="347CAB40"/>
    <w:rsid w:val="3495E092"/>
    <w:rsid w:val="349E9373"/>
    <w:rsid w:val="34AFE069"/>
    <w:rsid w:val="34C84F48"/>
    <w:rsid w:val="34CB9852"/>
    <w:rsid w:val="34D8EBDD"/>
    <w:rsid w:val="34E83044"/>
    <w:rsid w:val="34E8A387"/>
    <w:rsid w:val="34EEE27C"/>
    <w:rsid w:val="34F425AE"/>
    <w:rsid w:val="34F99DB0"/>
    <w:rsid w:val="34FA8A38"/>
    <w:rsid w:val="3507E103"/>
    <w:rsid w:val="350A7A8B"/>
    <w:rsid w:val="351425AE"/>
    <w:rsid w:val="351585D8"/>
    <w:rsid w:val="3525A684"/>
    <w:rsid w:val="35311A50"/>
    <w:rsid w:val="353A76A9"/>
    <w:rsid w:val="3549065D"/>
    <w:rsid w:val="356CE522"/>
    <w:rsid w:val="35755425"/>
    <w:rsid w:val="357928D4"/>
    <w:rsid w:val="35814CF5"/>
    <w:rsid w:val="35816867"/>
    <w:rsid w:val="3583BA07"/>
    <w:rsid w:val="35883AC4"/>
    <w:rsid w:val="358A68E0"/>
    <w:rsid w:val="358DCE9C"/>
    <w:rsid w:val="359895C1"/>
    <w:rsid w:val="35A0093B"/>
    <w:rsid w:val="35A3913D"/>
    <w:rsid w:val="35B6FB8A"/>
    <w:rsid w:val="35C96223"/>
    <w:rsid w:val="35CB6F9A"/>
    <w:rsid w:val="35D6EC68"/>
    <w:rsid w:val="35D717B6"/>
    <w:rsid w:val="35DFF5F9"/>
    <w:rsid w:val="35E31638"/>
    <w:rsid w:val="35E9A50B"/>
    <w:rsid w:val="35EBD414"/>
    <w:rsid w:val="35F4DCCA"/>
    <w:rsid w:val="35FEF8C4"/>
    <w:rsid w:val="3603F87C"/>
    <w:rsid w:val="36095190"/>
    <w:rsid w:val="360E4962"/>
    <w:rsid w:val="362BB0A3"/>
    <w:rsid w:val="362DB90C"/>
    <w:rsid w:val="3634CB59"/>
    <w:rsid w:val="366E8F01"/>
    <w:rsid w:val="3683B7C9"/>
    <w:rsid w:val="3689558D"/>
    <w:rsid w:val="368B8099"/>
    <w:rsid w:val="368C916D"/>
    <w:rsid w:val="3692580F"/>
    <w:rsid w:val="36961A9C"/>
    <w:rsid w:val="3696F4D5"/>
    <w:rsid w:val="36A15384"/>
    <w:rsid w:val="36A5B129"/>
    <w:rsid w:val="36A64789"/>
    <w:rsid w:val="36AF6D3B"/>
    <w:rsid w:val="36B9C47F"/>
    <w:rsid w:val="36BB6C0E"/>
    <w:rsid w:val="36C5E43A"/>
    <w:rsid w:val="36DC19C4"/>
    <w:rsid w:val="36DC2B4F"/>
    <w:rsid w:val="36DDD5C9"/>
    <w:rsid w:val="36EB0102"/>
    <w:rsid w:val="36ED44A7"/>
    <w:rsid w:val="36F8761D"/>
    <w:rsid w:val="36F8CFDA"/>
    <w:rsid w:val="36FAFBD6"/>
    <w:rsid w:val="36FC10DA"/>
    <w:rsid w:val="370737AD"/>
    <w:rsid w:val="370C15C0"/>
    <w:rsid w:val="37164D47"/>
    <w:rsid w:val="372ACF50"/>
    <w:rsid w:val="3731A31C"/>
    <w:rsid w:val="37417031"/>
    <w:rsid w:val="3754A5CB"/>
    <w:rsid w:val="3754D1FA"/>
    <w:rsid w:val="375D71F3"/>
    <w:rsid w:val="3761D733"/>
    <w:rsid w:val="376FAEC5"/>
    <w:rsid w:val="37762D4E"/>
    <w:rsid w:val="377EE699"/>
    <w:rsid w:val="3784AC8E"/>
    <w:rsid w:val="37970DE9"/>
    <w:rsid w:val="37A99F9F"/>
    <w:rsid w:val="37AA27C7"/>
    <w:rsid w:val="37AC4576"/>
    <w:rsid w:val="37BFAEA8"/>
    <w:rsid w:val="37C37A5D"/>
    <w:rsid w:val="37C9BC73"/>
    <w:rsid w:val="37CC4C13"/>
    <w:rsid w:val="37D0D204"/>
    <w:rsid w:val="37DCC2DB"/>
    <w:rsid w:val="37DCF75E"/>
    <w:rsid w:val="37E5B087"/>
    <w:rsid w:val="380CB48E"/>
    <w:rsid w:val="38143009"/>
    <w:rsid w:val="381D939C"/>
    <w:rsid w:val="381F264F"/>
    <w:rsid w:val="3822F7F8"/>
    <w:rsid w:val="383EE83C"/>
    <w:rsid w:val="384C3293"/>
    <w:rsid w:val="385CD73B"/>
    <w:rsid w:val="385E17B8"/>
    <w:rsid w:val="3867CB27"/>
    <w:rsid w:val="386832F8"/>
    <w:rsid w:val="38711973"/>
    <w:rsid w:val="387A2D7E"/>
    <w:rsid w:val="38813EE4"/>
    <w:rsid w:val="3889679A"/>
    <w:rsid w:val="38991CC5"/>
    <w:rsid w:val="389E4D90"/>
    <w:rsid w:val="38A971EB"/>
    <w:rsid w:val="38AF155B"/>
    <w:rsid w:val="38B0EAEA"/>
    <w:rsid w:val="38BC6290"/>
    <w:rsid w:val="38C51378"/>
    <w:rsid w:val="38DE03AF"/>
    <w:rsid w:val="38E401F6"/>
    <w:rsid w:val="38F37AB4"/>
    <w:rsid w:val="39125BE8"/>
    <w:rsid w:val="39292C9C"/>
    <w:rsid w:val="392F4C8F"/>
    <w:rsid w:val="39357E07"/>
    <w:rsid w:val="3939030A"/>
    <w:rsid w:val="394C0449"/>
    <w:rsid w:val="394C32AC"/>
    <w:rsid w:val="39566BB1"/>
    <w:rsid w:val="39615D4F"/>
    <w:rsid w:val="396BC320"/>
    <w:rsid w:val="397B4320"/>
    <w:rsid w:val="39859F87"/>
    <w:rsid w:val="398618E2"/>
    <w:rsid w:val="398F15CF"/>
    <w:rsid w:val="39A835C0"/>
    <w:rsid w:val="39B4CB90"/>
    <w:rsid w:val="39B664AF"/>
    <w:rsid w:val="39DA78BC"/>
    <w:rsid w:val="39DC089B"/>
    <w:rsid w:val="39E50CA0"/>
    <w:rsid w:val="39EF80A7"/>
    <w:rsid w:val="39F66202"/>
    <w:rsid w:val="39FF6EC6"/>
    <w:rsid w:val="3A067B22"/>
    <w:rsid w:val="3A115E3F"/>
    <w:rsid w:val="3A26ACFD"/>
    <w:rsid w:val="3A4C7A76"/>
    <w:rsid w:val="3A50FCA0"/>
    <w:rsid w:val="3A519932"/>
    <w:rsid w:val="3A54FA9F"/>
    <w:rsid w:val="3A56FC93"/>
    <w:rsid w:val="3A60FEA9"/>
    <w:rsid w:val="3A65E363"/>
    <w:rsid w:val="3A70A62C"/>
    <w:rsid w:val="3A71D886"/>
    <w:rsid w:val="3A896F4E"/>
    <w:rsid w:val="3A964B71"/>
    <w:rsid w:val="3A97C0E6"/>
    <w:rsid w:val="3AA48C77"/>
    <w:rsid w:val="3AB343B6"/>
    <w:rsid w:val="3AB48E66"/>
    <w:rsid w:val="3ABA4AEC"/>
    <w:rsid w:val="3AC2D8C9"/>
    <w:rsid w:val="3AC49F64"/>
    <w:rsid w:val="3AD5D117"/>
    <w:rsid w:val="3ADA6D71"/>
    <w:rsid w:val="3AE4228A"/>
    <w:rsid w:val="3AFEDC44"/>
    <w:rsid w:val="3B105269"/>
    <w:rsid w:val="3B18D9D6"/>
    <w:rsid w:val="3B58863A"/>
    <w:rsid w:val="3B58C0A3"/>
    <w:rsid w:val="3B62D7CD"/>
    <w:rsid w:val="3B679C6A"/>
    <w:rsid w:val="3B7ED7E1"/>
    <w:rsid w:val="3B81D5C6"/>
    <w:rsid w:val="3B8713D8"/>
    <w:rsid w:val="3B878555"/>
    <w:rsid w:val="3B90C517"/>
    <w:rsid w:val="3B94A7D7"/>
    <w:rsid w:val="3B96708C"/>
    <w:rsid w:val="3B97CC7D"/>
    <w:rsid w:val="3B9D805E"/>
    <w:rsid w:val="3BA4EFCD"/>
    <w:rsid w:val="3BB85405"/>
    <w:rsid w:val="3BD65207"/>
    <w:rsid w:val="3BF4DCF7"/>
    <w:rsid w:val="3BF8BD5A"/>
    <w:rsid w:val="3BF9AA64"/>
    <w:rsid w:val="3BFAFD81"/>
    <w:rsid w:val="3BFBDC5C"/>
    <w:rsid w:val="3C09A629"/>
    <w:rsid w:val="3C1203A4"/>
    <w:rsid w:val="3C17EC21"/>
    <w:rsid w:val="3C239F08"/>
    <w:rsid w:val="3C29D60F"/>
    <w:rsid w:val="3C2F0005"/>
    <w:rsid w:val="3C3049F0"/>
    <w:rsid w:val="3C316B4E"/>
    <w:rsid w:val="3C3E1E27"/>
    <w:rsid w:val="3C3E5B05"/>
    <w:rsid w:val="3C49E7AE"/>
    <w:rsid w:val="3C4C5935"/>
    <w:rsid w:val="3C54BF96"/>
    <w:rsid w:val="3C5BFE05"/>
    <w:rsid w:val="3C621C89"/>
    <w:rsid w:val="3C64822A"/>
    <w:rsid w:val="3C6C28FB"/>
    <w:rsid w:val="3C7366FD"/>
    <w:rsid w:val="3C927BE3"/>
    <w:rsid w:val="3C9307A8"/>
    <w:rsid w:val="3C938301"/>
    <w:rsid w:val="3C98EFCF"/>
    <w:rsid w:val="3C9DD0C7"/>
    <w:rsid w:val="3CA2F255"/>
    <w:rsid w:val="3CB0864C"/>
    <w:rsid w:val="3CB7FF4A"/>
    <w:rsid w:val="3CB827FC"/>
    <w:rsid w:val="3CB95E39"/>
    <w:rsid w:val="3CBAC375"/>
    <w:rsid w:val="3CBC0911"/>
    <w:rsid w:val="3CC671B7"/>
    <w:rsid w:val="3CC8FF95"/>
    <w:rsid w:val="3CDBA576"/>
    <w:rsid w:val="3CE04F7C"/>
    <w:rsid w:val="3CE17D24"/>
    <w:rsid w:val="3CE5434A"/>
    <w:rsid w:val="3CE7A821"/>
    <w:rsid w:val="3CFF3A37"/>
    <w:rsid w:val="3D04105D"/>
    <w:rsid w:val="3D12204C"/>
    <w:rsid w:val="3D22F27B"/>
    <w:rsid w:val="3D246033"/>
    <w:rsid w:val="3D27D7FD"/>
    <w:rsid w:val="3D316247"/>
    <w:rsid w:val="3D3397DB"/>
    <w:rsid w:val="3D33AD24"/>
    <w:rsid w:val="3D3651F4"/>
    <w:rsid w:val="3D365D06"/>
    <w:rsid w:val="3D392214"/>
    <w:rsid w:val="3D53429E"/>
    <w:rsid w:val="3D56DE0A"/>
    <w:rsid w:val="3D6CA413"/>
    <w:rsid w:val="3D955D8F"/>
    <w:rsid w:val="3D994950"/>
    <w:rsid w:val="3DC00EB8"/>
    <w:rsid w:val="3DD3A9FC"/>
    <w:rsid w:val="3DE9EF0D"/>
    <w:rsid w:val="3DEB486A"/>
    <w:rsid w:val="3DF31283"/>
    <w:rsid w:val="3DF88E76"/>
    <w:rsid w:val="3DFE0DCC"/>
    <w:rsid w:val="3E1ADF44"/>
    <w:rsid w:val="3E252751"/>
    <w:rsid w:val="3E515D69"/>
    <w:rsid w:val="3E595FE3"/>
    <w:rsid w:val="3E625A61"/>
    <w:rsid w:val="3E65F6DC"/>
    <w:rsid w:val="3E7AC49F"/>
    <w:rsid w:val="3E7BFF1A"/>
    <w:rsid w:val="3E7C5BB6"/>
    <w:rsid w:val="3E7D2747"/>
    <w:rsid w:val="3E839E7D"/>
    <w:rsid w:val="3E8FD7FE"/>
    <w:rsid w:val="3EA07463"/>
    <w:rsid w:val="3EAD418A"/>
    <w:rsid w:val="3EB0178D"/>
    <w:rsid w:val="3EB65FAA"/>
    <w:rsid w:val="3EC7190A"/>
    <w:rsid w:val="3ECC817E"/>
    <w:rsid w:val="3ECDFF08"/>
    <w:rsid w:val="3ED4665D"/>
    <w:rsid w:val="3ED7137E"/>
    <w:rsid w:val="3EEA3F02"/>
    <w:rsid w:val="3EF1B92B"/>
    <w:rsid w:val="3EFF6DBC"/>
    <w:rsid w:val="3F0B2831"/>
    <w:rsid w:val="3F0CE52E"/>
    <w:rsid w:val="3F1D7F98"/>
    <w:rsid w:val="3F1E183B"/>
    <w:rsid w:val="3F21E44F"/>
    <w:rsid w:val="3F22D523"/>
    <w:rsid w:val="3F30AE7F"/>
    <w:rsid w:val="3F4FDE14"/>
    <w:rsid w:val="3F5A5370"/>
    <w:rsid w:val="3F67B696"/>
    <w:rsid w:val="3F69FD03"/>
    <w:rsid w:val="3F86ABDD"/>
    <w:rsid w:val="3F891399"/>
    <w:rsid w:val="3F8C7CA1"/>
    <w:rsid w:val="3F98980C"/>
    <w:rsid w:val="3F9A5975"/>
    <w:rsid w:val="3FA32A4E"/>
    <w:rsid w:val="3FABBAA5"/>
    <w:rsid w:val="3FB75052"/>
    <w:rsid w:val="3FBC0F27"/>
    <w:rsid w:val="3FCF0714"/>
    <w:rsid w:val="3FCFE799"/>
    <w:rsid w:val="3FD242EE"/>
    <w:rsid w:val="3FD40963"/>
    <w:rsid w:val="3FE2EC5E"/>
    <w:rsid w:val="3FEA364B"/>
    <w:rsid w:val="3FEC8438"/>
    <w:rsid w:val="3FEF03D9"/>
    <w:rsid w:val="3FF340E0"/>
    <w:rsid w:val="3FF64C8D"/>
    <w:rsid w:val="3FF97091"/>
    <w:rsid w:val="3FFB14CE"/>
    <w:rsid w:val="400BCC8B"/>
    <w:rsid w:val="4019C89F"/>
    <w:rsid w:val="404A9075"/>
    <w:rsid w:val="40570359"/>
    <w:rsid w:val="406297E5"/>
    <w:rsid w:val="406BA8BA"/>
    <w:rsid w:val="407987CD"/>
    <w:rsid w:val="4084F55F"/>
    <w:rsid w:val="409266F3"/>
    <w:rsid w:val="409D1E8A"/>
    <w:rsid w:val="40A73BD4"/>
    <w:rsid w:val="40A7F858"/>
    <w:rsid w:val="40B4F526"/>
    <w:rsid w:val="40B5EEEB"/>
    <w:rsid w:val="40BA31F1"/>
    <w:rsid w:val="40BFE513"/>
    <w:rsid w:val="40C37201"/>
    <w:rsid w:val="40C3FD0C"/>
    <w:rsid w:val="40CBF4BE"/>
    <w:rsid w:val="40CDFC68"/>
    <w:rsid w:val="40CE2D0E"/>
    <w:rsid w:val="40CEABEA"/>
    <w:rsid w:val="40D26B01"/>
    <w:rsid w:val="40D46CD9"/>
    <w:rsid w:val="40EAADE0"/>
    <w:rsid w:val="40EAEE76"/>
    <w:rsid w:val="40FBE348"/>
    <w:rsid w:val="40FF02DD"/>
    <w:rsid w:val="410174C6"/>
    <w:rsid w:val="4107C53D"/>
    <w:rsid w:val="410D2BB9"/>
    <w:rsid w:val="411EEF1F"/>
    <w:rsid w:val="41276874"/>
    <w:rsid w:val="412EB9BE"/>
    <w:rsid w:val="41312FA3"/>
    <w:rsid w:val="413AB4E4"/>
    <w:rsid w:val="413C9647"/>
    <w:rsid w:val="413EFAAF"/>
    <w:rsid w:val="414DF7CF"/>
    <w:rsid w:val="414EBD89"/>
    <w:rsid w:val="41543D94"/>
    <w:rsid w:val="415D78D0"/>
    <w:rsid w:val="415F8B66"/>
    <w:rsid w:val="4176596F"/>
    <w:rsid w:val="418009B0"/>
    <w:rsid w:val="41849461"/>
    <w:rsid w:val="418592DE"/>
    <w:rsid w:val="41926776"/>
    <w:rsid w:val="41987F17"/>
    <w:rsid w:val="419C2BC9"/>
    <w:rsid w:val="419E59DE"/>
    <w:rsid w:val="41A1C16F"/>
    <w:rsid w:val="41AE07FC"/>
    <w:rsid w:val="41B14921"/>
    <w:rsid w:val="41B57839"/>
    <w:rsid w:val="41CF4216"/>
    <w:rsid w:val="41D2C5A6"/>
    <w:rsid w:val="41E83EF0"/>
    <w:rsid w:val="41FD21DB"/>
    <w:rsid w:val="41FFBBA1"/>
    <w:rsid w:val="4215A010"/>
    <w:rsid w:val="4232F232"/>
    <w:rsid w:val="4235FC60"/>
    <w:rsid w:val="423AD7A3"/>
    <w:rsid w:val="4248C34F"/>
    <w:rsid w:val="424A9E15"/>
    <w:rsid w:val="424FB792"/>
    <w:rsid w:val="4272D694"/>
    <w:rsid w:val="427E63A7"/>
    <w:rsid w:val="42814248"/>
    <w:rsid w:val="428D315D"/>
    <w:rsid w:val="42988348"/>
    <w:rsid w:val="42A06B6C"/>
    <w:rsid w:val="42A1FD08"/>
    <w:rsid w:val="42B5E995"/>
    <w:rsid w:val="42BA82F8"/>
    <w:rsid w:val="42BAEA72"/>
    <w:rsid w:val="42BB84DD"/>
    <w:rsid w:val="42BD2A2A"/>
    <w:rsid w:val="42BF486F"/>
    <w:rsid w:val="42C033A5"/>
    <w:rsid w:val="42C4DA85"/>
    <w:rsid w:val="42CFED16"/>
    <w:rsid w:val="42DFA963"/>
    <w:rsid w:val="42E7CB09"/>
    <w:rsid w:val="42E9A42D"/>
    <w:rsid w:val="42EC38E2"/>
    <w:rsid w:val="42F049DB"/>
    <w:rsid w:val="42F4227F"/>
    <w:rsid w:val="42F4FE84"/>
    <w:rsid w:val="42F70B9E"/>
    <w:rsid w:val="4302D831"/>
    <w:rsid w:val="4308E3B4"/>
    <w:rsid w:val="431DF800"/>
    <w:rsid w:val="4326C27F"/>
    <w:rsid w:val="4337D87F"/>
    <w:rsid w:val="434F6E71"/>
    <w:rsid w:val="43504DD8"/>
    <w:rsid w:val="4350BBF0"/>
    <w:rsid w:val="4351F7FC"/>
    <w:rsid w:val="4359D85D"/>
    <w:rsid w:val="43621E70"/>
    <w:rsid w:val="4387C63E"/>
    <w:rsid w:val="439A844C"/>
    <w:rsid w:val="439A863A"/>
    <w:rsid w:val="43A03BF9"/>
    <w:rsid w:val="43B0E43C"/>
    <w:rsid w:val="43B2E2D1"/>
    <w:rsid w:val="43B32D34"/>
    <w:rsid w:val="43B3DC24"/>
    <w:rsid w:val="43B3FBC5"/>
    <w:rsid w:val="43B5BBDB"/>
    <w:rsid w:val="43B5FFBF"/>
    <w:rsid w:val="43BB065E"/>
    <w:rsid w:val="43C29FE5"/>
    <w:rsid w:val="43C88454"/>
    <w:rsid w:val="43CC8FB7"/>
    <w:rsid w:val="43D1E82C"/>
    <w:rsid w:val="43EA6C88"/>
    <w:rsid w:val="43F43CD0"/>
    <w:rsid w:val="43FF12FA"/>
    <w:rsid w:val="440102E5"/>
    <w:rsid w:val="44045961"/>
    <w:rsid w:val="440CB64D"/>
    <w:rsid w:val="440F64B6"/>
    <w:rsid w:val="44102FBE"/>
    <w:rsid w:val="44130A4A"/>
    <w:rsid w:val="44214FDC"/>
    <w:rsid w:val="4423933E"/>
    <w:rsid w:val="442397DC"/>
    <w:rsid w:val="44254318"/>
    <w:rsid w:val="442FC415"/>
    <w:rsid w:val="442FD99B"/>
    <w:rsid w:val="443D7C38"/>
    <w:rsid w:val="444B9DCA"/>
    <w:rsid w:val="444FD59A"/>
    <w:rsid w:val="4450F599"/>
    <w:rsid w:val="4453DE9F"/>
    <w:rsid w:val="445B9057"/>
    <w:rsid w:val="446CF734"/>
    <w:rsid w:val="4477F1FA"/>
    <w:rsid w:val="447B3655"/>
    <w:rsid w:val="447DDA48"/>
    <w:rsid w:val="44873A7D"/>
    <w:rsid w:val="448F940E"/>
    <w:rsid w:val="449D1D8C"/>
    <w:rsid w:val="44A52695"/>
    <w:rsid w:val="44AC0332"/>
    <w:rsid w:val="44BF022E"/>
    <w:rsid w:val="44C85A6E"/>
    <w:rsid w:val="44DE76E0"/>
    <w:rsid w:val="44E18DAB"/>
    <w:rsid w:val="44F9BFC4"/>
    <w:rsid w:val="44FF32E6"/>
    <w:rsid w:val="450773E2"/>
    <w:rsid w:val="450DE754"/>
    <w:rsid w:val="452048BC"/>
    <w:rsid w:val="4529B325"/>
    <w:rsid w:val="4531A3A3"/>
    <w:rsid w:val="45347264"/>
    <w:rsid w:val="453E0A20"/>
    <w:rsid w:val="4545A97E"/>
    <w:rsid w:val="455C74C2"/>
    <w:rsid w:val="456E21A7"/>
    <w:rsid w:val="4572F61B"/>
    <w:rsid w:val="457F1560"/>
    <w:rsid w:val="4588E7F2"/>
    <w:rsid w:val="4591E3AD"/>
    <w:rsid w:val="4592F5D5"/>
    <w:rsid w:val="459927BA"/>
    <w:rsid w:val="45A43884"/>
    <w:rsid w:val="45AB683C"/>
    <w:rsid w:val="45BB9A75"/>
    <w:rsid w:val="45C4479D"/>
    <w:rsid w:val="45CBBCF2"/>
    <w:rsid w:val="45D04829"/>
    <w:rsid w:val="45D74E64"/>
    <w:rsid w:val="45DB1DD7"/>
    <w:rsid w:val="45DBFE33"/>
    <w:rsid w:val="461466B1"/>
    <w:rsid w:val="4622D819"/>
    <w:rsid w:val="4632EB15"/>
    <w:rsid w:val="46344F63"/>
    <w:rsid w:val="463A5A82"/>
    <w:rsid w:val="46492F81"/>
    <w:rsid w:val="46542C26"/>
    <w:rsid w:val="466091F8"/>
    <w:rsid w:val="4664C143"/>
    <w:rsid w:val="466D2C6C"/>
    <w:rsid w:val="467360B7"/>
    <w:rsid w:val="4686CB5C"/>
    <w:rsid w:val="4686E57B"/>
    <w:rsid w:val="4697F39F"/>
    <w:rsid w:val="4699F9A0"/>
    <w:rsid w:val="469E34DB"/>
    <w:rsid w:val="46A881FE"/>
    <w:rsid w:val="46AEF7A5"/>
    <w:rsid w:val="46AF8224"/>
    <w:rsid w:val="46B4990B"/>
    <w:rsid w:val="46BDABC0"/>
    <w:rsid w:val="46BEA630"/>
    <w:rsid w:val="46C35FC9"/>
    <w:rsid w:val="46CA4484"/>
    <w:rsid w:val="46CA7F55"/>
    <w:rsid w:val="46DBAF04"/>
    <w:rsid w:val="46EE6AAF"/>
    <w:rsid w:val="46FDB178"/>
    <w:rsid w:val="46FF1199"/>
    <w:rsid w:val="4702F85D"/>
    <w:rsid w:val="470DA1A3"/>
    <w:rsid w:val="471270DA"/>
    <w:rsid w:val="47143EEB"/>
    <w:rsid w:val="47168490"/>
    <w:rsid w:val="472E51A4"/>
    <w:rsid w:val="4736E4DE"/>
    <w:rsid w:val="473A1D95"/>
    <w:rsid w:val="475D8EF6"/>
    <w:rsid w:val="4768B43D"/>
    <w:rsid w:val="4769F8FB"/>
    <w:rsid w:val="47771509"/>
    <w:rsid w:val="47847DC5"/>
    <w:rsid w:val="4792EBD0"/>
    <w:rsid w:val="47944A73"/>
    <w:rsid w:val="4798ABF1"/>
    <w:rsid w:val="47A65B6B"/>
    <w:rsid w:val="47ABF8E3"/>
    <w:rsid w:val="47AD91D1"/>
    <w:rsid w:val="47AF7D9E"/>
    <w:rsid w:val="47BBFF43"/>
    <w:rsid w:val="47CC2A22"/>
    <w:rsid w:val="47DD2443"/>
    <w:rsid w:val="47E5D169"/>
    <w:rsid w:val="47E6803D"/>
    <w:rsid w:val="47E6998D"/>
    <w:rsid w:val="47EC77BF"/>
    <w:rsid w:val="47F2CA54"/>
    <w:rsid w:val="47FDA1F7"/>
    <w:rsid w:val="47FFC60A"/>
    <w:rsid w:val="480E1FD7"/>
    <w:rsid w:val="4813BA8B"/>
    <w:rsid w:val="48163B3F"/>
    <w:rsid w:val="481734B3"/>
    <w:rsid w:val="48179D5F"/>
    <w:rsid w:val="4825FC8C"/>
    <w:rsid w:val="482833F0"/>
    <w:rsid w:val="483BB720"/>
    <w:rsid w:val="4849E19F"/>
    <w:rsid w:val="484BAF52"/>
    <w:rsid w:val="484D32F8"/>
    <w:rsid w:val="484DF577"/>
    <w:rsid w:val="485E99DD"/>
    <w:rsid w:val="48620934"/>
    <w:rsid w:val="486468C4"/>
    <w:rsid w:val="486CBC18"/>
    <w:rsid w:val="486E3EAE"/>
    <w:rsid w:val="4875D2D1"/>
    <w:rsid w:val="4875F3D1"/>
    <w:rsid w:val="4876D539"/>
    <w:rsid w:val="487FAD46"/>
    <w:rsid w:val="48813CF0"/>
    <w:rsid w:val="488958DF"/>
    <w:rsid w:val="488C5B2B"/>
    <w:rsid w:val="489CEACB"/>
    <w:rsid w:val="48A95A02"/>
    <w:rsid w:val="48AD563A"/>
    <w:rsid w:val="48B04A43"/>
    <w:rsid w:val="48B29090"/>
    <w:rsid w:val="48B37A07"/>
    <w:rsid w:val="48B87589"/>
    <w:rsid w:val="48B96C59"/>
    <w:rsid w:val="48BEA2A1"/>
    <w:rsid w:val="48DF3584"/>
    <w:rsid w:val="48E7D41C"/>
    <w:rsid w:val="48F14E84"/>
    <w:rsid w:val="48F90A7C"/>
    <w:rsid w:val="4907E105"/>
    <w:rsid w:val="49160F39"/>
    <w:rsid w:val="4916B080"/>
    <w:rsid w:val="491D2AA0"/>
    <w:rsid w:val="491D4DCD"/>
    <w:rsid w:val="4924D637"/>
    <w:rsid w:val="49299076"/>
    <w:rsid w:val="49301101"/>
    <w:rsid w:val="493BFB8C"/>
    <w:rsid w:val="493F8AA8"/>
    <w:rsid w:val="4941B5E4"/>
    <w:rsid w:val="49480798"/>
    <w:rsid w:val="4954DAA3"/>
    <w:rsid w:val="49555FBA"/>
    <w:rsid w:val="495BDDB8"/>
    <w:rsid w:val="4963F45C"/>
    <w:rsid w:val="496A2587"/>
    <w:rsid w:val="4971453D"/>
    <w:rsid w:val="49753675"/>
    <w:rsid w:val="49819413"/>
    <w:rsid w:val="4982D31E"/>
    <w:rsid w:val="498E6D14"/>
    <w:rsid w:val="49910CEF"/>
    <w:rsid w:val="499B3B1F"/>
    <w:rsid w:val="49A0F0CD"/>
    <w:rsid w:val="49A63A7C"/>
    <w:rsid w:val="49A9E768"/>
    <w:rsid w:val="49B210D3"/>
    <w:rsid w:val="49CC234E"/>
    <w:rsid w:val="49CEDD20"/>
    <w:rsid w:val="49CFD276"/>
    <w:rsid w:val="49E24393"/>
    <w:rsid w:val="49E44514"/>
    <w:rsid w:val="49E84272"/>
    <w:rsid w:val="49F3FD7D"/>
    <w:rsid w:val="49F6B8E7"/>
    <w:rsid w:val="49F92DD2"/>
    <w:rsid w:val="49F98BAA"/>
    <w:rsid w:val="4A2C43D3"/>
    <w:rsid w:val="4A50139A"/>
    <w:rsid w:val="4A540B09"/>
    <w:rsid w:val="4A5BF8AA"/>
    <w:rsid w:val="4A5FE7E6"/>
    <w:rsid w:val="4A65D739"/>
    <w:rsid w:val="4A6E2A19"/>
    <w:rsid w:val="4A7FF972"/>
    <w:rsid w:val="4A863B86"/>
    <w:rsid w:val="4A86FB7C"/>
    <w:rsid w:val="4A8FFDE1"/>
    <w:rsid w:val="4A920195"/>
    <w:rsid w:val="4AA09DDE"/>
    <w:rsid w:val="4AC3FF72"/>
    <w:rsid w:val="4AF430A8"/>
    <w:rsid w:val="4AFB9716"/>
    <w:rsid w:val="4AFE727D"/>
    <w:rsid w:val="4B223259"/>
    <w:rsid w:val="4B279CC3"/>
    <w:rsid w:val="4B2B6FFF"/>
    <w:rsid w:val="4B2F8A49"/>
    <w:rsid w:val="4B380221"/>
    <w:rsid w:val="4B447F47"/>
    <w:rsid w:val="4B4F1DA4"/>
    <w:rsid w:val="4B613BB9"/>
    <w:rsid w:val="4B7212B2"/>
    <w:rsid w:val="4B7BD2F5"/>
    <w:rsid w:val="4B7FCC58"/>
    <w:rsid w:val="4B839161"/>
    <w:rsid w:val="4B8712C3"/>
    <w:rsid w:val="4B8CE53B"/>
    <w:rsid w:val="4B8E9F6C"/>
    <w:rsid w:val="4B90D675"/>
    <w:rsid w:val="4B936939"/>
    <w:rsid w:val="4B93E047"/>
    <w:rsid w:val="4B9ADD2B"/>
    <w:rsid w:val="4B9E0C08"/>
    <w:rsid w:val="4B9FC982"/>
    <w:rsid w:val="4BB544A4"/>
    <w:rsid w:val="4BC8ECA1"/>
    <w:rsid w:val="4BC98536"/>
    <w:rsid w:val="4BCDB01B"/>
    <w:rsid w:val="4BD0C7B1"/>
    <w:rsid w:val="4BE38353"/>
    <w:rsid w:val="4BECEBC9"/>
    <w:rsid w:val="4BED8E36"/>
    <w:rsid w:val="4BFFF14F"/>
    <w:rsid w:val="4C0D340A"/>
    <w:rsid w:val="4C1998BD"/>
    <w:rsid w:val="4C1A1E4B"/>
    <w:rsid w:val="4C1B5FB6"/>
    <w:rsid w:val="4C1B8FF4"/>
    <w:rsid w:val="4C2437FD"/>
    <w:rsid w:val="4C3D6F3E"/>
    <w:rsid w:val="4C559CE2"/>
    <w:rsid w:val="4C59D8C2"/>
    <w:rsid w:val="4C647DA2"/>
    <w:rsid w:val="4C74940A"/>
    <w:rsid w:val="4C7E2390"/>
    <w:rsid w:val="4C8374C3"/>
    <w:rsid w:val="4C8843A6"/>
    <w:rsid w:val="4C95FFEE"/>
    <w:rsid w:val="4CA8E34E"/>
    <w:rsid w:val="4CC65597"/>
    <w:rsid w:val="4CCBB136"/>
    <w:rsid w:val="4CCEEB65"/>
    <w:rsid w:val="4CD83551"/>
    <w:rsid w:val="4CE0110A"/>
    <w:rsid w:val="4CEB8FE6"/>
    <w:rsid w:val="4CED717C"/>
    <w:rsid w:val="4CEF538C"/>
    <w:rsid w:val="4CF25C70"/>
    <w:rsid w:val="4CFB5A94"/>
    <w:rsid w:val="4D06AA2C"/>
    <w:rsid w:val="4D11418C"/>
    <w:rsid w:val="4D186F1D"/>
    <w:rsid w:val="4D1F4A95"/>
    <w:rsid w:val="4D4B262F"/>
    <w:rsid w:val="4D4D6B62"/>
    <w:rsid w:val="4D4DFC90"/>
    <w:rsid w:val="4D4E4A55"/>
    <w:rsid w:val="4D4F22FC"/>
    <w:rsid w:val="4D54846C"/>
    <w:rsid w:val="4D5AFF53"/>
    <w:rsid w:val="4D6E60BC"/>
    <w:rsid w:val="4D709DC7"/>
    <w:rsid w:val="4D71333A"/>
    <w:rsid w:val="4D72F79F"/>
    <w:rsid w:val="4D74892B"/>
    <w:rsid w:val="4D7B68EC"/>
    <w:rsid w:val="4D81227B"/>
    <w:rsid w:val="4D85CB15"/>
    <w:rsid w:val="4D888133"/>
    <w:rsid w:val="4D8FFE02"/>
    <w:rsid w:val="4DAAB58A"/>
    <w:rsid w:val="4DAE966F"/>
    <w:rsid w:val="4DBE685A"/>
    <w:rsid w:val="4DC57178"/>
    <w:rsid w:val="4DE60E8C"/>
    <w:rsid w:val="4DE7AF5C"/>
    <w:rsid w:val="4DEFA6DB"/>
    <w:rsid w:val="4DF29641"/>
    <w:rsid w:val="4DF8D5E6"/>
    <w:rsid w:val="4DFD0199"/>
    <w:rsid w:val="4DFFACA3"/>
    <w:rsid w:val="4E094BE7"/>
    <w:rsid w:val="4E24D3D8"/>
    <w:rsid w:val="4E2B76A0"/>
    <w:rsid w:val="4E2F4DE7"/>
    <w:rsid w:val="4E3112A5"/>
    <w:rsid w:val="4E5039FA"/>
    <w:rsid w:val="4E6BBF05"/>
    <w:rsid w:val="4E7F9E25"/>
    <w:rsid w:val="4EA8731C"/>
    <w:rsid w:val="4EB10C84"/>
    <w:rsid w:val="4EB7325F"/>
    <w:rsid w:val="4EBC3477"/>
    <w:rsid w:val="4EBE188A"/>
    <w:rsid w:val="4EC60610"/>
    <w:rsid w:val="4EC96329"/>
    <w:rsid w:val="4ED356F7"/>
    <w:rsid w:val="4ED36E4A"/>
    <w:rsid w:val="4EE4DD0B"/>
    <w:rsid w:val="4EEC74FF"/>
    <w:rsid w:val="4EEE38FC"/>
    <w:rsid w:val="4EF82FF4"/>
    <w:rsid w:val="4EF91F07"/>
    <w:rsid w:val="4F0030D6"/>
    <w:rsid w:val="4F03CB61"/>
    <w:rsid w:val="4F06B433"/>
    <w:rsid w:val="4F0A4147"/>
    <w:rsid w:val="4F0AFE84"/>
    <w:rsid w:val="4F16CDAD"/>
    <w:rsid w:val="4F1D143E"/>
    <w:rsid w:val="4F1D89F6"/>
    <w:rsid w:val="4F24F328"/>
    <w:rsid w:val="4F27D0CF"/>
    <w:rsid w:val="4F294750"/>
    <w:rsid w:val="4F2AE6A4"/>
    <w:rsid w:val="4F3E2B03"/>
    <w:rsid w:val="4F3ECA75"/>
    <w:rsid w:val="4F4E29D6"/>
    <w:rsid w:val="4F5F99D2"/>
    <w:rsid w:val="4F622FF4"/>
    <w:rsid w:val="4F6B5646"/>
    <w:rsid w:val="4F70FFCB"/>
    <w:rsid w:val="4F802819"/>
    <w:rsid w:val="4F89878D"/>
    <w:rsid w:val="4F8CFFDF"/>
    <w:rsid w:val="4F8E02D2"/>
    <w:rsid w:val="4F8F7300"/>
    <w:rsid w:val="4F9A3FA2"/>
    <w:rsid w:val="4F9CB054"/>
    <w:rsid w:val="4F9D7492"/>
    <w:rsid w:val="4FA2FABD"/>
    <w:rsid w:val="4FA84CFA"/>
    <w:rsid w:val="4FAE8D11"/>
    <w:rsid w:val="4FAFE9E4"/>
    <w:rsid w:val="4FB57A6C"/>
    <w:rsid w:val="4FDD817F"/>
    <w:rsid w:val="4FDEB1DA"/>
    <w:rsid w:val="4FE42E1A"/>
    <w:rsid w:val="4FFB0DE6"/>
    <w:rsid w:val="5011F2EE"/>
    <w:rsid w:val="5013DBB6"/>
    <w:rsid w:val="5017B226"/>
    <w:rsid w:val="501F186B"/>
    <w:rsid w:val="50293C53"/>
    <w:rsid w:val="5029D362"/>
    <w:rsid w:val="502FC50C"/>
    <w:rsid w:val="5030FB8E"/>
    <w:rsid w:val="50353E1C"/>
    <w:rsid w:val="503AFAA2"/>
    <w:rsid w:val="504467E9"/>
    <w:rsid w:val="5044D4E0"/>
    <w:rsid w:val="5044F77E"/>
    <w:rsid w:val="505620F0"/>
    <w:rsid w:val="50603F90"/>
    <w:rsid w:val="50609AC6"/>
    <w:rsid w:val="5066F661"/>
    <w:rsid w:val="506C0EF8"/>
    <w:rsid w:val="508C731F"/>
    <w:rsid w:val="508D6D32"/>
    <w:rsid w:val="509B69C7"/>
    <w:rsid w:val="509ED997"/>
    <w:rsid w:val="50AA8747"/>
    <w:rsid w:val="50B57F19"/>
    <w:rsid w:val="50C00159"/>
    <w:rsid w:val="50CD4F04"/>
    <w:rsid w:val="50D96173"/>
    <w:rsid w:val="50DBEAD2"/>
    <w:rsid w:val="50E4468E"/>
    <w:rsid w:val="50F2E144"/>
    <w:rsid w:val="5104FA39"/>
    <w:rsid w:val="510CF18D"/>
    <w:rsid w:val="51277D3C"/>
    <w:rsid w:val="513AB2B4"/>
    <w:rsid w:val="513CD931"/>
    <w:rsid w:val="514A5D72"/>
    <w:rsid w:val="514B3AA6"/>
    <w:rsid w:val="514FBCCF"/>
    <w:rsid w:val="5151C343"/>
    <w:rsid w:val="51549BC1"/>
    <w:rsid w:val="515716B5"/>
    <w:rsid w:val="516CA850"/>
    <w:rsid w:val="51713108"/>
    <w:rsid w:val="5178E3F0"/>
    <w:rsid w:val="5184A155"/>
    <w:rsid w:val="51872283"/>
    <w:rsid w:val="519001D2"/>
    <w:rsid w:val="5192F7A7"/>
    <w:rsid w:val="5196CDE4"/>
    <w:rsid w:val="51A03678"/>
    <w:rsid w:val="51B17E7A"/>
    <w:rsid w:val="51B6EF6D"/>
    <w:rsid w:val="51BE45C1"/>
    <w:rsid w:val="51D40E0D"/>
    <w:rsid w:val="51DF0FA3"/>
    <w:rsid w:val="51E67679"/>
    <w:rsid w:val="51E9F2C4"/>
    <w:rsid w:val="51F69C36"/>
    <w:rsid w:val="51F9D8D5"/>
    <w:rsid w:val="51FE8E31"/>
    <w:rsid w:val="52052BE8"/>
    <w:rsid w:val="520C2768"/>
    <w:rsid w:val="520F7ED3"/>
    <w:rsid w:val="520F9887"/>
    <w:rsid w:val="5222667E"/>
    <w:rsid w:val="5227C8ED"/>
    <w:rsid w:val="522B2AFD"/>
    <w:rsid w:val="522B9FA7"/>
    <w:rsid w:val="523CA783"/>
    <w:rsid w:val="523DDAEC"/>
    <w:rsid w:val="52433FFD"/>
    <w:rsid w:val="52481E1D"/>
    <w:rsid w:val="52542083"/>
    <w:rsid w:val="52601C7A"/>
    <w:rsid w:val="526208CE"/>
    <w:rsid w:val="526B5277"/>
    <w:rsid w:val="52738829"/>
    <w:rsid w:val="52769FA1"/>
    <w:rsid w:val="52809262"/>
    <w:rsid w:val="528285E0"/>
    <w:rsid w:val="5282DE32"/>
    <w:rsid w:val="528D5377"/>
    <w:rsid w:val="52AA0C1D"/>
    <w:rsid w:val="52ADCD4B"/>
    <w:rsid w:val="52B79FE1"/>
    <w:rsid w:val="52C7F119"/>
    <w:rsid w:val="52D07EA3"/>
    <w:rsid w:val="52E28582"/>
    <w:rsid w:val="52ED1A11"/>
    <w:rsid w:val="5306F8BF"/>
    <w:rsid w:val="5314060D"/>
    <w:rsid w:val="531498DF"/>
    <w:rsid w:val="53164A73"/>
    <w:rsid w:val="532607A9"/>
    <w:rsid w:val="532E47E4"/>
    <w:rsid w:val="5353B75F"/>
    <w:rsid w:val="535A263F"/>
    <w:rsid w:val="536599CA"/>
    <w:rsid w:val="536BF534"/>
    <w:rsid w:val="53731038"/>
    <w:rsid w:val="537D3301"/>
    <w:rsid w:val="537EF797"/>
    <w:rsid w:val="53852C42"/>
    <w:rsid w:val="538A9769"/>
    <w:rsid w:val="538E5FA7"/>
    <w:rsid w:val="53925938"/>
    <w:rsid w:val="53ADDF87"/>
    <w:rsid w:val="53B08C55"/>
    <w:rsid w:val="53B66B56"/>
    <w:rsid w:val="53C2EB03"/>
    <w:rsid w:val="53C2ED6D"/>
    <w:rsid w:val="53CB2A21"/>
    <w:rsid w:val="53D13794"/>
    <w:rsid w:val="53D4BAC5"/>
    <w:rsid w:val="53E5A1BB"/>
    <w:rsid w:val="53E778F7"/>
    <w:rsid w:val="53EA7C94"/>
    <w:rsid w:val="53EFC8DE"/>
    <w:rsid w:val="5403AD70"/>
    <w:rsid w:val="540A128F"/>
    <w:rsid w:val="540D493E"/>
    <w:rsid w:val="54130C62"/>
    <w:rsid w:val="541DCB75"/>
    <w:rsid w:val="54257748"/>
    <w:rsid w:val="542665EF"/>
    <w:rsid w:val="54391E47"/>
    <w:rsid w:val="543B7DF2"/>
    <w:rsid w:val="5445FD5C"/>
    <w:rsid w:val="54474D50"/>
    <w:rsid w:val="544E42FE"/>
    <w:rsid w:val="5452D17B"/>
    <w:rsid w:val="545BDEB9"/>
    <w:rsid w:val="5466DADE"/>
    <w:rsid w:val="546A5B23"/>
    <w:rsid w:val="547DF2C0"/>
    <w:rsid w:val="54844DB3"/>
    <w:rsid w:val="549F06D7"/>
    <w:rsid w:val="54B22A6B"/>
    <w:rsid w:val="54B5AF1A"/>
    <w:rsid w:val="54C39A3A"/>
    <w:rsid w:val="54C3B25B"/>
    <w:rsid w:val="54C742CC"/>
    <w:rsid w:val="54CB89B3"/>
    <w:rsid w:val="54D885B2"/>
    <w:rsid w:val="54E39AD7"/>
    <w:rsid w:val="54E949E6"/>
    <w:rsid w:val="54E9DED8"/>
    <w:rsid w:val="54EFE3EE"/>
    <w:rsid w:val="54F6AD1C"/>
    <w:rsid w:val="54FFE95D"/>
    <w:rsid w:val="5508836F"/>
    <w:rsid w:val="550B5348"/>
    <w:rsid w:val="550E7232"/>
    <w:rsid w:val="5524F52F"/>
    <w:rsid w:val="55276844"/>
    <w:rsid w:val="5529D6BA"/>
    <w:rsid w:val="5533BD80"/>
    <w:rsid w:val="5533EAC7"/>
    <w:rsid w:val="5547B426"/>
    <w:rsid w:val="554B8CA9"/>
    <w:rsid w:val="5550A49D"/>
    <w:rsid w:val="5552CEC6"/>
    <w:rsid w:val="555A979D"/>
    <w:rsid w:val="5579797C"/>
    <w:rsid w:val="557A15B7"/>
    <w:rsid w:val="5582C50E"/>
    <w:rsid w:val="55841E37"/>
    <w:rsid w:val="558702BD"/>
    <w:rsid w:val="559912CB"/>
    <w:rsid w:val="559B3467"/>
    <w:rsid w:val="55A02B2B"/>
    <w:rsid w:val="55A26CD5"/>
    <w:rsid w:val="55ABAE67"/>
    <w:rsid w:val="55ABFDAD"/>
    <w:rsid w:val="55B35EF7"/>
    <w:rsid w:val="55B7297D"/>
    <w:rsid w:val="55F44B05"/>
    <w:rsid w:val="55F69B82"/>
    <w:rsid w:val="55F6B07A"/>
    <w:rsid w:val="5621875A"/>
    <w:rsid w:val="5630E410"/>
    <w:rsid w:val="563EFF02"/>
    <w:rsid w:val="5649FEBD"/>
    <w:rsid w:val="564CBDB0"/>
    <w:rsid w:val="565424B9"/>
    <w:rsid w:val="5660509C"/>
    <w:rsid w:val="56631491"/>
    <w:rsid w:val="56723CF0"/>
    <w:rsid w:val="567B8D81"/>
    <w:rsid w:val="56829786"/>
    <w:rsid w:val="56860DC8"/>
    <w:rsid w:val="5687C5CC"/>
    <w:rsid w:val="5690385B"/>
    <w:rsid w:val="56A1562E"/>
    <w:rsid w:val="56A1E626"/>
    <w:rsid w:val="56A42E51"/>
    <w:rsid w:val="56A5B7DF"/>
    <w:rsid w:val="56AA7367"/>
    <w:rsid w:val="56AA7D96"/>
    <w:rsid w:val="56C4C06C"/>
    <w:rsid w:val="56C94606"/>
    <w:rsid w:val="56C9F740"/>
    <w:rsid w:val="56D1D668"/>
    <w:rsid w:val="56D29FBC"/>
    <w:rsid w:val="56DA74C9"/>
    <w:rsid w:val="56DCB3BC"/>
    <w:rsid w:val="56E5F20A"/>
    <w:rsid w:val="56E78635"/>
    <w:rsid w:val="56FD0093"/>
    <w:rsid w:val="570CC5B0"/>
    <w:rsid w:val="570CE78E"/>
    <w:rsid w:val="57285278"/>
    <w:rsid w:val="57291BBE"/>
    <w:rsid w:val="5734E39E"/>
    <w:rsid w:val="573B593D"/>
    <w:rsid w:val="57447FD4"/>
    <w:rsid w:val="5748071C"/>
    <w:rsid w:val="574A34AF"/>
    <w:rsid w:val="574B5E1C"/>
    <w:rsid w:val="574F7640"/>
    <w:rsid w:val="574FDB58"/>
    <w:rsid w:val="57500D15"/>
    <w:rsid w:val="57548A6A"/>
    <w:rsid w:val="57554143"/>
    <w:rsid w:val="5757376D"/>
    <w:rsid w:val="575A984E"/>
    <w:rsid w:val="575B27C1"/>
    <w:rsid w:val="576051D9"/>
    <w:rsid w:val="5760F1AB"/>
    <w:rsid w:val="57651B95"/>
    <w:rsid w:val="5784243B"/>
    <w:rsid w:val="57A23BAF"/>
    <w:rsid w:val="57A6131A"/>
    <w:rsid w:val="57B11DD4"/>
    <w:rsid w:val="57BBA4C9"/>
    <w:rsid w:val="57BCFB7D"/>
    <w:rsid w:val="57BD523F"/>
    <w:rsid w:val="57C2378F"/>
    <w:rsid w:val="57C29E4E"/>
    <w:rsid w:val="57C960F8"/>
    <w:rsid w:val="57CFD94F"/>
    <w:rsid w:val="57D19457"/>
    <w:rsid w:val="57E1BE51"/>
    <w:rsid w:val="57F80A07"/>
    <w:rsid w:val="57F92177"/>
    <w:rsid w:val="57FB91E2"/>
    <w:rsid w:val="581150C6"/>
    <w:rsid w:val="58170DE5"/>
    <w:rsid w:val="581EEF2E"/>
    <w:rsid w:val="582C1011"/>
    <w:rsid w:val="582D8D09"/>
    <w:rsid w:val="5830DAA0"/>
    <w:rsid w:val="583D5213"/>
    <w:rsid w:val="583D888B"/>
    <w:rsid w:val="58447C4F"/>
    <w:rsid w:val="584BB7A7"/>
    <w:rsid w:val="58573EC4"/>
    <w:rsid w:val="585B9B61"/>
    <w:rsid w:val="5864EDF5"/>
    <w:rsid w:val="5867066B"/>
    <w:rsid w:val="586C46D7"/>
    <w:rsid w:val="5877C38C"/>
    <w:rsid w:val="5883D9A7"/>
    <w:rsid w:val="588B27CC"/>
    <w:rsid w:val="588D0634"/>
    <w:rsid w:val="588F9DF5"/>
    <w:rsid w:val="5895542E"/>
    <w:rsid w:val="5897DBC0"/>
    <w:rsid w:val="589A18C7"/>
    <w:rsid w:val="589A32A7"/>
    <w:rsid w:val="589CCC0C"/>
    <w:rsid w:val="58A7A69C"/>
    <w:rsid w:val="58ACF78D"/>
    <w:rsid w:val="58BD6A63"/>
    <w:rsid w:val="58C30B39"/>
    <w:rsid w:val="58D63921"/>
    <w:rsid w:val="58DA1B5E"/>
    <w:rsid w:val="58DB8919"/>
    <w:rsid w:val="58F29235"/>
    <w:rsid w:val="58FBE14D"/>
    <w:rsid w:val="58FEFF89"/>
    <w:rsid w:val="590567A7"/>
    <w:rsid w:val="5906EC5F"/>
    <w:rsid w:val="59095D94"/>
    <w:rsid w:val="590B4D69"/>
    <w:rsid w:val="590D1CD7"/>
    <w:rsid w:val="59252C10"/>
    <w:rsid w:val="592A50CB"/>
    <w:rsid w:val="5931825C"/>
    <w:rsid w:val="59477D0F"/>
    <w:rsid w:val="59498C6F"/>
    <w:rsid w:val="594ACC2C"/>
    <w:rsid w:val="5952A109"/>
    <w:rsid w:val="5953C18F"/>
    <w:rsid w:val="595A1958"/>
    <w:rsid w:val="595A7DDA"/>
    <w:rsid w:val="59601525"/>
    <w:rsid w:val="5964325F"/>
    <w:rsid w:val="5979EB5E"/>
    <w:rsid w:val="59851AF4"/>
    <w:rsid w:val="59873B0B"/>
    <w:rsid w:val="5987457D"/>
    <w:rsid w:val="5987B340"/>
    <w:rsid w:val="598C198E"/>
    <w:rsid w:val="598C48D7"/>
    <w:rsid w:val="598DE341"/>
    <w:rsid w:val="59993259"/>
    <w:rsid w:val="599A83BD"/>
    <w:rsid w:val="599C3825"/>
    <w:rsid w:val="59A052AD"/>
    <w:rsid w:val="59B5D79A"/>
    <w:rsid w:val="59BBEA43"/>
    <w:rsid w:val="59BFA3A0"/>
    <w:rsid w:val="59C3212A"/>
    <w:rsid w:val="59C3BDD5"/>
    <w:rsid w:val="59CE3205"/>
    <w:rsid w:val="59D26520"/>
    <w:rsid w:val="59E13C2E"/>
    <w:rsid w:val="59E2B8C1"/>
    <w:rsid w:val="59E49B56"/>
    <w:rsid w:val="59F4900F"/>
    <w:rsid w:val="5A085730"/>
    <w:rsid w:val="5A0EC4A1"/>
    <w:rsid w:val="5A2D5366"/>
    <w:rsid w:val="5A3188EB"/>
    <w:rsid w:val="5A38697D"/>
    <w:rsid w:val="5A4FF06C"/>
    <w:rsid w:val="5A67883F"/>
    <w:rsid w:val="5A72C9CA"/>
    <w:rsid w:val="5A81CE80"/>
    <w:rsid w:val="5A83CB28"/>
    <w:rsid w:val="5A8767D5"/>
    <w:rsid w:val="5A8B632F"/>
    <w:rsid w:val="5A935CDF"/>
    <w:rsid w:val="5A9A7969"/>
    <w:rsid w:val="5A9B2288"/>
    <w:rsid w:val="5AA7E02D"/>
    <w:rsid w:val="5AA83CC5"/>
    <w:rsid w:val="5AAFA730"/>
    <w:rsid w:val="5AB5CBFF"/>
    <w:rsid w:val="5AC032E5"/>
    <w:rsid w:val="5AD21F1B"/>
    <w:rsid w:val="5AD39B52"/>
    <w:rsid w:val="5AD3A961"/>
    <w:rsid w:val="5AD73C84"/>
    <w:rsid w:val="5ADD3D1A"/>
    <w:rsid w:val="5AE4DAE8"/>
    <w:rsid w:val="5AE583AE"/>
    <w:rsid w:val="5AF03630"/>
    <w:rsid w:val="5AF26775"/>
    <w:rsid w:val="5AFEAB1C"/>
    <w:rsid w:val="5B058D2B"/>
    <w:rsid w:val="5B08FB0F"/>
    <w:rsid w:val="5B1AD0A8"/>
    <w:rsid w:val="5B1B935A"/>
    <w:rsid w:val="5B2BC7FC"/>
    <w:rsid w:val="5B535E7F"/>
    <w:rsid w:val="5B53D833"/>
    <w:rsid w:val="5B574C58"/>
    <w:rsid w:val="5B6AE110"/>
    <w:rsid w:val="5B844F4E"/>
    <w:rsid w:val="5B85B203"/>
    <w:rsid w:val="5B9EA515"/>
    <w:rsid w:val="5BA0A172"/>
    <w:rsid w:val="5BB2922B"/>
    <w:rsid w:val="5BB37566"/>
    <w:rsid w:val="5BBB197C"/>
    <w:rsid w:val="5BC15F19"/>
    <w:rsid w:val="5BC214DD"/>
    <w:rsid w:val="5BE3035F"/>
    <w:rsid w:val="5BED6AAC"/>
    <w:rsid w:val="5BEE4D04"/>
    <w:rsid w:val="5BEE5C15"/>
    <w:rsid w:val="5BF3C77E"/>
    <w:rsid w:val="5C04A089"/>
    <w:rsid w:val="5C071B1C"/>
    <w:rsid w:val="5C0B0C25"/>
    <w:rsid w:val="5C19D3F5"/>
    <w:rsid w:val="5C1E3328"/>
    <w:rsid w:val="5C2924B9"/>
    <w:rsid w:val="5C2EC536"/>
    <w:rsid w:val="5C2F2712"/>
    <w:rsid w:val="5C2FEFEE"/>
    <w:rsid w:val="5C30ADB1"/>
    <w:rsid w:val="5C31B202"/>
    <w:rsid w:val="5C339101"/>
    <w:rsid w:val="5C3612E9"/>
    <w:rsid w:val="5C52A3FB"/>
    <w:rsid w:val="5C6B0AAB"/>
    <w:rsid w:val="5C74E2D7"/>
    <w:rsid w:val="5C7F7658"/>
    <w:rsid w:val="5C882866"/>
    <w:rsid w:val="5C8CA333"/>
    <w:rsid w:val="5C8F1816"/>
    <w:rsid w:val="5C921CDD"/>
    <w:rsid w:val="5C94E554"/>
    <w:rsid w:val="5C97D4B2"/>
    <w:rsid w:val="5CC74453"/>
    <w:rsid w:val="5CCC3DFD"/>
    <w:rsid w:val="5CE24C65"/>
    <w:rsid w:val="5CEA3C4D"/>
    <w:rsid w:val="5CEBF380"/>
    <w:rsid w:val="5CFBB077"/>
    <w:rsid w:val="5D005843"/>
    <w:rsid w:val="5D0EF300"/>
    <w:rsid w:val="5D21CD97"/>
    <w:rsid w:val="5D290558"/>
    <w:rsid w:val="5D29A81F"/>
    <w:rsid w:val="5D392C7E"/>
    <w:rsid w:val="5D39883B"/>
    <w:rsid w:val="5D39BB7C"/>
    <w:rsid w:val="5D471C30"/>
    <w:rsid w:val="5D610E61"/>
    <w:rsid w:val="5D62179C"/>
    <w:rsid w:val="5D6635C0"/>
    <w:rsid w:val="5D6E9171"/>
    <w:rsid w:val="5D7F71D6"/>
    <w:rsid w:val="5D843397"/>
    <w:rsid w:val="5D8E0B07"/>
    <w:rsid w:val="5D9FB234"/>
    <w:rsid w:val="5DAAF168"/>
    <w:rsid w:val="5DABAB34"/>
    <w:rsid w:val="5DACDCF8"/>
    <w:rsid w:val="5DAE18D1"/>
    <w:rsid w:val="5DC25E78"/>
    <w:rsid w:val="5DCD8716"/>
    <w:rsid w:val="5DE68E47"/>
    <w:rsid w:val="5DEC4E98"/>
    <w:rsid w:val="5E0E9B21"/>
    <w:rsid w:val="5E183A65"/>
    <w:rsid w:val="5E18E917"/>
    <w:rsid w:val="5E1FAA42"/>
    <w:rsid w:val="5E326E31"/>
    <w:rsid w:val="5E469595"/>
    <w:rsid w:val="5E58C66F"/>
    <w:rsid w:val="5E5C3F54"/>
    <w:rsid w:val="5E5C9EF7"/>
    <w:rsid w:val="5E63E03D"/>
    <w:rsid w:val="5E6979D5"/>
    <w:rsid w:val="5E72D066"/>
    <w:rsid w:val="5E77C622"/>
    <w:rsid w:val="5E784644"/>
    <w:rsid w:val="5E951511"/>
    <w:rsid w:val="5E96B3A0"/>
    <w:rsid w:val="5E97A22A"/>
    <w:rsid w:val="5E9C0732"/>
    <w:rsid w:val="5EA8E8A9"/>
    <w:rsid w:val="5EC8AC2F"/>
    <w:rsid w:val="5ECFF6C1"/>
    <w:rsid w:val="5EE131E2"/>
    <w:rsid w:val="5EEC504C"/>
    <w:rsid w:val="5F01EDD2"/>
    <w:rsid w:val="5F02FDB6"/>
    <w:rsid w:val="5F0436E2"/>
    <w:rsid w:val="5F07F668"/>
    <w:rsid w:val="5F0A94AF"/>
    <w:rsid w:val="5F1708BA"/>
    <w:rsid w:val="5F1B84EC"/>
    <w:rsid w:val="5F232CC1"/>
    <w:rsid w:val="5F24A7EF"/>
    <w:rsid w:val="5F27A5D6"/>
    <w:rsid w:val="5F2C7C83"/>
    <w:rsid w:val="5F2D90A5"/>
    <w:rsid w:val="5F319B7F"/>
    <w:rsid w:val="5F3B70E0"/>
    <w:rsid w:val="5F41C842"/>
    <w:rsid w:val="5F5131DC"/>
    <w:rsid w:val="5F644C9E"/>
    <w:rsid w:val="5F68A8CC"/>
    <w:rsid w:val="5F707D2C"/>
    <w:rsid w:val="5F761B8F"/>
    <w:rsid w:val="5F7AB889"/>
    <w:rsid w:val="5F821D63"/>
    <w:rsid w:val="5F8B93E8"/>
    <w:rsid w:val="5F8FD05C"/>
    <w:rsid w:val="5FA0932A"/>
    <w:rsid w:val="5FA15E3C"/>
    <w:rsid w:val="5FBD258A"/>
    <w:rsid w:val="5FBE4444"/>
    <w:rsid w:val="5FC23610"/>
    <w:rsid w:val="5FE5DDFE"/>
    <w:rsid w:val="5FF15BD5"/>
    <w:rsid w:val="5FF83F87"/>
    <w:rsid w:val="600D7903"/>
    <w:rsid w:val="6011C3B9"/>
    <w:rsid w:val="60242C73"/>
    <w:rsid w:val="602B12F8"/>
    <w:rsid w:val="604348C2"/>
    <w:rsid w:val="604521A6"/>
    <w:rsid w:val="60467EF6"/>
    <w:rsid w:val="6056EA13"/>
    <w:rsid w:val="606254F5"/>
    <w:rsid w:val="606343A7"/>
    <w:rsid w:val="6065E6D7"/>
    <w:rsid w:val="607C235F"/>
    <w:rsid w:val="608DF63A"/>
    <w:rsid w:val="60B4DC66"/>
    <w:rsid w:val="60CDAF14"/>
    <w:rsid w:val="60DE977C"/>
    <w:rsid w:val="60DF79D2"/>
    <w:rsid w:val="60E09A0F"/>
    <w:rsid w:val="60E1388C"/>
    <w:rsid w:val="60FAF0D8"/>
    <w:rsid w:val="6111E483"/>
    <w:rsid w:val="61162335"/>
    <w:rsid w:val="61289376"/>
    <w:rsid w:val="612ED73A"/>
    <w:rsid w:val="61357EEF"/>
    <w:rsid w:val="6141414D"/>
    <w:rsid w:val="614A4811"/>
    <w:rsid w:val="614D081B"/>
    <w:rsid w:val="614F0F5E"/>
    <w:rsid w:val="6151E738"/>
    <w:rsid w:val="6157F970"/>
    <w:rsid w:val="6161416E"/>
    <w:rsid w:val="61616242"/>
    <w:rsid w:val="6176E883"/>
    <w:rsid w:val="6177A9C8"/>
    <w:rsid w:val="6187C8E6"/>
    <w:rsid w:val="61894D03"/>
    <w:rsid w:val="61A3C63F"/>
    <w:rsid w:val="61AE73C5"/>
    <w:rsid w:val="61B93DD2"/>
    <w:rsid w:val="61BC0AF1"/>
    <w:rsid w:val="61BCAEAC"/>
    <w:rsid w:val="61BFA34B"/>
    <w:rsid w:val="61D41127"/>
    <w:rsid w:val="61D7646B"/>
    <w:rsid w:val="61E2C04C"/>
    <w:rsid w:val="61F6D0F1"/>
    <w:rsid w:val="61FBB7BA"/>
    <w:rsid w:val="620DF500"/>
    <w:rsid w:val="622B2CB8"/>
    <w:rsid w:val="622E32E3"/>
    <w:rsid w:val="62321A46"/>
    <w:rsid w:val="6249DD59"/>
    <w:rsid w:val="624ED0B0"/>
    <w:rsid w:val="62584AF6"/>
    <w:rsid w:val="625A24D9"/>
    <w:rsid w:val="626B2C0A"/>
    <w:rsid w:val="626D9355"/>
    <w:rsid w:val="62735571"/>
    <w:rsid w:val="6279E777"/>
    <w:rsid w:val="6284989D"/>
    <w:rsid w:val="6284A22E"/>
    <w:rsid w:val="628A0429"/>
    <w:rsid w:val="62947BEF"/>
    <w:rsid w:val="62AB3E2D"/>
    <w:rsid w:val="62B1C692"/>
    <w:rsid w:val="62B43516"/>
    <w:rsid w:val="62CEF051"/>
    <w:rsid w:val="62D3C818"/>
    <w:rsid w:val="62DBDB4D"/>
    <w:rsid w:val="62E0E9F2"/>
    <w:rsid w:val="62E34969"/>
    <w:rsid w:val="62E80E69"/>
    <w:rsid w:val="62ECB6F7"/>
    <w:rsid w:val="62F2043C"/>
    <w:rsid w:val="62F25E25"/>
    <w:rsid w:val="62F3D9F7"/>
    <w:rsid w:val="630D2C6A"/>
    <w:rsid w:val="631B6575"/>
    <w:rsid w:val="632E5D56"/>
    <w:rsid w:val="63390C75"/>
    <w:rsid w:val="6358E34B"/>
    <w:rsid w:val="637827CF"/>
    <w:rsid w:val="63889820"/>
    <w:rsid w:val="638C2AEC"/>
    <w:rsid w:val="63928F01"/>
    <w:rsid w:val="63A29879"/>
    <w:rsid w:val="63B1A385"/>
    <w:rsid w:val="63C21726"/>
    <w:rsid w:val="63E0EBB9"/>
    <w:rsid w:val="63E94DEA"/>
    <w:rsid w:val="63EFD6E3"/>
    <w:rsid w:val="6402D7D9"/>
    <w:rsid w:val="6417CE13"/>
    <w:rsid w:val="641EEAE5"/>
    <w:rsid w:val="64228D44"/>
    <w:rsid w:val="6422EB75"/>
    <w:rsid w:val="6429D72F"/>
    <w:rsid w:val="642A0602"/>
    <w:rsid w:val="642B7F78"/>
    <w:rsid w:val="6436FBAD"/>
    <w:rsid w:val="643FEB66"/>
    <w:rsid w:val="6440AFEF"/>
    <w:rsid w:val="6446E972"/>
    <w:rsid w:val="644FFEFB"/>
    <w:rsid w:val="645D8385"/>
    <w:rsid w:val="6462635C"/>
    <w:rsid w:val="6467EA5D"/>
    <w:rsid w:val="64711859"/>
    <w:rsid w:val="6471F8F5"/>
    <w:rsid w:val="6474A560"/>
    <w:rsid w:val="649B4CD0"/>
    <w:rsid w:val="64A64B10"/>
    <w:rsid w:val="64B74A4C"/>
    <w:rsid w:val="64BB13CD"/>
    <w:rsid w:val="64BEF987"/>
    <w:rsid w:val="64C194B7"/>
    <w:rsid w:val="64C2C1A0"/>
    <w:rsid w:val="64D11FAF"/>
    <w:rsid w:val="64D999AD"/>
    <w:rsid w:val="64D9B687"/>
    <w:rsid w:val="64E3F50E"/>
    <w:rsid w:val="64ECDCBA"/>
    <w:rsid w:val="64ED8774"/>
    <w:rsid w:val="64F1B0BB"/>
    <w:rsid w:val="64F42014"/>
    <w:rsid w:val="64FF9F89"/>
    <w:rsid w:val="6505F524"/>
    <w:rsid w:val="652A5DFD"/>
    <w:rsid w:val="652AAA76"/>
    <w:rsid w:val="652F6D3B"/>
    <w:rsid w:val="653A921B"/>
    <w:rsid w:val="654F440A"/>
    <w:rsid w:val="655A191F"/>
    <w:rsid w:val="655AEB60"/>
    <w:rsid w:val="6567380E"/>
    <w:rsid w:val="65708122"/>
    <w:rsid w:val="6570AEAF"/>
    <w:rsid w:val="6573509F"/>
    <w:rsid w:val="65742057"/>
    <w:rsid w:val="65866A2D"/>
    <w:rsid w:val="659578F0"/>
    <w:rsid w:val="65974187"/>
    <w:rsid w:val="65A00CEF"/>
    <w:rsid w:val="65A46E90"/>
    <w:rsid w:val="65A4FF48"/>
    <w:rsid w:val="65BB0D69"/>
    <w:rsid w:val="65CFBC4F"/>
    <w:rsid w:val="65D1D829"/>
    <w:rsid w:val="65DB8DA4"/>
    <w:rsid w:val="65EDEF69"/>
    <w:rsid w:val="65F64467"/>
    <w:rsid w:val="660A446A"/>
    <w:rsid w:val="66178E70"/>
    <w:rsid w:val="661D008D"/>
    <w:rsid w:val="66282705"/>
    <w:rsid w:val="664D2F9D"/>
    <w:rsid w:val="665A5069"/>
    <w:rsid w:val="6664B4A6"/>
    <w:rsid w:val="66697290"/>
    <w:rsid w:val="6677E923"/>
    <w:rsid w:val="667F3FFA"/>
    <w:rsid w:val="667F4553"/>
    <w:rsid w:val="6684C6C6"/>
    <w:rsid w:val="6695452F"/>
    <w:rsid w:val="669A1B76"/>
    <w:rsid w:val="669F45C2"/>
    <w:rsid w:val="66A8B581"/>
    <w:rsid w:val="66ACB2FF"/>
    <w:rsid w:val="66C2621C"/>
    <w:rsid w:val="66C71A1D"/>
    <w:rsid w:val="66D0C30C"/>
    <w:rsid w:val="66DB3AA5"/>
    <w:rsid w:val="66DF992C"/>
    <w:rsid w:val="66E8FC65"/>
    <w:rsid w:val="66F5370C"/>
    <w:rsid w:val="67060F79"/>
    <w:rsid w:val="671810C4"/>
    <w:rsid w:val="671962A8"/>
    <w:rsid w:val="6720D030"/>
    <w:rsid w:val="67364488"/>
    <w:rsid w:val="6738AF3D"/>
    <w:rsid w:val="673C1B04"/>
    <w:rsid w:val="673D8A12"/>
    <w:rsid w:val="67498E83"/>
    <w:rsid w:val="6753CEBE"/>
    <w:rsid w:val="675B3D2A"/>
    <w:rsid w:val="675E92B4"/>
    <w:rsid w:val="675FB39D"/>
    <w:rsid w:val="6766E128"/>
    <w:rsid w:val="677747B0"/>
    <w:rsid w:val="677D8826"/>
    <w:rsid w:val="6782CE98"/>
    <w:rsid w:val="6785DA05"/>
    <w:rsid w:val="6788C42F"/>
    <w:rsid w:val="6789D346"/>
    <w:rsid w:val="678A3307"/>
    <w:rsid w:val="6794F393"/>
    <w:rsid w:val="67B23507"/>
    <w:rsid w:val="67B731DB"/>
    <w:rsid w:val="67C73EDF"/>
    <w:rsid w:val="67DB9439"/>
    <w:rsid w:val="67DCFFCB"/>
    <w:rsid w:val="67F55E63"/>
    <w:rsid w:val="68048F6F"/>
    <w:rsid w:val="680DE189"/>
    <w:rsid w:val="6815C92C"/>
    <w:rsid w:val="68187E07"/>
    <w:rsid w:val="6822A614"/>
    <w:rsid w:val="68272F24"/>
    <w:rsid w:val="6847858F"/>
    <w:rsid w:val="685D2290"/>
    <w:rsid w:val="685F63BA"/>
    <w:rsid w:val="686140B0"/>
    <w:rsid w:val="6868CEB3"/>
    <w:rsid w:val="686957C9"/>
    <w:rsid w:val="68723156"/>
    <w:rsid w:val="68795F1F"/>
    <w:rsid w:val="687EBC14"/>
    <w:rsid w:val="689B8E5D"/>
    <w:rsid w:val="68ABDCAC"/>
    <w:rsid w:val="68AD1333"/>
    <w:rsid w:val="68B282BD"/>
    <w:rsid w:val="68C643A8"/>
    <w:rsid w:val="68D27BFB"/>
    <w:rsid w:val="68D28B1C"/>
    <w:rsid w:val="68E58224"/>
    <w:rsid w:val="68EF68B3"/>
    <w:rsid w:val="68F276C0"/>
    <w:rsid w:val="6908F374"/>
    <w:rsid w:val="690E02D3"/>
    <w:rsid w:val="69111D7D"/>
    <w:rsid w:val="69127C52"/>
    <w:rsid w:val="691C3D66"/>
    <w:rsid w:val="691FD0B4"/>
    <w:rsid w:val="692BDD6E"/>
    <w:rsid w:val="693158D9"/>
    <w:rsid w:val="6935EF70"/>
    <w:rsid w:val="693FEE69"/>
    <w:rsid w:val="6940674C"/>
    <w:rsid w:val="6945D769"/>
    <w:rsid w:val="694A095D"/>
    <w:rsid w:val="6959E48F"/>
    <w:rsid w:val="695BB51D"/>
    <w:rsid w:val="695E74AB"/>
    <w:rsid w:val="695ED868"/>
    <w:rsid w:val="69636E3D"/>
    <w:rsid w:val="69656B70"/>
    <w:rsid w:val="6969AFE9"/>
    <w:rsid w:val="6971E92E"/>
    <w:rsid w:val="697BA0C6"/>
    <w:rsid w:val="698300FD"/>
    <w:rsid w:val="698C3908"/>
    <w:rsid w:val="6992B133"/>
    <w:rsid w:val="699B5212"/>
    <w:rsid w:val="699B69C2"/>
    <w:rsid w:val="69AF0561"/>
    <w:rsid w:val="69AF7F90"/>
    <w:rsid w:val="69B1B2DC"/>
    <w:rsid w:val="69C5D24E"/>
    <w:rsid w:val="69D2C2F5"/>
    <w:rsid w:val="69D4F64D"/>
    <w:rsid w:val="69E72ACE"/>
    <w:rsid w:val="69F2835C"/>
    <w:rsid w:val="6A0FE565"/>
    <w:rsid w:val="6A148DA1"/>
    <w:rsid w:val="6A15210A"/>
    <w:rsid w:val="6A1CC678"/>
    <w:rsid w:val="6A210D3F"/>
    <w:rsid w:val="6A233A69"/>
    <w:rsid w:val="6A3598DD"/>
    <w:rsid w:val="6A383930"/>
    <w:rsid w:val="6A3B44E9"/>
    <w:rsid w:val="6A4B45F0"/>
    <w:rsid w:val="6A4BA8EC"/>
    <w:rsid w:val="6A52D4F3"/>
    <w:rsid w:val="6A58C9AB"/>
    <w:rsid w:val="6A62727B"/>
    <w:rsid w:val="6A84BAD9"/>
    <w:rsid w:val="6A864664"/>
    <w:rsid w:val="6A8DBB35"/>
    <w:rsid w:val="6A9471A0"/>
    <w:rsid w:val="6A9518A7"/>
    <w:rsid w:val="6A996D65"/>
    <w:rsid w:val="6A9A7967"/>
    <w:rsid w:val="6AA06667"/>
    <w:rsid w:val="6AA71FE7"/>
    <w:rsid w:val="6AD478F9"/>
    <w:rsid w:val="6ADC2EF0"/>
    <w:rsid w:val="6ADF38CC"/>
    <w:rsid w:val="6AF52B3A"/>
    <w:rsid w:val="6AF63F56"/>
    <w:rsid w:val="6B14B564"/>
    <w:rsid w:val="6B265506"/>
    <w:rsid w:val="6B2B6271"/>
    <w:rsid w:val="6B2CB636"/>
    <w:rsid w:val="6B2F8165"/>
    <w:rsid w:val="6B3038D1"/>
    <w:rsid w:val="6B342313"/>
    <w:rsid w:val="6B3F9C81"/>
    <w:rsid w:val="6B4925B0"/>
    <w:rsid w:val="6B4E4221"/>
    <w:rsid w:val="6B4F819F"/>
    <w:rsid w:val="6B52679B"/>
    <w:rsid w:val="6B598393"/>
    <w:rsid w:val="6B6C91C9"/>
    <w:rsid w:val="6B760ECD"/>
    <w:rsid w:val="6B81E1A8"/>
    <w:rsid w:val="6B87B1B1"/>
    <w:rsid w:val="6B8C2F7B"/>
    <w:rsid w:val="6B99D54A"/>
    <w:rsid w:val="6BA18560"/>
    <w:rsid w:val="6BA2E3D4"/>
    <w:rsid w:val="6BB30A73"/>
    <w:rsid w:val="6BB43456"/>
    <w:rsid w:val="6BB877D5"/>
    <w:rsid w:val="6BBB1394"/>
    <w:rsid w:val="6BC6BB29"/>
    <w:rsid w:val="6BCCF9EA"/>
    <w:rsid w:val="6BE1E641"/>
    <w:rsid w:val="6C18F80F"/>
    <w:rsid w:val="6C1E4DA8"/>
    <w:rsid w:val="6C26BFAB"/>
    <w:rsid w:val="6C29BF75"/>
    <w:rsid w:val="6C2E748F"/>
    <w:rsid w:val="6C2FF144"/>
    <w:rsid w:val="6C32ABCB"/>
    <w:rsid w:val="6C3F8D35"/>
    <w:rsid w:val="6C5010FA"/>
    <w:rsid w:val="6C58548E"/>
    <w:rsid w:val="6C5A8389"/>
    <w:rsid w:val="6C5B6A83"/>
    <w:rsid w:val="6C613058"/>
    <w:rsid w:val="6C64A953"/>
    <w:rsid w:val="6C677632"/>
    <w:rsid w:val="6C692248"/>
    <w:rsid w:val="6C71C4DC"/>
    <w:rsid w:val="6C746F93"/>
    <w:rsid w:val="6C920E12"/>
    <w:rsid w:val="6C9B4606"/>
    <w:rsid w:val="6CA070D6"/>
    <w:rsid w:val="6CA2351B"/>
    <w:rsid w:val="6CAEE387"/>
    <w:rsid w:val="6CB06DE3"/>
    <w:rsid w:val="6CB43D7D"/>
    <w:rsid w:val="6CC7AD8C"/>
    <w:rsid w:val="6CD0B81E"/>
    <w:rsid w:val="6CD3FFDA"/>
    <w:rsid w:val="6CD55683"/>
    <w:rsid w:val="6CE4327E"/>
    <w:rsid w:val="6CE94F11"/>
    <w:rsid w:val="6CE994E6"/>
    <w:rsid w:val="6CEF95D4"/>
    <w:rsid w:val="6CFBB528"/>
    <w:rsid w:val="6D11C1E6"/>
    <w:rsid w:val="6D224372"/>
    <w:rsid w:val="6D228012"/>
    <w:rsid w:val="6D28DFBA"/>
    <w:rsid w:val="6D543EDB"/>
    <w:rsid w:val="6D5E1DCD"/>
    <w:rsid w:val="6D63271B"/>
    <w:rsid w:val="6D6E3320"/>
    <w:rsid w:val="6D6ED1F8"/>
    <w:rsid w:val="6D874010"/>
    <w:rsid w:val="6D8C5B4D"/>
    <w:rsid w:val="6D917A53"/>
    <w:rsid w:val="6D93BF25"/>
    <w:rsid w:val="6DA1C856"/>
    <w:rsid w:val="6DC40AD7"/>
    <w:rsid w:val="6DC4DC0B"/>
    <w:rsid w:val="6DD95991"/>
    <w:rsid w:val="6DE53C3B"/>
    <w:rsid w:val="6DEFB30C"/>
    <w:rsid w:val="6DF21822"/>
    <w:rsid w:val="6DF46A81"/>
    <w:rsid w:val="6DFD8140"/>
    <w:rsid w:val="6E109A69"/>
    <w:rsid w:val="6E130C60"/>
    <w:rsid w:val="6E15B27F"/>
    <w:rsid w:val="6E222C30"/>
    <w:rsid w:val="6E2DEE44"/>
    <w:rsid w:val="6E2F742F"/>
    <w:rsid w:val="6E385AE1"/>
    <w:rsid w:val="6E3EC358"/>
    <w:rsid w:val="6E5FA3E6"/>
    <w:rsid w:val="6E640B80"/>
    <w:rsid w:val="6E6D6A29"/>
    <w:rsid w:val="6E70E0AD"/>
    <w:rsid w:val="6E82B175"/>
    <w:rsid w:val="6E8F3A43"/>
    <w:rsid w:val="6E93AB3C"/>
    <w:rsid w:val="6E93B316"/>
    <w:rsid w:val="6E973D72"/>
    <w:rsid w:val="6E9B81EA"/>
    <w:rsid w:val="6E9D4705"/>
    <w:rsid w:val="6EA368E1"/>
    <w:rsid w:val="6EACA15E"/>
    <w:rsid w:val="6EB14C48"/>
    <w:rsid w:val="6EB75057"/>
    <w:rsid w:val="6EBA63BE"/>
    <w:rsid w:val="6EC03A1B"/>
    <w:rsid w:val="6EC25E4D"/>
    <w:rsid w:val="6EC2944D"/>
    <w:rsid w:val="6EC4E287"/>
    <w:rsid w:val="6EC6213A"/>
    <w:rsid w:val="6EC7B4D1"/>
    <w:rsid w:val="6ED7D622"/>
    <w:rsid w:val="6EDE0F2E"/>
    <w:rsid w:val="6EE21FB9"/>
    <w:rsid w:val="6EFAA27C"/>
    <w:rsid w:val="6F0CA739"/>
    <w:rsid w:val="6F129D62"/>
    <w:rsid w:val="6F2D2012"/>
    <w:rsid w:val="6F2EA0B0"/>
    <w:rsid w:val="6F54FCD2"/>
    <w:rsid w:val="6F59B913"/>
    <w:rsid w:val="6F5F9DCF"/>
    <w:rsid w:val="6F60264F"/>
    <w:rsid w:val="6F66F634"/>
    <w:rsid w:val="6F8570BC"/>
    <w:rsid w:val="6F85B574"/>
    <w:rsid w:val="6F95E152"/>
    <w:rsid w:val="6F9797E9"/>
    <w:rsid w:val="6FB495A0"/>
    <w:rsid w:val="6FC39DDE"/>
    <w:rsid w:val="6FD4EE71"/>
    <w:rsid w:val="6FE1C37A"/>
    <w:rsid w:val="6FE4D0E8"/>
    <w:rsid w:val="6FECB709"/>
    <w:rsid w:val="6FFBD5EA"/>
    <w:rsid w:val="6FFE253F"/>
    <w:rsid w:val="6FFF15CB"/>
    <w:rsid w:val="7000120E"/>
    <w:rsid w:val="70005055"/>
    <w:rsid w:val="70042DE6"/>
    <w:rsid w:val="701070DE"/>
    <w:rsid w:val="702284F4"/>
    <w:rsid w:val="7026C8F7"/>
    <w:rsid w:val="702C7014"/>
    <w:rsid w:val="70305709"/>
    <w:rsid w:val="703CB966"/>
    <w:rsid w:val="70456274"/>
    <w:rsid w:val="70484A25"/>
    <w:rsid w:val="704F85FC"/>
    <w:rsid w:val="7068841E"/>
    <w:rsid w:val="70AEE62A"/>
    <w:rsid w:val="70C8B464"/>
    <w:rsid w:val="70CAD1F8"/>
    <w:rsid w:val="70CE32C6"/>
    <w:rsid w:val="70D9A13F"/>
    <w:rsid w:val="70E41546"/>
    <w:rsid w:val="70E93FE9"/>
    <w:rsid w:val="710940CE"/>
    <w:rsid w:val="71166AFA"/>
    <w:rsid w:val="7126AE34"/>
    <w:rsid w:val="71294FC3"/>
    <w:rsid w:val="712B49B3"/>
    <w:rsid w:val="712B9649"/>
    <w:rsid w:val="71348577"/>
    <w:rsid w:val="713F0026"/>
    <w:rsid w:val="7144705B"/>
    <w:rsid w:val="714565FC"/>
    <w:rsid w:val="714EE062"/>
    <w:rsid w:val="71518F26"/>
    <w:rsid w:val="71530C68"/>
    <w:rsid w:val="71587FD5"/>
    <w:rsid w:val="715F1BD9"/>
    <w:rsid w:val="7162BC3E"/>
    <w:rsid w:val="7169C1FA"/>
    <w:rsid w:val="718E2960"/>
    <w:rsid w:val="718EB4F2"/>
    <w:rsid w:val="71940719"/>
    <w:rsid w:val="719DFF84"/>
    <w:rsid w:val="71BB351A"/>
    <w:rsid w:val="71CFC3C8"/>
    <w:rsid w:val="71D4EC83"/>
    <w:rsid w:val="71D6FC81"/>
    <w:rsid w:val="71D87951"/>
    <w:rsid w:val="71E2DF51"/>
    <w:rsid w:val="71E3B93D"/>
    <w:rsid w:val="71E5EA34"/>
    <w:rsid w:val="71F3EF85"/>
    <w:rsid w:val="720185CE"/>
    <w:rsid w:val="720552B9"/>
    <w:rsid w:val="720BF35A"/>
    <w:rsid w:val="72127C97"/>
    <w:rsid w:val="721A690E"/>
    <w:rsid w:val="721EBC3F"/>
    <w:rsid w:val="721F3753"/>
    <w:rsid w:val="721FF8DD"/>
    <w:rsid w:val="7220B75B"/>
    <w:rsid w:val="723BB817"/>
    <w:rsid w:val="723BEB96"/>
    <w:rsid w:val="724D1A7A"/>
    <w:rsid w:val="72503F8A"/>
    <w:rsid w:val="7251F996"/>
    <w:rsid w:val="726F1846"/>
    <w:rsid w:val="7289F20A"/>
    <w:rsid w:val="729C241F"/>
    <w:rsid w:val="72A0438D"/>
    <w:rsid w:val="72A5ADF7"/>
    <w:rsid w:val="72A999A0"/>
    <w:rsid w:val="72AA81CD"/>
    <w:rsid w:val="72CA8695"/>
    <w:rsid w:val="72CB7D1B"/>
    <w:rsid w:val="72CCB7E6"/>
    <w:rsid w:val="72CE0762"/>
    <w:rsid w:val="72EC2A64"/>
    <w:rsid w:val="72ECA327"/>
    <w:rsid w:val="72ECF6F0"/>
    <w:rsid w:val="72F1CCAD"/>
    <w:rsid w:val="72FD943C"/>
    <w:rsid w:val="73097C58"/>
    <w:rsid w:val="731BAF1D"/>
    <w:rsid w:val="7320F126"/>
    <w:rsid w:val="7325753B"/>
    <w:rsid w:val="733550C8"/>
    <w:rsid w:val="733ABC20"/>
    <w:rsid w:val="734C8790"/>
    <w:rsid w:val="7361D0AD"/>
    <w:rsid w:val="736689B1"/>
    <w:rsid w:val="7372026A"/>
    <w:rsid w:val="738A4E48"/>
    <w:rsid w:val="73B4E871"/>
    <w:rsid w:val="73CF2239"/>
    <w:rsid w:val="73E8D4A2"/>
    <w:rsid w:val="73ECAD5A"/>
    <w:rsid w:val="73EFE8BF"/>
    <w:rsid w:val="73F05EAD"/>
    <w:rsid w:val="7404B807"/>
    <w:rsid w:val="740864FB"/>
    <w:rsid w:val="741C6184"/>
    <w:rsid w:val="7425A53F"/>
    <w:rsid w:val="7429078F"/>
    <w:rsid w:val="74369506"/>
    <w:rsid w:val="74443D26"/>
    <w:rsid w:val="746DBC88"/>
    <w:rsid w:val="74783F8C"/>
    <w:rsid w:val="747A6758"/>
    <w:rsid w:val="748FF484"/>
    <w:rsid w:val="74943C55"/>
    <w:rsid w:val="7494BE1B"/>
    <w:rsid w:val="749F0ED3"/>
    <w:rsid w:val="74A5A38A"/>
    <w:rsid w:val="74AC7F36"/>
    <w:rsid w:val="74B6F48C"/>
    <w:rsid w:val="74CD5606"/>
    <w:rsid w:val="74E60FAF"/>
    <w:rsid w:val="74F2C6E0"/>
    <w:rsid w:val="74FB5FBA"/>
    <w:rsid w:val="750B1BC6"/>
    <w:rsid w:val="750CF8C3"/>
    <w:rsid w:val="750DF70A"/>
    <w:rsid w:val="7512FC70"/>
    <w:rsid w:val="7522BFF1"/>
    <w:rsid w:val="7523614E"/>
    <w:rsid w:val="75317A21"/>
    <w:rsid w:val="754DF72A"/>
    <w:rsid w:val="755DC16F"/>
    <w:rsid w:val="755E45FD"/>
    <w:rsid w:val="756FC1FF"/>
    <w:rsid w:val="7579DAD5"/>
    <w:rsid w:val="7586A851"/>
    <w:rsid w:val="758EA709"/>
    <w:rsid w:val="75991BA9"/>
    <w:rsid w:val="759C71B7"/>
    <w:rsid w:val="75A310CE"/>
    <w:rsid w:val="75A3C957"/>
    <w:rsid w:val="75AC1A4A"/>
    <w:rsid w:val="75AC9724"/>
    <w:rsid w:val="75BF03CC"/>
    <w:rsid w:val="75C4CED2"/>
    <w:rsid w:val="75CBB89F"/>
    <w:rsid w:val="75D1F905"/>
    <w:rsid w:val="75DCCC0D"/>
    <w:rsid w:val="75E27943"/>
    <w:rsid w:val="760FF1B4"/>
    <w:rsid w:val="76130554"/>
    <w:rsid w:val="76131340"/>
    <w:rsid w:val="7617F030"/>
    <w:rsid w:val="761B2E65"/>
    <w:rsid w:val="761EDDA4"/>
    <w:rsid w:val="762132A8"/>
    <w:rsid w:val="76345537"/>
    <w:rsid w:val="764FB370"/>
    <w:rsid w:val="76535CF3"/>
    <w:rsid w:val="76594892"/>
    <w:rsid w:val="765CB2EB"/>
    <w:rsid w:val="765E31D3"/>
    <w:rsid w:val="76766EB2"/>
    <w:rsid w:val="767C6720"/>
    <w:rsid w:val="767EED8E"/>
    <w:rsid w:val="76812E42"/>
    <w:rsid w:val="76863A0B"/>
    <w:rsid w:val="7686B060"/>
    <w:rsid w:val="7689940A"/>
    <w:rsid w:val="769CB4B3"/>
    <w:rsid w:val="769CF1B8"/>
    <w:rsid w:val="769EE29D"/>
    <w:rsid w:val="769F0A3F"/>
    <w:rsid w:val="769FF715"/>
    <w:rsid w:val="76AB5D32"/>
    <w:rsid w:val="76B0E6A8"/>
    <w:rsid w:val="76B7072C"/>
    <w:rsid w:val="76CFB373"/>
    <w:rsid w:val="76DBD8A8"/>
    <w:rsid w:val="76DC959F"/>
    <w:rsid w:val="76FA0DA8"/>
    <w:rsid w:val="77043791"/>
    <w:rsid w:val="7725CF69"/>
    <w:rsid w:val="77327331"/>
    <w:rsid w:val="773CA6F5"/>
    <w:rsid w:val="774676AE"/>
    <w:rsid w:val="7758B89E"/>
    <w:rsid w:val="775B7C02"/>
    <w:rsid w:val="77714B02"/>
    <w:rsid w:val="77791F1A"/>
    <w:rsid w:val="777EBA21"/>
    <w:rsid w:val="779ECB69"/>
    <w:rsid w:val="77A2D5A1"/>
    <w:rsid w:val="77AAC900"/>
    <w:rsid w:val="77B10675"/>
    <w:rsid w:val="77B75344"/>
    <w:rsid w:val="77B9B00F"/>
    <w:rsid w:val="77C3B9AF"/>
    <w:rsid w:val="77CB679F"/>
    <w:rsid w:val="77D0CF6A"/>
    <w:rsid w:val="77E7431A"/>
    <w:rsid w:val="77F1C507"/>
    <w:rsid w:val="78004788"/>
    <w:rsid w:val="780EC2F6"/>
    <w:rsid w:val="781050FA"/>
    <w:rsid w:val="7815555D"/>
    <w:rsid w:val="78175023"/>
    <w:rsid w:val="781C0FAB"/>
    <w:rsid w:val="781D0D21"/>
    <w:rsid w:val="781D3A76"/>
    <w:rsid w:val="782832F5"/>
    <w:rsid w:val="782A61EF"/>
    <w:rsid w:val="78368D94"/>
    <w:rsid w:val="783C68BC"/>
    <w:rsid w:val="78423988"/>
    <w:rsid w:val="78462A38"/>
    <w:rsid w:val="78473024"/>
    <w:rsid w:val="784C048F"/>
    <w:rsid w:val="7853B9B0"/>
    <w:rsid w:val="78566A1A"/>
    <w:rsid w:val="78675A9B"/>
    <w:rsid w:val="786D09F6"/>
    <w:rsid w:val="7877519C"/>
    <w:rsid w:val="787995CC"/>
    <w:rsid w:val="787F1357"/>
    <w:rsid w:val="78833CD6"/>
    <w:rsid w:val="78837976"/>
    <w:rsid w:val="788F824D"/>
    <w:rsid w:val="78A19525"/>
    <w:rsid w:val="78A26409"/>
    <w:rsid w:val="78AE91B4"/>
    <w:rsid w:val="78AFB2F3"/>
    <w:rsid w:val="78B34B5B"/>
    <w:rsid w:val="78B58097"/>
    <w:rsid w:val="78FDCF4F"/>
    <w:rsid w:val="79023A1A"/>
    <w:rsid w:val="79207C71"/>
    <w:rsid w:val="7925F852"/>
    <w:rsid w:val="7943846E"/>
    <w:rsid w:val="79463DE7"/>
    <w:rsid w:val="794946AC"/>
    <w:rsid w:val="794EAEDF"/>
    <w:rsid w:val="79605196"/>
    <w:rsid w:val="7967D127"/>
    <w:rsid w:val="7969F972"/>
    <w:rsid w:val="796D682D"/>
    <w:rsid w:val="79789803"/>
    <w:rsid w:val="7979C66D"/>
    <w:rsid w:val="798859F0"/>
    <w:rsid w:val="79888579"/>
    <w:rsid w:val="7995048B"/>
    <w:rsid w:val="799A11E3"/>
    <w:rsid w:val="799FA48C"/>
    <w:rsid w:val="79A1AD00"/>
    <w:rsid w:val="79BDF399"/>
    <w:rsid w:val="79D6798A"/>
    <w:rsid w:val="79DD9243"/>
    <w:rsid w:val="79DF1205"/>
    <w:rsid w:val="79E308BB"/>
    <w:rsid w:val="79F64629"/>
    <w:rsid w:val="79F78D8D"/>
    <w:rsid w:val="7A02F445"/>
    <w:rsid w:val="7A0BACD6"/>
    <w:rsid w:val="7A0C3835"/>
    <w:rsid w:val="7A118691"/>
    <w:rsid w:val="7A15A17C"/>
    <w:rsid w:val="7A1EB087"/>
    <w:rsid w:val="7A253C8F"/>
    <w:rsid w:val="7A2BDF26"/>
    <w:rsid w:val="7A344303"/>
    <w:rsid w:val="7A3BB080"/>
    <w:rsid w:val="7A49127F"/>
    <w:rsid w:val="7A4BFB16"/>
    <w:rsid w:val="7A5F488A"/>
    <w:rsid w:val="7A6C66CB"/>
    <w:rsid w:val="7A6CDECE"/>
    <w:rsid w:val="7A70A73F"/>
    <w:rsid w:val="7A712648"/>
    <w:rsid w:val="7A759450"/>
    <w:rsid w:val="7A7A1F05"/>
    <w:rsid w:val="7A7D3F2B"/>
    <w:rsid w:val="7A88BF12"/>
    <w:rsid w:val="7A964C18"/>
    <w:rsid w:val="7A9688C1"/>
    <w:rsid w:val="7AAA46E3"/>
    <w:rsid w:val="7AABCC55"/>
    <w:rsid w:val="7AB37902"/>
    <w:rsid w:val="7AB6AB01"/>
    <w:rsid w:val="7AC22A87"/>
    <w:rsid w:val="7AC22BB5"/>
    <w:rsid w:val="7ACA6C73"/>
    <w:rsid w:val="7ACDF853"/>
    <w:rsid w:val="7AD6DAF3"/>
    <w:rsid w:val="7AE4808D"/>
    <w:rsid w:val="7B002DA9"/>
    <w:rsid w:val="7B02985D"/>
    <w:rsid w:val="7B0E9966"/>
    <w:rsid w:val="7B0F77C9"/>
    <w:rsid w:val="7B16D823"/>
    <w:rsid w:val="7B2482AC"/>
    <w:rsid w:val="7B3063B2"/>
    <w:rsid w:val="7B34545A"/>
    <w:rsid w:val="7B3AC82C"/>
    <w:rsid w:val="7B53821B"/>
    <w:rsid w:val="7B5EBE70"/>
    <w:rsid w:val="7B61B04E"/>
    <w:rsid w:val="7B6837A7"/>
    <w:rsid w:val="7B6A9987"/>
    <w:rsid w:val="7B75EE48"/>
    <w:rsid w:val="7B7E3938"/>
    <w:rsid w:val="7B84D3CE"/>
    <w:rsid w:val="7B866745"/>
    <w:rsid w:val="7B968AF2"/>
    <w:rsid w:val="7B992E66"/>
    <w:rsid w:val="7BC62376"/>
    <w:rsid w:val="7BC7B5B7"/>
    <w:rsid w:val="7BCF67EF"/>
    <w:rsid w:val="7BE83DC2"/>
    <w:rsid w:val="7BEB2CD7"/>
    <w:rsid w:val="7BF45C2F"/>
    <w:rsid w:val="7BFDCFCC"/>
    <w:rsid w:val="7C003F3E"/>
    <w:rsid w:val="7C09DB18"/>
    <w:rsid w:val="7C29C5C3"/>
    <w:rsid w:val="7C2FBCFA"/>
    <w:rsid w:val="7C39ADD6"/>
    <w:rsid w:val="7C40634A"/>
    <w:rsid w:val="7C4FC1C0"/>
    <w:rsid w:val="7C4FD24B"/>
    <w:rsid w:val="7C628C9D"/>
    <w:rsid w:val="7C62D557"/>
    <w:rsid w:val="7C81ACD8"/>
    <w:rsid w:val="7C8EF6AE"/>
    <w:rsid w:val="7C9770FD"/>
    <w:rsid w:val="7CA0AB60"/>
    <w:rsid w:val="7CA2ACFD"/>
    <w:rsid w:val="7CA854CE"/>
    <w:rsid w:val="7CAA67D1"/>
    <w:rsid w:val="7CAFE12B"/>
    <w:rsid w:val="7CB44B86"/>
    <w:rsid w:val="7CB65A02"/>
    <w:rsid w:val="7CBD0161"/>
    <w:rsid w:val="7CC1FB3E"/>
    <w:rsid w:val="7CD4242B"/>
    <w:rsid w:val="7CD9FB8A"/>
    <w:rsid w:val="7CDBBA57"/>
    <w:rsid w:val="7CE5CE5A"/>
    <w:rsid w:val="7CE6799F"/>
    <w:rsid w:val="7CFC0231"/>
    <w:rsid w:val="7D11BDC8"/>
    <w:rsid w:val="7D14891A"/>
    <w:rsid w:val="7D3900FC"/>
    <w:rsid w:val="7D39AC5A"/>
    <w:rsid w:val="7D3DD2FB"/>
    <w:rsid w:val="7D4A610C"/>
    <w:rsid w:val="7D71912B"/>
    <w:rsid w:val="7D71B5EA"/>
    <w:rsid w:val="7D7672E5"/>
    <w:rsid w:val="7D91E98C"/>
    <w:rsid w:val="7D9D7FFA"/>
    <w:rsid w:val="7DA2337B"/>
    <w:rsid w:val="7DA8D45A"/>
    <w:rsid w:val="7DABB8DF"/>
    <w:rsid w:val="7DB2D94E"/>
    <w:rsid w:val="7DB6F17F"/>
    <w:rsid w:val="7DEA7635"/>
    <w:rsid w:val="7E081C31"/>
    <w:rsid w:val="7E084148"/>
    <w:rsid w:val="7E08A93B"/>
    <w:rsid w:val="7E09F8A2"/>
    <w:rsid w:val="7E1FE637"/>
    <w:rsid w:val="7E2E5A1F"/>
    <w:rsid w:val="7E2E728F"/>
    <w:rsid w:val="7E3DE187"/>
    <w:rsid w:val="7E626408"/>
    <w:rsid w:val="7E627462"/>
    <w:rsid w:val="7E671058"/>
    <w:rsid w:val="7E6BD2F9"/>
    <w:rsid w:val="7E7D1844"/>
    <w:rsid w:val="7E9011D0"/>
    <w:rsid w:val="7E9732DA"/>
    <w:rsid w:val="7EA0D715"/>
    <w:rsid w:val="7EAE7316"/>
    <w:rsid w:val="7EB06779"/>
    <w:rsid w:val="7EBC2FEB"/>
    <w:rsid w:val="7EC903D4"/>
    <w:rsid w:val="7ECC555C"/>
    <w:rsid w:val="7ED09209"/>
    <w:rsid w:val="7EF83C15"/>
    <w:rsid w:val="7EFFB28A"/>
    <w:rsid w:val="7F19F518"/>
    <w:rsid w:val="7F33C310"/>
    <w:rsid w:val="7F3418C2"/>
    <w:rsid w:val="7F397A3A"/>
    <w:rsid w:val="7F406351"/>
    <w:rsid w:val="7F545D37"/>
    <w:rsid w:val="7F559006"/>
    <w:rsid w:val="7F57249A"/>
    <w:rsid w:val="7F58EDCB"/>
    <w:rsid w:val="7F6074AF"/>
    <w:rsid w:val="7F6CB23A"/>
    <w:rsid w:val="7F7139EE"/>
    <w:rsid w:val="7F744149"/>
    <w:rsid w:val="7F74C3F7"/>
    <w:rsid w:val="7F754E3D"/>
    <w:rsid w:val="7F79D51B"/>
    <w:rsid w:val="7F959BAA"/>
    <w:rsid w:val="7F9F31CD"/>
    <w:rsid w:val="7FA5F0FA"/>
    <w:rsid w:val="7FB343EB"/>
    <w:rsid w:val="7FCD7EBC"/>
    <w:rsid w:val="7FE88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AFA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sv"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36"/>
  </w:style>
  <w:style w:type="paragraph" w:styleId="Heading1">
    <w:name w:val="heading 1"/>
    <w:basedOn w:val="Normal"/>
    <w:next w:val="Text1"/>
    <w:link w:val="Heading1Char"/>
    <w:uiPriority w:val="9"/>
    <w:qFormat/>
    <w:rsid w:val="14F0B435"/>
    <w:pPr>
      <w:keepNext/>
      <w:tabs>
        <w:tab w:val="num" w:pos="850"/>
      </w:tabs>
      <w:spacing w:before="360" w:after="0"/>
      <w:ind w:left="850" w:hanging="850"/>
      <w:jc w:val="both"/>
      <w:outlineLvl w:val="0"/>
    </w:pPr>
    <w:rPr>
      <w:rFonts w:ascii="Times New Roman" w:eastAsiaTheme="majorEastAsia" w:hAnsi="Times New Roman" w:cs="Times New Roman"/>
      <w:b/>
      <w:smallCaps/>
      <w:sz w:val="24"/>
    </w:rPr>
  </w:style>
  <w:style w:type="paragraph" w:styleId="Heading2">
    <w:name w:val="heading 2"/>
    <w:basedOn w:val="Normal"/>
    <w:next w:val="Text1"/>
    <w:link w:val="Heading2Char"/>
    <w:uiPriority w:val="9"/>
    <w:unhideWhenUsed/>
    <w:qFormat/>
    <w:rsid w:val="14F0B435"/>
    <w:pPr>
      <w:keepNext/>
      <w:spacing w:before="40" w:after="0"/>
      <w:ind w:left="130" w:firstLine="720"/>
      <w:jc w:val="both"/>
      <w:outlineLvl w:val="1"/>
    </w:pPr>
    <w:rPr>
      <w:rFonts w:ascii="Times New Roman" w:eastAsiaTheme="minorEastAsia" w:hAnsi="Times New Roman" w:cs="Times New Roman"/>
      <w:b/>
      <w:sz w:val="24"/>
      <w:u w:val="single"/>
    </w:rPr>
  </w:style>
  <w:style w:type="paragraph" w:styleId="Heading3">
    <w:name w:val="heading 3"/>
    <w:basedOn w:val="Normal"/>
    <w:next w:val="Text1"/>
    <w:link w:val="Heading3Char"/>
    <w:uiPriority w:val="9"/>
    <w:unhideWhenUsed/>
    <w:qFormat/>
    <w:rsid w:val="14F0B435"/>
    <w:pPr>
      <w:keepNext/>
      <w:spacing w:before="240" w:after="0"/>
      <w:ind w:left="851"/>
      <w:jc w:val="both"/>
      <w:outlineLvl w:val="2"/>
    </w:pPr>
    <w:rPr>
      <w:rFonts w:ascii="Times New Roman" w:eastAsiaTheme="minorEastAsia" w:hAnsi="Times New Roman" w:cs="Times New Roman"/>
      <w:sz w:val="24"/>
      <w:u w:val="single"/>
    </w:rPr>
  </w:style>
  <w:style w:type="paragraph" w:styleId="Heading4">
    <w:name w:val="heading 4"/>
    <w:basedOn w:val="Normal"/>
    <w:next w:val="Text1"/>
    <w:link w:val="Heading4Char"/>
    <w:uiPriority w:val="9"/>
    <w:unhideWhenUsed/>
    <w:qFormat/>
    <w:rsid w:val="29DEDBAE"/>
    <w:pPr>
      <w:keepNext/>
      <w:numPr>
        <w:ilvl w:val="3"/>
        <w:numId w:val="7"/>
      </w:numPr>
      <w:spacing w:before="40" w:after="0"/>
      <w:jc w:val="both"/>
      <w:outlineLvl w:val="3"/>
    </w:pPr>
    <w:rPr>
      <w:rFonts w:ascii="Times New Roman" w:eastAsiaTheme="majorEastAsia" w:hAnsi="Times New Roman" w:cs="Times New Roman"/>
      <w:sz w:val="24"/>
    </w:rPr>
  </w:style>
  <w:style w:type="paragraph" w:styleId="Heading5">
    <w:name w:val="heading 5"/>
    <w:basedOn w:val="Normal"/>
    <w:next w:val="Normal"/>
    <w:link w:val="Heading5Char"/>
    <w:uiPriority w:val="9"/>
    <w:unhideWhenUsed/>
    <w:qFormat/>
    <w:rsid w:val="00510B5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10B5B"/>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510B5B"/>
    <w:pPr>
      <w:keepNext/>
      <w:keepLines/>
      <w:spacing w:before="40" w:after="0"/>
      <w:outlineLvl w:val="6"/>
    </w:pPr>
    <w:rPr>
      <w:rFonts w:asciiTheme="majorHAnsi" w:eastAsiaTheme="majorEastAsia" w:hAnsiTheme="majorHAnsi" w:cstheme="majorBidi"/>
      <w:i/>
      <w:color w:val="243F60"/>
    </w:rPr>
  </w:style>
  <w:style w:type="paragraph" w:styleId="Heading8">
    <w:name w:val="heading 8"/>
    <w:basedOn w:val="Normal"/>
    <w:next w:val="Normal"/>
    <w:link w:val="Heading8Char"/>
    <w:uiPriority w:val="9"/>
    <w:unhideWhenUsed/>
    <w:qFormat/>
    <w:rsid w:val="00510B5B"/>
    <w:pPr>
      <w:keepNext/>
      <w:keepLines/>
      <w:spacing w:before="40" w:after="0"/>
      <w:outlineLvl w:val="7"/>
    </w:pPr>
    <w:rPr>
      <w:rFonts w:asciiTheme="majorHAnsi" w:eastAsiaTheme="majorEastAsia" w:hAnsiTheme="majorHAnsi" w:cstheme="majorBidi"/>
      <w:color w:val="272727"/>
      <w:sz w:val="21"/>
    </w:rPr>
  </w:style>
  <w:style w:type="paragraph" w:styleId="Heading9">
    <w:name w:val="heading 9"/>
    <w:basedOn w:val="Normal"/>
    <w:next w:val="Normal"/>
    <w:link w:val="Heading9Char"/>
    <w:uiPriority w:val="9"/>
    <w:unhideWhenUsed/>
    <w:qFormat/>
    <w:rsid w:val="00510B5B"/>
    <w:pPr>
      <w:keepNext/>
      <w:keepLines/>
      <w:spacing w:before="40" w:after="0"/>
      <w:outlineLvl w:val="8"/>
    </w:pPr>
    <w:rPr>
      <w:rFonts w:asciiTheme="majorHAnsi" w:eastAsiaTheme="majorEastAsia" w:hAnsiTheme="majorHAnsi" w:cstheme="majorBidi"/>
      <w:i/>
      <w:color w:val="272727"/>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80D"/>
    <w:rPr>
      <w:rFonts w:ascii="Times New Roman" w:eastAsiaTheme="majorEastAsia" w:hAnsi="Times New Roman" w:cs="Times New Roman"/>
      <w:b/>
      <w:smallCaps/>
      <w:sz w:val="24"/>
    </w:rPr>
  </w:style>
  <w:style w:type="character" w:customStyle="1" w:styleId="Heading2Char">
    <w:name w:val="Heading 2 Char"/>
    <w:basedOn w:val="DefaultParagraphFont"/>
    <w:link w:val="Heading2"/>
    <w:uiPriority w:val="9"/>
    <w:rsid w:val="00B4580D"/>
    <w:rPr>
      <w:rFonts w:ascii="Times New Roman" w:eastAsiaTheme="minorEastAsia" w:hAnsi="Times New Roman" w:cs="Times New Roman"/>
      <w:b/>
      <w:sz w:val="24"/>
      <w:u w:val="single"/>
    </w:rPr>
  </w:style>
  <w:style w:type="character" w:customStyle="1" w:styleId="Heading3Char">
    <w:name w:val="Heading 3 Char"/>
    <w:basedOn w:val="DefaultParagraphFont"/>
    <w:link w:val="Heading3"/>
    <w:uiPriority w:val="9"/>
    <w:rsid w:val="00B4580D"/>
    <w:rPr>
      <w:rFonts w:ascii="Times New Roman" w:eastAsiaTheme="minorEastAsia" w:hAnsi="Times New Roman" w:cs="Times New Roman"/>
      <w:sz w:val="24"/>
      <w:u w:val="single"/>
    </w:rPr>
  </w:style>
  <w:style w:type="character" w:customStyle="1" w:styleId="Heading4Char">
    <w:name w:val="Heading 4 Char"/>
    <w:basedOn w:val="DefaultParagraphFont"/>
    <w:link w:val="Heading4"/>
    <w:uiPriority w:val="9"/>
    <w:rsid w:val="00B4580D"/>
    <w:rPr>
      <w:rFonts w:ascii="Times New Roman" w:eastAsiaTheme="majorEastAsia" w:hAnsi="Times New Roman" w:cs="Times New Roman"/>
      <w:sz w:val="24"/>
    </w:rPr>
  </w:style>
  <w:style w:type="paragraph" w:styleId="Header">
    <w:name w:val="header"/>
    <w:basedOn w:val="Normal"/>
    <w:link w:val="HeaderChar"/>
    <w:uiPriority w:val="99"/>
    <w:unhideWhenUsed/>
    <w:rsid w:val="14F0B435"/>
    <w:pPr>
      <w:tabs>
        <w:tab w:val="center" w:pos="4535"/>
        <w:tab w:val="right" w:pos="9071"/>
      </w:tabs>
      <w:spacing w:after="120"/>
      <w:jc w:val="both"/>
    </w:pPr>
    <w:rPr>
      <w:rFonts w:ascii="Times New Roman" w:eastAsiaTheme="minorEastAsia" w:hAnsi="Times New Roman" w:cs="Times New Roman"/>
      <w:sz w:val="24"/>
    </w:rPr>
  </w:style>
  <w:style w:type="character" w:customStyle="1" w:styleId="HeaderChar">
    <w:name w:val="Header Char"/>
    <w:basedOn w:val="DefaultParagraphFont"/>
    <w:link w:val="Header"/>
    <w:uiPriority w:val="99"/>
    <w:rsid w:val="00B4580D"/>
    <w:rPr>
      <w:rFonts w:ascii="Times New Roman" w:eastAsiaTheme="minorEastAsia" w:hAnsi="Times New Roman" w:cs="Times New Roman"/>
      <w:sz w:val="24"/>
    </w:rPr>
  </w:style>
  <w:style w:type="paragraph" w:styleId="Footer">
    <w:name w:val="footer"/>
    <w:basedOn w:val="Normal"/>
    <w:link w:val="FooterChar"/>
    <w:uiPriority w:val="99"/>
    <w:unhideWhenUsed/>
    <w:rsid w:val="14F0B435"/>
    <w:pPr>
      <w:tabs>
        <w:tab w:val="center" w:pos="4535"/>
        <w:tab w:val="right" w:pos="9071"/>
        <w:tab w:val="right" w:pos="9921"/>
      </w:tabs>
      <w:spacing w:before="360" w:after="0"/>
      <w:ind w:left="-850" w:right="-850"/>
    </w:pPr>
    <w:rPr>
      <w:rFonts w:ascii="Times New Roman" w:eastAsiaTheme="minorEastAsia" w:hAnsi="Times New Roman" w:cs="Times New Roman"/>
      <w:sz w:val="24"/>
    </w:rPr>
  </w:style>
  <w:style w:type="character" w:customStyle="1" w:styleId="FooterChar">
    <w:name w:val="Footer Char"/>
    <w:basedOn w:val="DefaultParagraphFont"/>
    <w:link w:val="Footer"/>
    <w:uiPriority w:val="99"/>
    <w:rsid w:val="00B4580D"/>
    <w:rPr>
      <w:rFonts w:ascii="Times New Roman" w:eastAsiaTheme="minorEastAsia" w:hAnsi="Times New Roman" w:cs="Times New Roman"/>
      <w:sz w:val="24"/>
    </w:rPr>
  </w:style>
  <w:style w:type="paragraph" w:styleId="FootnoteText">
    <w:name w:val="footnote text"/>
    <w:basedOn w:val="Normal"/>
    <w:link w:val="FootnoteTextChar"/>
    <w:uiPriority w:val="99"/>
    <w:unhideWhenUsed/>
    <w:rsid w:val="14F0B435"/>
    <w:pPr>
      <w:keepNext/>
      <w:spacing w:after="0"/>
      <w:ind w:left="720" w:hanging="720"/>
      <w:jc w:val="both"/>
    </w:pPr>
    <w:rPr>
      <w:rFonts w:ascii="Times New Roman" w:eastAsiaTheme="minorEastAsia" w:hAnsi="Times New Roman" w:cs="Times New Roman"/>
      <w:sz w:val="20"/>
    </w:rPr>
  </w:style>
  <w:style w:type="character" w:customStyle="1" w:styleId="FootnoteTextChar">
    <w:name w:val="Footnote Text Char"/>
    <w:basedOn w:val="DefaultParagraphFont"/>
    <w:link w:val="FootnoteText"/>
    <w:uiPriority w:val="99"/>
    <w:rsid w:val="00B4580D"/>
    <w:rPr>
      <w:rFonts w:ascii="Times New Roman" w:eastAsiaTheme="minorEastAsia" w:hAnsi="Times New Roman" w:cs="Times New Roman"/>
      <w:sz w:val="20"/>
    </w:rPr>
  </w:style>
  <w:style w:type="paragraph" w:styleId="TOCHeading">
    <w:name w:val="TOC Heading"/>
    <w:basedOn w:val="Normal"/>
    <w:next w:val="Normal"/>
    <w:uiPriority w:val="39"/>
    <w:unhideWhenUsed/>
    <w:qFormat/>
    <w:rsid w:val="14F0B435"/>
    <w:pPr>
      <w:keepNext/>
      <w:spacing w:before="40" w:after="0"/>
      <w:jc w:val="center"/>
    </w:pPr>
    <w:rPr>
      <w:rFonts w:ascii="Times New Roman" w:eastAsiaTheme="minorEastAsia" w:hAnsi="Times New Roman" w:cs="Times New Roman"/>
      <w:b/>
      <w:sz w:val="28"/>
    </w:rPr>
  </w:style>
  <w:style w:type="paragraph" w:styleId="TOC1">
    <w:name w:val="toc 1"/>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2">
    <w:name w:val="toc 2"/>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3">
    <w:name w:val="toc 3"/>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4">
    <w:name w:val="toc 4"/>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5">
    <w:name w:val="toc 5"/>
    <w:basedOn w:val="Normal"/>
    <w:next w:val="Normal"/>
    <w:uiPriority w:val="39"/>
    <w:unhideWhenUsed/>
    <w:rsid w:val="14F0B435"/>
    <w:pPr>
      <w:keepNext/>
      <w:tabs>
        <w:tab w:val="right" w:leader="dot" w:pos="9071"/>
      </w:tabs>
      <w:spacing w:before="300" w:after="0"/>
      <w:jc w:val="both"/>
    </w:pPr>
    <w:rPr>
      <w:rFonts w:ascii="Times New Roman" w:eastAsiaTheme="minorEastAsia" w:hAnsi="Times New Roman" w:cs="Times New Roman"/>
      <w:sz w:val="24"/>
    </w:rPr>
  </w:style>
  <w:style w:type="paragraph" w:styleId="TOC6">
    <w:name w:val="toc 6"/>
    <w:basedOn w:val="Normal"/>
    <w:next w:val="Normal"/>
    <w:uiPriority w:val="39"/>
    <w:unhideWhenUsed/>
    <w:rsid w:val="14F0B435"/>
    <w:pPr>
      <w:keepNext/>
      <w:tabs>
        <w:tab w:val="right" w:leader="dot" w:pos="9071"/>
      </w:tabs>
      <w:spacing w:before="240" w:after="0"/>
      <w:jc w:val="both"/>
    </w:pPr>
    <w:rPr>
      <w:rFonts w:ascii="Times New Roman" w:eastAsiaTheme="minorEastAsia" w:hAnsi="Times New Roman" w:cs="Times New Roman"/>
      <w:sz w:val="24"/>
    </w:rPr>
  </w:style>
  <w:style w:type="paragraph" w:styleId="TOC7">
    <w:name w:val="toc 7"/>
    <w:basedOn w:val="Normal"/>
    <w:next w:val="Normal"/>
    <w:uiPriority w:val="39"/>
    <w:unhideWhenUsed/>
    <w:rsid w:val="14F0B435"/>
    <w:pPr>
      <w:keepNext/>
      <w:tabs>
        <w:tab w:val="right" w:leader="dot" w:pos="9071"/>
      </w:tabs>
      <w:spacing w:before="180" w:after="0"/>
      <w:jc w:val="both"/>
    </w:pPr>
    <w:rPr>
      <w:rFonts w:ascii="Times New Roman" w:eastAsiaTheme="minorEastAsia" w:hAnsi="Times New Roman" w:cs="Times New Roman"/>
      <w:sz w:val="24"/>
    </w:rPr>
  </w:style>
  <w:style w:type="paragraph" w:styleId="TOC8">
    <w:name w:val="toc 8"/>
    <w:basedOn w:val="Normal"/>
    <w:next w:val="Normal"/>
    <w:uiPriority w:val="39"/>
    <w:unhideWhenUsed/>
    <w:rsid w:val="14F0B435"/>
    <w:pPr>
      <w:keepNext/>
      <w:tabs>
        <w:tab w:val="right" w:leader="dot" w:pos="9071"/>
      </w:tabs>
      <w:spacing w:before="40" w:after="0"/>
      <w:jc w:val="both"/>
    </w:pPr>
    <w:rPr>
      <w:rFonts w:ascii="Times New Roman" w:eastAsiaTheme="minorEastAsia" w:hAnsi="Times New Roman" w:cs="Times New Roman"/>
      <w:sz w:val="24"/>
    </w:rPr>
  </w:style>
  <w:style w:type="paragraph" w:styleId="TOC9">
    <w:name w:val="toc 9"/>
    <w:basedOn w:val="Normal"/>
    <w:next w:val="Normal"/>
    <w:uiPriority w:val="39"/>
    <w:unhideWhenUsed/>
    <w:rsid w:val="14F0B435"/>
    <w:pPr>
      <w:keepNext/>
      <w:tabs>
        <w:tab w:val="right" w:leader="dot" w:pos="9071"/>
      </w:tabs>
      <w:spacing w:before="40" w:after="0"/>
      <w:jc w:val="both"/>
    </w:pPr>
    <w:rPr>
      <w:rFonts w:ascii="Times New Roman" w:eastAsiaTheme="minorEastAsia" w:hAnsi="Times New Roman" w:cs="Times New Roman"/>
      <w:sz w:val="24"/>
    </w:rPr>
  </w:style>
  <w:style w:type="paragraph" w:customStyle="1" w:styleId="HeaderLandscape">
    <w:name w:val="HeaderLandscape"/>
    <w:basedOn w:val="Normal"/>
    <w:uiPriority w:val="1"/>
    <w:rsid w:val="14F0B435"/>
    <w:pPr>
      <w:tabs>
        <w:tab w:val="center" w:pos="7285"/>
        <w:tab w:val="right" w:pos="14003"/>
      </w:tabs>
      <w:spacing w:after="120"/>
      <w:jc w:val="both"/>
    </w:pPr>
    <w:rPr>
      <w:rFonts w:ascii="Times New Roman" w:eastAsiaTheme="minorEastAsia" w:hAnsi="Times New Roman" w:cs="Times New Roman"/>
      <w:sz w:val="24"/>
    </w:rPr>
  </w:style>
  <w:style w:type="paragraph" w:customStyle="1" w:styleId="FooterLandscape">
    <w:name w:val="FooterLandscape"/>
    <w:basedOn w:val="Normal"/>
    <w:uiPriority w:val="1"/>
    <w:rsid w:val="14F0B435"/>
    <w:pPr>
      <w:tabs>
        <w:tab w:val="center" w:pos="7285"/>
        <w:tab w:val="center" w:pos="10913"/>
        <w:tab w:val="right" w:pos="15137"/>
      </w:tabs>
      <w:spacing w:before="360" w:after="0"/>
      <w:ind w:left="-567" w:right="-567"/>
    </w:pPr>
    <w:rPr>
      <w:rFonts w:ascii="Times New Roman" w:eastAsiaTheme="minorEastAsia" w:hAnsi="Times New Roman" w:cs="Times New Roman"/>
      <w:sz w:val="24"/>
    </w:rPr>
  </w:style>
  <w:style w:type="character" w:styleId="FootnoteReference">
    <w:name w:val="footnote reference"/>
    <w:basedOn w:val="DefaultParagraphFont"/>
    <w:uiPriority w:val="99"/>
    <w:semiHidden/>
    <w:unhideWhenUsed/>
    <w:rsid w:val="00B4580D"/>
    <w:rPr>
      <w:shd w:val="clear" w:color="auto" w:fill="auto"/>
      <w:vertAlign w:val="superscript"/>
    </w:rPr>
  </w:style>
  <w:style w:type="paragraph" w:customStyle="1" w:styleId="HeaderSensitivity">
    <w:name w:val="Header Sensitivity"/>
    <w:basedOn w:val="Normal"/>
    <w:uiPriority w:val="1"/>
    <w:rsid w:val="14F0B43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uiPriority w:val="1"/>
    <w:rsid w:val="14F0B435"/>
    <w:pPr>
      <w:spacing w:after="120" w:line="240" w:lineRule="auto"/>
      <w:jc w:val="right"/>
    </w:pPr>
    <w:rPr>
      <w:rFonts w:ascii="Times New Roman" w:hAnsi="Times New Roman" w:cs="Times New Roman"/>
      <w:sz w:val="28"/>
    </w:rPr>
  </w:style>
  <w:style w:type="paragraph" w:customStyle="1" w:styleId="FooterSensitivity">
    <w:name w:val="Footer Sensitivity"/>
    <w:basedOn w:val="Normal"/>
    <w:uiPriority w:val="1"/>
    <w:rsid w:val="14F0B43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Text2">
    <w:name w:val="Text 2"/>
    <w:basedOn w:val="Normal"/>
    <w:uiPriority w:val="1"/>
    <w:rsid w:val="14F0B435"/>
    <w:pPr>
      <w:keepNext/>
      <w:spacing w:before="40" w:after="0"/>
      <w:ind w:left="1417"/>
      <w:jc w:val="both"/>
    </w:pPr>
    <w:rPr>
      <w:rFonts w:ascii="Times New Roman" w:eastAsiaTheme="minorEastAsia" w:hAnsi="Times New Roman" w:cs="Times New Roman"/>
      <w:sz w:val="24"/>
    </w:rPr>
  </w:style>
  <w:style w:type="paragraph" w:customStyle="1" w:styleId="Text3">
    <w:name w:val="Text 3"/>
    <w:basedOn w:val="Normal"/>
    <w:uiPriority w:val="1"/>
    <w:rsid w:val="14F0B435"/>
    <w:pPr>
      <w:keepNext/>
      <w:spacing w:before="40" w:after="0"/>
      <w:ind w:left="1984"/>
      <w:jc w:val="both"/>
    </w:pPr>
    <w:rPr>
      <w:rFonts w:ascii="Times New Roman" w:eastAsiaTheme="minorEastAsia" w:hAnsi="Times New Roman" w:cs="Times New Roman"/>
      <w:sz w:val="24"/>
    </w:rPr>
  </w:style>
  <w:style w:type="paragraph" w:customStyle="1" w:styleId="Text4">
    <w:name w:val="Text 4"/>
    <w:basedOn w:val="Normal"/>
    <w:uiPriority w:val="1"/>
    <w:rsid w:val="14F0B435"/>
    <w:pPr>
      <w:keepNext/>
      <w:spacing w:before="40" w:after="0"/>
      <w:ind w:left="2551"/>
      <w:jc w:val="both"/>
    </w:pPr>
    <w:rPr>
      <w:rFonts w:ascii="Times New Roman" w:eastAsiaTheme="minorEastAsia" w:hAnsi="Times New Roman" w:cs="Times New Roman"/>
      <w:sz w:val="24"/>
    </w:rPr>
  </w:style>
  <w:style w:type="paragraph" w:customStyle="1" w:styleId="NormalCentered">
    <w:name w:val="Normal Centered"/>
    <w:basedOn w:val="Normal"/>
    <w:uiPriority w:val="1"/>
    <w:rsid w:val="14F0B435"/>
    <w:pPr>
      <w:keepNext/>
      <w:spacing w:before="40" w:after="0"/>
      <w:jc w:val="center"/>
    </w:pPr>
    <w:rPr>
      <w:rFonts w:ascii="Times New Roman" w:eastAsiaTheme="minorEastAsia" w:hAnsi="Times New Roman" w:cs="Times New Roman"/>
      <w:sz w:val="24"/>
    </w:rPr>
  </w:style>
  <w:style w:type="paragraph" w:customStyle="1" w:styleId="NormalLeft">
    <w:name w:val="Normal Left"/>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NormalRight">
    <w:name w:val="Normal Right"/>
    <w:basedOn w:val="Normal"/>
    <w:uiPriority w:val="1"/>
    <w:rsid w:val="14F0B435"/>
    <w:pPr>
      <w:keepNext/>
      <w:spacing w:before="40" w:after="0"/>
      <w:jc w:val="right"/>
    </w:pPr>
    <w:rPr>
      <w:rFonts w:ascii="Times New Roman" w:eastAsiaTheme="minorEastAsia" w:hAnsi="Times New Roman" w:cs="Times New Roman"/>
      <w:sz w:val="24"/>
    </w:rPr>
  </w:style>
  <w:style w:type="paragraph" w:customStyle="1" w:styleId="QuotedText">
    <w:name w:val="Quoted Text"/>
    <w:basedOn w:val="Normal"/>
    <w:uiPriority w:val="1"/>
    <w:rsid w:val="14F0B435"/>
    <w:pPr>
      <w:keepNext/>
      <w:spacing w:before="40" w:after="0"/>
      <w:ind w:left="1417"/>
      <w:jc w:val="both"/>
    </w:pPr>
    <w:rPr>
      <w:rFonts w:ascii="Times New Roman" w:eastAsiaTheme="minorEastAsia" w:hAnsi="Times New Roman" w:cs="Times New Roman"/>
      <w:sz w:val="24"/>
    </w:rPr>
  </w:style>
  <w:style w:type="paragraph" w:customStyle="1" w:styleId="Point0">
    <w:name w:val="Point 0"/>
    <w:basedOn w:val="Normal"/>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Point1">
    <w:name w:val="Point 1"/>
    <w:basedOn w:val="Normal"/>
    <w:uiPriority w:val="1"/>
    <w:rsid w:val="14F0B435"/>
    <w:pPr>
      <w:keepNext/>
      <w:spacing w:before="40" w:after="0"/>
      <w:ind w:left="1417" w:hanging="567"/>
      <w:jc w:val="both"/>
    </w:pPr>
    <w:rPr>
      <w:rFonts w:ascii="Times New Roman" w:eastAsiaTheme="minorEastAsia" w:hAnsi="Times New Roman" w:cs="Times New Roman"/>
      <w:sz w:val="24"/>
    </w:rPr>
  </w:style>
  <w:style w:type="paragraph" w:customStyle="1" w:styleId="Point2">
    <w:name w:val="Point 2"/>
    <w:basedOn w:val="Normal"/>
    <w:uiPriority w:val="1"/>
    <w:rsid w:val="14F0B435"/>
    <w:pPr>
      <w:keepNext/>
      <w:spacing w:before="40" w:after="0"/>
      <w:ind w:left="1984" w:hanging="567"/>
      <w:jc w:val="both"/>
    </w:pPr>
    <w:rPr>
      <w:rFonts w:ascii="Times New Roman" w:eastAsiaTheme="minorEastAsia" w:hAnsi="Times New Roman" w:cs="Times New Roman"/>
      <w:sz w:val="24"/>
    </w:rPr>
  </w:style>
  <w:style w:type="paragraph" w:customStyle="1" w:styleId="Point3">
    <w:name w:val="Point 3"/>
    <w:basedOn w:val="Normal"/>
    <w:uiPriority w:val="1"/>
    <w:rsid w:val="14F0B435"/>
    <w:pPr>
      <w:keepNext/>
      <w:spacing w:before="40" w:after="0"/>
      <w:ind w:left="2551" w:hanging="567"/>
      <w:jc w:val="both"/>
    </w:pPr>
    <w:rPr>
      <w:rFonts w:ascii="Times New Roman" w:eastAsiaTheme="minorEastAsia" w:hAnsi="Times New Roman" w:cs="Times New Roman"/>
      <w:sz w:val="24"/>
    </w:rPr>
  </w:style>
  <w:style w:type="paragraph" w:customStyle="1" w:styleId="Point4">
    <w:name w:val="Point 4"/>
    <w:basedOn w:val="Normal"/>
    <w:uiPriority w:val="1"/>
    <w:rsid w:val="14F0B435"/>
    <w:pPr>
      <w:keepNext/>
      <w:spacing w:before="40" w:after="0"/>
      <w:ind w:left="3118" w:hanging="567"/>
      <w:jc w:val="both"/>
    </w:pPr>
    <w:rPr>
      <w:rFonts w:ascii="Times New Roman" w:eastAsiaTheme="minorEastAsia" w:hAnsi="Times New Roman" w:cs="Times New Roman"/>
      <w:sz w:val="24"/>
    </w:rPr>
  </w:style>
  <w:style w:type="paragraph" w:customStyle="1" w:styleId="Tiret0">
    <w:name w:val="Tiret 0"/>
    <w:basedOn w:val="Point0"/>
    <w:uiPriority w:val="1"/>
    <w:rsid w:val="00B4580D"/>
    <w:pPr>
      <w:numPr>
        <w:numId w:val="1"/>
      </w:numPr>
    </w:pPr>
  </w:style>
  <w:style w:type="paragraph" w:customStyle="1" w:styleId="Tiret1">
    <w:name w:val="Tiret 1"/>
    <w:basedOn w:val="Point1"/>
    <w:uiPriority w:val="1"/>
    <w:rsid w:val="00B4580D"/>
    <w:pPr>
      <w:numPr>
        <w:numId w:val="2"/>
      </w:numPr>
    </w:pPr>
  </w:style>
  <w:style w:type="paragraph" w:customStyle="1" w:styleId="Tiret2">
    <w:name w:val="Tiret 2"/>
    <w:basedOn w:val="Point2"/>
    <w:uiPriority w:val="1"/>
    <w:rsid w:val="00B4580D"/>
    <w:pPr>
      <w:numPr>
        <w:numId w:val="3"/>
      </w:numPr>
    </w:pPr>
  </w:style>
  <w:style w:type="paragraph" w:customStyle="1" w:styleId="Tiret3">
    <w:name w:val="Tiret 3"/>
    <w:basedOn w:val="Point3"/>
    <w:uiPriority w:val="1"/>
    <w:rsid w:val="00B4580D"/>
    <w:pPr>
      <w:numPr>
        <w:numId w:val="4"/>
      </w:numPr>
    </w:pPr>
  </w:style>
  <w:style w:type="paragraph" w:customStyle="1" w:styleId="Tiret4">
    <w:name w:val="Tiret 4"/>
    <w:basedOn w:val="Point4"/>
    <w:uiPriority w:val="1"/>
    <w:rsid w:val="00B4580D"/>
    <w:pPr>
      <w:numPr>
        <w:numId w:val="5"/>
      </w:numPr>
    </w:pPr>
  </w:style>
  <w:style w:type="paragraph" w:customStyle="1" w:styleId="PointDouble0">
    <w:name w:val="PointDouble 0"/>
    <w:basedOn w:val="Normal"/>
    <w:uiPriority w:val="1"/>
    <w:rsid w:val="14F0B435"/>
    <w:pPr>
      <w:keepNext/>
      <w:tabs>
        <w:tab w:val="left" w:pos="850"/>
      </w:tabs>
      <w:spacing w:before="40" w:after="0"/>
      <w:ind w:left="1417" w:hanging="1417"/>
      <w:jc w:val="both"/>
    </w:pPr>
    <w:rPr>
      <w:rFonts w:ascii="Times New Roman" w:eastAsiaTheme="minorEastAsia" w:hAnsi="Times New Roman" w:cs="Times New Roman"/>
      <w:sz w:val="24"/>
    </w:rPr>
  </w:style>
  <w:style w:type="paragraph" w:customStyle="1" w:styleId="PointDouble1">
    <w:name w:val="PointDouble 1"/>
    <w:basedOn w:val="Normal"/>
    <w:uiPriority w:val="1"/>
    <w:rsid w:val="14F0B435"/>
    <w:pPr>
      <w:keepNext/>
      <w:tabs>
        <w:tab w:val="left" w:pos="1417"/>
      </w:tabs>
      <w:spacing w:before="40" w:after="0"/>
      <w:ind w:left="1984" w:hanging="1134"/>
      <w:jc w:val="both"/>
    </w:pPr>
    <w:rPr>
      <w:rFonts w:ascii="Times New Roman" w:eastAsiaTheme="minorEastAsia" w:hAnsi="Times New Roman" w:cs="Times New Roman"/>
      <w:sz w:val="24"/>
    </w:rPr>
  </w:style>
  <w:style w:type="paragraph" w:customStyle="1" w:styleId="PointDouble2">
    <w:name w:val="PointDouble 2"/>
    <w:basedOn w:val="Normal"/>
    <w:uiPriority w:val="1"/>
    <w:rsid w:val="14F0B435"/>
    <w:pPr>
      <w:keepNext/>
      <w:tabs>
        <w:tab w:val="left" w:pos="1984"/>
      </w:tabs>
      <w:spacing w:before="40" w:after="0"/>
      <w:ind w:left="2551" w:hanging="1134"/>
      <w:jc w:val="both"/>
    </w:pPr>
    <w:rPr>
      <w:rFonts w:ascii="Times New Roman" w:eastAsiaTheme="minorEastAsia" w:hAnsi="Times New Roman" w:cs="Times New Roman"/>
      <w:sz w:val="24"/>
    </w:rPr>
  </w:style>
  <w:style w:type="paragraph" w:customStyle="1" w:styleId="PointDouble3">
    <w:name w:val="PointDouble 3"/>
    <w:basedOn w:val="Normal"/>
    <w:uiPriority w:val="1"/>
    <w:rsid w:val="14F0B435"/>
    <w:pPr>
      <w:keepNext/>
      <w:tabs>
        <w:tab w:val="left" w:pos="2551"/>
      </w:tabs>
      <w:spacing w:before="40" w:after="0"/>
      <w:ind w:left="3118" w:hanging="1134"/>
      <w:jc w:val="both"/>
    </w:pPr>
    <w:rPr>
      <w:rFonts w:ascii="Times New Roman" w:eastAsiaTheme="minorEastAsia" w:hAnsi="Times New Roman" w:cs="Times New Roman"/>
      <w:sz w:val="24"/>
    </w:rPr>
  </w:style>
  <w:style w:type="paragraph" w:customStyle="1" w:styleId="PointDouble4">
    <w:name w:val="PointDouble 4"/>
    <w:basedOn w:val="Normal"/>
    <w:uiPriority w:val="1"/>
    <w:rsid w:val="14F0B435"/>
    <w:pPr>
      <w:keepNext/>
      <w:tabs>
        <w:tab w:val="left" w:pos="3118"/>
      </w:tabs>
      <w:spacing w:before="40" w:after="0"/>
      <w:ind w:left="3685" w:hanging="1134"/>
      <w:jc w:val="both"/>
    </w:pPr>
    <w:rPr>
      <w:rFonts w:ascii="Times New Roman" w:eastAsiaTheme="minorEastAsia" w:hAnsi="Times New Roman" w:cs="Times New Roman"/>
      <w:sz w:val="24"/>
    </w:rPr>
  </w:style>
  <w:style w:type="paragraph" w:customStyle="1" w:styleId="PointTriple0">
    <w:name w:val="PointTriple 0"/>
    <w:basedOn w:val="Normal"/>
    <w:uiPriority w:val="1"/>
    <w:rsid w:val="14F0B435"/>
    <w:pPr>
      <w:keepNext/>
      <w:tabs>
        <w:tab w:val="left" w:pos="850"/>
        <w:tab w:val="left" w:pos="1417"/>
      </w:tabs>
      <w:spacing w:before="40" w:after="0"/>
      <w:ind w:left="1984" w:hanging="1984"/>
      <w:jc w:val="both"/>
    </w:pPr>
    <w:rPr>
      <w:rFonts w:ascii="Times New Roman" w:eastAsiaTheme="minorEastAsia" w:hAnsi="Times New Roman" w:cs="Times New Roman"/>
      <w:sz w:val="24"/>
    </w:rPr>
  </w:style>
  <w:style w:type="paragraph" w:customStyle="1" w:styleId="PointTriple1">
    <w:name w:val="PointTriple 1"/>
    <w:basedOn w:val="Normal"/>
    <w:uiPriority w:val="1"/>
    <w:rsid w:val="14F0B435"/>
    <w:pPr>
      <w:keepNext/>
      <w:tabs>
        <w:tab w:val="left" w:pos="1417"/>
        <w:tab w:val="left" w:pos="1984"/>
      </w:tabs>
      <w:spacing w:before="40" w:after="0"/>
      <w:ind w:left="2551" w:hanging="1701"/>
      <w:jc w:val="both"/>
    </w:pPr>
    <w:rPr>
      <w:rFonts w:ascii="Times New Roman" w:eastAsiaTheme="minorEastAsia" w:hAnsi="Times New Roman" w:cs="Times New Roman"/>
      <w:sz w:val="24"/>
    </w:rPr>
  </w:style>
  <w:style w:type="paragraph" w:customStyle="1" w:styleId="PointTriple2">
    <w:name w:val="PointTriple 2"/>
    <w:basedOn w:val="Normal"/>
    <w:uiPriority w:val="1"/>
    <w:rsid w:val="14F0B435"/>
    <w:pPr>
      <w:keepNext/>
      <w:tabs>
        <w:tab w:val="left" w:pos="1984"/>
        <w:tab w:val="left" w:pos="2551"/>
      </w:tabs>
      <w:spacing w:before="40" w:after="0"/>
      <w:ind w:left="3118" w:hanging="1701"/>
      <w:jc w:val="both"/>
    </w:pPr>
    <w:rPr>
      <w:rFonts w:ascii="Times New Roman" w:eastAsiaTheme="minorEastAsia" w:hAnsi="Times New Roman" w:cs="Times New Roman"/>
      <w:sz w:val="24"/>
    </w:rPr>
  </w:style>
  <w:style w:type="paragraph" w:customStyle="1" w:styleId="PointTriple3">
    <w:name w:val="PointTriple 3"/>
    <w:basedOn w:val="Normal"/>
    <w:uiPriority w:val="1"/>
    <w:rsid w:val="14F0B435"/>
    <w:pPr>
      <w:keepNext/>
      <w:tabs>
        <w:tab w:val="left" w:pos="2551"/>
        <w:tab w:val="left" w:pos="3118"/>
      </w:tabs>
      <w:spacing w:before="40" w:after="0"/>
      <w:ind w:left="3685" w:hanging="1701"/>
      <w:jc w:val="both"/>
    </w:pPr>
    <w:rPr>
      <w:rFonts w:ascii="Times New Roman" w:eastAsiaTheme="minorEastAsia" w:hAnsi="Times New Roman" w:cs="Times New Roman"/>
      <w:sz w:val="24"/>
    </w:rPr>
  </w:style>
  <w:style w:type="paragraph" w:customStyle="1" w:styleId="PointTriple4">
    <w:name w:val="PointTriple 4"/>
    <w:basedOn w:val="Normal"/>
    <w:uiPriority w:val="1"/>
    <w:rsid w:val="14F0B435"/>
    <w:pPr>
      <w:keepNext/>
      <w:tabs>
        <w:tab w:val="left" w:pos="3118"/>
        <w:tab w:val="left" w:pos="3685"/>
      </w:tabs>
      <w:spacing w:before="40" w:after="0"/>
      <w:ind w:left="4252" w:hanging="1701"/>
      <w:jc w:val="both"/>
    </w:pPr>
    <w:rPr>
      <w:rFonts w:ascii="Times New Roman" w:eastAsiaTheme="minorEastAsia" w:hAnsi="Times New Roman" w:cs="Times New Roman"/>
      <w:sz w:val="24"/>
    </w:rPr>
  </w:style>
  <w:style w:type="paragraph" w:customStyle="1" w:styleId="NumPar1">
    <w:name w:val="NumPar 1"/>
    <w:basedOn w:val="Normal"/>
    <w:next w:val="Text1"/>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NumPar2">
    <w:name w:val="NumPar 2"/>
    <w:basedOn w:val="Normal"/>
    <w:next w:val="Text1"/>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NumPar3">
    <w:name w:val="NumPar 3"/>
    <w:basedOn w:val="Normal"/>
    <w:next w:val="Text1"/>
    <w:uiPriority w:val="1"/>
    <w:rsid w:val="29DEDBAE"/>
    <w:pPr>
      <w:keepNext/>
      <w:numPr>
        <w:ilvl w:val="2"/>
        <w:numId w:val="6"/>
      </w:numPr>
      <w:spacing w:before="40" w:after="0"/>
      <w:jc w:val="both"/>
    </w:pPr>
    <w:rPr>
      <w:rFonts w:ascii="Times New Roman" w:eastAsiaTheme="minorEastAsia" w:hAnsi="Times New Roman" w:cs="Times New Roman"/>
      <w:sz w:val="24"/>
    </w:rPr>
  </w:style>
  <w:style w:type="paragraph" w:customStyle="1" w:styleId="NumPar4">
    <w:name w:val="NumPar 4"/>
    <w:basedOn w:val="Normal"/>
    <w:next w:val="Text1"/>
    <w:uiPriority w:val="1"/>
    <w:rsid w:val="29DEDBAE"/>
    <w:pPr>
      <w:keepNext/>
      <w:numPr>
        <w:ilvl w:val="3"/>
        <w:numId w:val="6"/>
      </w:numPr>
      <w:spacing w:before="40" w:after="0"/>
      <w:jc w:val="both"/>
    </w:pPr>
    <w:rPr>
      <w:rFonts w:ascii="Times New Roman" w:eastAsiaTheme="minorEastAsia" w:hAnsi="Times New Roman" w:cs="Times New Roman"/>
      <w:sz w:val="24"/>
    </w:rPr>
  </w:style>
  <w:style w:type="paragraph" w:customStyle="1" w:styleId="ManualNumPar1">
    <w:name w:val="Manual NumPar 1"/>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2">
    <w:name w:val="Manual NumPar 2"/>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3">
    <w:name w:val="Manual NumPar 3"/>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4">
    <w:name w:val="Manual NumPar 4"/>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QuotedNumPar">
    <w:name w:val="Quoted NumPar"/>
    <w:basedOn w:val="Normal"/>
    <w:uiPriority w:val="1"/>
    <w:rsid w:val="14F0B435"/>
    <w:pPr>
      <w:keepNext/>
      <w:spacing w:before="40" w:after="0"/>
      <w:ind w:left="1417" w:hanging="567"/>
      <w:jc w:val="both"/>
    </w:pPr>
    <w:rPr>
      <w:rFonts w:ascii="Times New Roman" w:eastAsiaTheme="minorEastAsia" w:hAnsi="Times New Roman" w:cs="Times New Roman"/>
      <w:sz w:val="24"/>
    </w:rPr>
  </w:style>
  <w:style w:type="paragraph" w:customStyle="1" w:styleId="ManualHeading1">
    <w:name w:val="Manual Heading 1"/>
    <w:basedOn w:val="Normal"/>
    <w:next w:val="Text1"/>
    <w:uiPriority w:val="1"/>
    <w:rsid w:val="14F0B435"/>
    <w:pPr>
      <w:keepNext/>
      <w:tabs>
        <w:tab w:val="left" w:pos="850"/>
      </w:tabs>
      <w:spacing w:before="360" w:after="0"/>
      <w:ind w:hanging="850"/>
      <w:jc w:val="both"/>
      <w:outlineLvl w:val="0"/>
    </w:pPr>
    <w:rPr>
      <w:rFonts w:ascii="Times New Roman" w:eastAsiaTheme="minorEastAsia" w:hAnsi="Times New Roman" w:cs="Times New Roman"/>
      <w:b/>
      <w:smallCaps/>
      <w:sz w:val="24"/>
    </w:rPr>
  </w:style>
  <w:style w:type="paragraph" w:customStyle="1" w:styleId="ManualHeading2">
    <w:name w:val="Manual Heading 2"/>
    <w:basedOn w:val="Normal"/>
    <w:next w:val="Text1"/>
    <w:uiPriority w:val="1"/>
    <w:rsid w:val="14F0B435"/>
    <w:pPr>
      <w:keepNext/>
      <w:tabs>
        <w:tab w:val="left" w:pos="850"/>
      </w:tabs>
      <w:spacing w:before="40" w:after="0"/>
      <w:ind w:hanging="850"/>
      <w:jc w:val="both"/>
    </w:pPr>
    <w:rPr>
      <w:rFonts w:ascii="Times New Roman" w:eastAsiaTheme="minorEastAsia" w:hAnsi="Times New Roman" w:cs="Times New Roman"/>
      <w:b/>
      <w:sz w:val="24"/>
    </w:rPr>
  </w:style>
  <w:style w:type="paragraph" w:customStyle="1" w:styleId="ManualHeading3">
    <w:name w:val="Manual Heading 3"/>
    <w:basedOn w:val="Normal"/>
    <w:next w:val="Text1"/>
    <w:uiPriority w:val="1"/>
    <w:rsid w:val="14F0B435"/>
    <w:pPr>
      <w:keepNext/>
      <w:tabs>
        <w:tab w:val="left" w:pos="850"/>
      </w:tabs>
      <w:spacing w:before="40" w:after="0"/>
      <w:ind w:hanging="850"/>
      <w:jc w:val="both"/>
    </w:pPr>
    <w:rPr>
      <w:rFonts w:ascii="Times New Roman" w:eastAsiaTheme="minorEastAsia" w:hAnsi="Times New Roman" w:cs="Times New Roman"/>
      <w:i/>
      <w:sz w:val="24"/>
    </w:rPr>
  </w:style>
  <w:style w:type="paragraph" w:customStyle="1" w:styleId="ManualHeading4">
    <w:name w:val="Manual Heading 4"/>
    <w:basedOn w:val="Normal"/>
    <w:next w:val="Text1"/>
    <w:uiPriority w:val="1"/>
    <w:rsid w:val="14F0B435"/>
    <w:pPr>
      <w:keepNext/>
      <w:tabs>
        <w:tab w:val="left" w:pos="850"/>
      </w:tabs>
      <w:spacing w:before="40" w:after="0"/>
      <w:ind w:hanging="850"/>
      <w:jc w:val="both"/>
      <w:outlineLvl w:val="3"/>
    </w:pPr>
    <w:rPr>
      <w:rFonts w:ascii="Times New Roman" w:eastAsiaTheme="minorEastAsia" w:hAnsi="Times New Roman" w:cs="Times New Roman"/>
      <w:sz w:val="24"/>
    </w:rPr>
  </w:style>
  <w:style w:type="paragraph" w:customStyle="1" w:styleId="ChapterTitle">
    <w:name w:val="ChapterTitle"/>
    <w:basedOn w:val="Normal"/>
    <w:next w:val="Normal"/>
    <w:uiPriority w:val="1"/>
    <w:rsid w:val="14F0B435"/>
    <w:pPr>
      <w:keepNext/>
      <w:spacing w:before="40" w:after="360"/>
      <w:jc w:val="center"/>
    </w:pPr>
    <w:rPr>
      <w:rFonts w:ascii="Times New Roman" w:eastAsiaTheme="minorEastAsia" w:hAnsi="Times New Roman" w:cs="Times New Roman"/>
      <w:b/>
      <w:sz w:val="32"/>
    </w:rPr>
  </w:style>
  <w:style w:type="paragraph" w:customStyle="1" w:styleId="PartTitle">
    <w:name w:val="PartTitle"/>
    <w:basedOn w:val="Normal"/>
    <w:next w:val="ChapterTitle"/>
    <w:uiPriority w:val="1"/>
    <w:rsid w:val="14F0B435"/>
    <w:pPr>
      <w:keepNext/>
      <w:spacing w:before="40" w:after="360"/>
      <w:jc w:val="center"/>
    </w:pPr>
    <w:rPr>
      <w:rFonts w:ascii="Times New Roman" w:eastAsiaTheme="minorEastAsia" w:hAnsi="Times New Roman" w:cs="Times New Roman"/>
      <w:b/>
      <w:sz w:val="36"/>
    </w:rPr>
  </w:style>
  <w:style w:type="paragraph" w:customStyle="1" w:styleId="SectionTitle">
    <w:name w:val="SectionTitle"/>
    <w:basedOn w:val="Normal"/>
    <w:next w:val="Heading1"/>
    <w:uiPriority w:val="1"/>
    <w:rsid w:val="14F0B435"/>
    <w:pPr>
      <w:keepNext/>
      <w:spacing w:before="40" w:after="360"/>
      <w:jc w:val="center"/>
    </w:pPr>
    <w:rPr>
      <w:rFonts w:ascii="Times New Roman" w:eastAsiaTheme="minorEastAsia" w:hAnsi="Times New Roman" w:cs="Times New Roman"/>
      <w:b/>
      <w:smallCaps/>
      <w:sz w:val="28"/>
    </w:rPr>
  </w:style>
  <w:style w:type="paragraph" w:customStyle="1" w:styleId="TableTitle">
    <w:name w:val="Table Title"/>
    <w:basedOn w:val="Normal"/>
    <w:next w:val="Normal"/>
    <w:uiPriority w:val="1"/>
    <w:rsid w:val="14F0B435"/>
    <w:pPr>
      <w:keepNext/>
      <w:spacing w:before="40" w:after="0"/>
      <w:jc w:val="center"/>
    </w:pPr>
    <w:rPr>
      <w:rFonts w:ascii="Times New Roman" w:eastAsiaTheme="minorEastAsia" w:hAnsi="Times New Roman" w:cs="Times New Roman"/>
      <w:b/>
      <w:sz w:val="24"/>
    </w:rPr>
  </w:style>
  <w:style w:type="character" w:customStyle="1" w:styleId="Marker">
    <w:name w:val="Marker"/>
    <w:basedOn w:val="DefaultParagraphFont"/>
    <w:rsid w:val="00EE72C8"/>
    <w:rPr>
      <w:color w:val="0000FF"/>
      <w:shd w:val="clear" w:color="auto" w:fill="auto"/>
    </w:rPr>
  </w:style>
  <w:style w:type="character" w:customStyle="1" w:styleId="Marker1">
    <w:name w:val="Marker1"/>
    <w:basedOn w:val="DefaultParagraphFont"/>
    <w:rsid w:val="00B4580D"/>
    <w:rPr>
      <w:color w:val="008000"/>
      <w:shd w:val="clear" w:color="auto" w:fill="auto"/>
    </w:rPr>
  </w:style>
  <w:style w:type="character" w:customStyle="1" w:styleId="Marker2">
    <w:name w:val="Marker2"/>
    <w:basedOn w:val="DefaultParagraphFont"/>
    <w:rsid w:val="00B4580D"/>
    <w:rPr>
      <w:color w:val="FF0000"/>
      <w:shd w:val="clear" w:color="auto" w:fill="auto"/>
    </w:rPr>
  </w:style>
  <w:style w:type="paragraph" w:customStyle="1" w:styleId="Point0number">
    <w:name w:val="Point 0 (number)"/>
    <w:basedOn w:val="Normal"/>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Point1number">
    <w:name w:val="Point 1 (number)"/>
    <w:basedOn w:val="Normal"/>
    <w:uiPriority w:val="1"/>
    <w:rsid w:val="29DEDBAE"/>
    <w:pPr>
      <w:keepNext/>
      <w:numPr>
        <w:ilvl w:val="2"/>
        <w:numId w:val="8"/>
      </w:numPr>
      <w:spacing w:before="40" w:after="0"/>
      <w:jc w:val="both"/>
    </w:pPr>
    <w:rPr>
      <w:rFonts w:ascii="Times New Roman" w:eastAsiaTheme="minorEastAsia" w:hAnsi="Times New Roman" w:cs="Times New Roman"/>
      <w:sz w:val="24"/>
    </w:rPr>
  </w:style>
  <w:style w:type="paragraph" w:customStyle="1" w:styleId="Point2number">
    <w:name w:val="Point 2 (number)"/>
    <w:basedOn w:val="Normal"/>
    <w:uiPriority w:val="1"/>
    <w:rsid w:val="29DEDBAE"/>
    <w:pPr>
      <w:keepNext/>
      <w:numPr>
        <w:ilvl w:val="4"/>
        <w:numId w:val="8"/>
      </w:numPr>
      <w:spacing w:before="40" w:after="0"/>
      <w:jc w:val="both"/>
    </w:pPr>
    <w:rPr>
      <w:rFonts w:ascii="Times New Roman" w:eastAsiaTheme="minorEastAsia" w:hAnsi="Times New Roman" w:cs="Times New Roman"/>
      <w:sz w:val="24"/>
    </w:rPr>
  </w:style>
  <w:style w:type="paragraph" w:customStyle="1" w:styleId="Point3number">
    <w:name w:val="Point 3 (number)"/>
    <w:basedOn w:val="Normal"/>
    <w:uiPriority w:val="1"/>
    <w:rsid w:val="29DEDBAE"/>
    <w:pPr>
      <w:keepNext/>
      <w:numPr>
        <w:ilvl w:val="6"/>
        <w:numId w:val="8"/>
      </w:numPr>
      <w:spacing w:before="40" w:after="0"/>
      <w:jc w:val="both"/>
    </w:pPr>
    <w:rPr>
      <w:rFonts w:ascii="Times New Roman" w:eastAsiaTheme="minorEastAsia" w:hAnsi="Times New Roman" w:cs="Times New Roman"/>
      <w:sz w:val="24"/>
    </w:rPr>
  </w:style>
  <w:style w:type="paragraph" w:customStyle="1" w:styleId="Point0letter">
    <w:name w:val="Point 0 (letter)"/>
    <w:basedOn w:val="Normal"/>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Point1letter">
    <w:name w:val="Point 1 (letter)"/>
    <w:basedOn w:val="Normal"/>
    <w:uiPriority w:val="1"/>
    <w:rsid w:val="29DEDBAE"/>
    <w:pPr>
      <w:keepNext/>
      <w:numPr>
        <w:ilvl w:val="3"/>
        <w:numId w:val="8"/>
      </w:numPr>
      <w:spacing w:before="40" w:after="0"/>
      <w:jc w:val="both"/>
    </w:pPr>
    <w:rPr>
      <w:rFonts w:ascii="Times New Roman" w:eastAsiaTheme="minorEastAsia" w:hAnsi="Times New Roman" w:cs="Times New Roman"/>
      <w:sz w:val="24"/>
    </w:rPr>
  </w:style>
  <w:style w:type="paragraph" w:customStyle="1" w:styleId="Point2letter">
    <w:name w:val="Point 2 (letter)"/>
    <w:basedOn w:val="Normal"/>
    <w:uiPriority w:val="1"/>
    <w:rsid w:val="29DEDBAE"/>
    <w:pPr>
      <w:keepNext/>
      <w:numPr>
        <w:ilvl w:val="5"/>
        <w:numId w:val="8"/>
      </w:numPr>
      <w:spacing w:before="40" w:after="0"/>
      <w:jc w:val="both"/>
    </w:pPr>
    <w:rPr>
      <w:rFonts w:ascii="Times New Roman" w:eastAsiaTheme="minorEastAsia" w:hAnsi="Times New Roman" w:cs="Times New Roman"/>
      <w:sz w:val="24"/>
    </w:rPr>
  </w:style>
  <w:style w:type="paragraph" w:customStyle="1" w:styleId="Point3letter">
    <w:name w:val="Point 3 (letter)"/>
    <w:basedOn w:val="Normal"/>
    <w:uiPriority w:val="1"/>
    <w:rsid w:val="29DEDBAE"/>
    <w:pPr>
      <w:keepNext/>
      <w:numPr>
        <w:ilvl w:val="7"/>
        <w:numId w:val="8"/>
      </w:numPr>
      <w:spacing w:before="40" w:after="0"/>
      <w:jc w:val="both"/>
    </w:pPr>
    <w:rPr>
      <w:rFonts w:ascii="Times New Roman" w:eastAsiaTheme="minorEastAsia" w:hAnsi="Times New Roman" w:cs="Times New Roman"/>
      <w:sz w:val="24"/>
    </w:rPr>
  </w:style>
  <w:style w:type="paragraph" w:customStyle="1" w:styleId="Point4letter">
    <w:name w:val="Point 4 (letter)"/>
    <w:basedOn w:val="Normal"/>
    <w:uiPriority w:val="1"/>
    <w:rsid w:val="29DEDBAE"/>
    <w:pPr>
      <w:keepNext/>
      <w:numPr>
        <w:ilvl w:val="8"/>
        <w:numId w:val="8"/>
      </w:numPr>
      <w:spacing w:before="40" w:after="0"/>
      <w:jc w:val="both"/>
    </w:pPr>
    <w:rPr>
      <w:rFonts w:ascii="Times New Roman" w:eastAsiaTheme="minorEastAsia" w:hAnsi="Times New Roman" w:cs="Times New Roman"/>
      <w:sz w:val="24"/>
    </w:rPr>
  </w:style>
  <w:style w:type="paragraph" w:customStyle="1" w:styleId="Bullet0">
    <w:name w:val="Bullet 0"/>
    <w:basedOn w:val="Normal"/>
    <w:uiPriority w:val="1"/>
    <w:rsid w:val="29DEDBAE"/>
    <w:pPr>
      <w:keepNext/>
      <w:numPr>
        <w:numId w:val="9"/>
      </w:numPr>
      <w:spacing w:before="40" w:after="0"/>
      <w:jc w:val="both"/>
    </w:pPr>
    <w:rPr>
      <w:rFonts w:ascii="Times New Roman" w:eastAsiaTheme="minorEastAsia" w:hAnsi="Times New Roman" w:cs="Times New Roman"/>
      <w:sz w:val="24"/>
    </w:rPr>
  </w:style>
  <w:style w:type="paragraph" w:customStyle="1" w:styleId="Bullet1">
    <w:name w:val="Bullet 1"/>
    <w:basedOn w:val="Normal"/>
    <w:uiPriority w:val="1"/>
    <w:rsid w:val="29DEDBAE"/>
    <w:pPr>
      <w:keepNext/>
      <w:numPr>
        <w:numId w:val="10"/>
      </w:numPr>
      <w:spacing w:before="40" w:after="0"/>
      <w:jc w:val="both"/>
    </w:pPr>
    <w:rPr>
      <w:rFonts w:ascii="Times New Roman" w:eastAsiaTheme="minorEastAsia" w:hAnsi="Times New Roman" w:cs="Times New Roman"/>
      <w:sz w:val="24"/>
    </w:rPr>
  </w:style>
  <w:style w:type="paragraph" w:customStyle="1" w:styleId="Bullet2">
    <w:name w:val="Bullet 2"/>
    <w:basedOn w:val="Normal"/>
    <w:uiPriority w:val="1"/>
    <w:rsid w:val="29DEDBAE"/>
    <w:pPr>
      <w:keepNext/>
      <w:numPr>
        <w:numId w:val="11"/>
      </w:numPr>
      <w:spacing w:before="40" w:after="0"/>
      <w:jc w:val="both"/>
    </w:pPr>
    <w:rPr>
      <w:rFonts w:ascii="Times New Roman" w:eastAsiaTheme="minorEastAsia" w:hAnsi="Times New Roman" w:cs="Times New Roman"/>
      <w:sz w:val="24"/>
    </w:rPr>
  </w:style>
  <w:style w:type="paragraph" w:customStyle="1" w:styleId="Bullet3">
    <w:name w:val="Bullet 3"/>
    <w:basedOn w:val="Normal"/>
    <w:uiPriority w:val="1"/>
    <w:rsid w:val="29DEDBAE"/>
    <w:pPr>
      <w:keepNext/>
      <w:numPr>
        <w:numId w:val="12"/>
      </w:numPr>
      <w:spacing w:before="40" w:after="0"/>
      <w:jc w:val="both"/>
    </w:pPr>
    <w:rPr>
      <w:rFonts w:ascii="Times New Roman" w:eastAsiaTheme="minorEastAsia" w:hAnsi="Times New Roman" w:cs="Times New Roman"/>
      <w:sz w:val="24"/>
    </w:rPr>
  </w:style>
  <w:style w:type="paragraph" w:customStyle="1" w:styleId="Bullet4">
    <w:name w:val="Bullet 4"/>
    <w:basedOn w:val="Normal"/>
    <w:uiPriority w:val="1"/>
    <w:rsid w:val="29DEDBAE"/>
    <w:pPr>
      <w:keepNext/>
      <w:numPr>
        <w:numId w:val="13"/>
      </w:numPr>
      <w:spacing w:before="40" w:after="0"/>
      <w:jc w:val="both"/>
    </w:pPr>
    <w:rPr>
      <w:rFonts w:ascii="Times New Roman" w:eastAsiaTheme="minorEastAsia" w:hAnsi="Times New Roman" w:cs="Times New Roman"/>
      <w:sz w:val="24"/>
    </w:rPr>
  </w:style>
  <w:style w:type="paragraph" w:customStyle="1" w:styleId="Langue">
    <w:name w:val="Langue"/>
    <w:basedOn w:val="Normal"/>
    <w:next w:val="Rfrenceinterne"/>
    <w:uiPriority w:val="1"/>
    <w:rsid w:val="14F0B435"/>
    <w:pPr>
      <w:keepNext/>
      <w:spacing w:after="600"/>
      <w:jc w:val="center"/>
    </w:pPr>
    <w:rPr>
      <w:rFonts w:ascii="Times New Roman" w:eastAsiaTheme="minorEastAsia" w:hAnsi="Times New Roman" w:cs="Times New Roman"/>
      <w:b/>
      <w:caps/>
      <w:sz w:val="24"/>
    </w:rPr>
  </w:style>
  <w:style w:type="paragraph" w:customStyle="1" w:styleId="Nomdelinstitution">
    <w:name w:val="Nom de l'institution"/>
    <w:basedOn w:val="Normal"/>
    <w:next w:val="Emission"/>
    <w:uiPriority w:val="1"/>
    <w:rsid w:val="14F0B435"/>
    <w:pPr>
      <w:keepNext/>
      <w:spacing w:after="0"/>
      <w:jc w:val="both"/>
    </w:pPr>
    <w:rPr>
      <w:rFonts w:ascii="Arial" w:eastAsiaTheme="minorEastAsia" w:hAnsi="Arial" w:cs="Arial"/>
      <w:sz w:val="24"/>
    </w:rPr>
  </w:style>
  <w:style w:type="paragraph" w:customStyle="1" w:styleId="Emission">
    <w:name w:val="Emission"/>
    <w:basedOn w:val="Normal"/>
    <w:next w:val="Rfrenceinstitutionnelle"/>
    <w:uiPriority w:val="1"/>
    <w:rsid w:val="14F0B435"/>
    <w:pPr>
      <w:keepNext/>
      <w:spacing w:after="0"/>
      <w:ind w:left="5103"/>
      <w:jc w:val="both"/>
    </w:pPr>
    <w:rPr>
      <w:rFonts w:ascii="Times New Roman" w:eastAsiaTheme="minorEastAsia" w:hAnsi="Times New Roman" w:cs="Times New Roman"/>
      <w:sz w:val="24"/>
    </w:rPr>
  </w:style>
  <w:style w:type="paragraph" w:customStyle="1" w:styleId="Rfrenceinstitutionnelle">
    <w:name w:val="Référence institutionnelle"/>
    <w:basedOn w:val="Normal"/>
    <w:next w:val="Confidentialit"/>
    <w:uiPriority w:val="1"/>
    <w:rsid w:val="14F0B435"/>
    <w:pPr>
      <w:keepNext/>
      <w:spacing w:after="0"/>
      <w:ind w:left="5103"/>
      <w:jc w:val="both"/>
    </w:pPr>
    <w:rPr>
      <w:rFonts w:ascii="Times New Roman" w:eastAsiaTheme="minorEastAsia" w:hAnsi="Times New Roman" w:cs="Times New Roman"/>
      <w:sz w:val="24"/>
    </w:rPr>
  </w:style>
  <w:style w:type="paragraph" w:customStyle="1" w:styleId="Pagedecouverture">
    <w:name w:val="Page de couverture"/>
    <w:basedOn w:val="Normal"/>
    <w:next w:val="Normal"/>
    <w:link w:val="PagedecouvertureChar"/>
    <w:uiPriority w:val="1"/>
    <w:rsid w:val="14F0B435"/>
    <w:pPr>
      <w:keepNext/>
      <w:spacing w:after="0"/>
      <w:jc w:val="both"/>
    </w:pPr>
    <w:rPr>
      <w:rFonts w:ascii="Times New Roman" w:eastAsiaTheme="minorEastAsia" w:hAnsi="Times New Roman" w:cs="Times New Roman"/>
      <w:sz w:val="24"/>
    </w:rPr>
  </w:style>
  <w:style w:type="paragraph" w:customStyle="1" w:styleId="Declassification">
    <w:name w:val="Declassification"/>
    <w:basedOn w:val="Normal"/>
    <w:next w:val="Normal"/>
    <w:uiPriority w:val="1"/>
    <w:rsid w:val="14F0B435"/>
    <w:pPr>
      <w:keepNext/>
      <w:spacing w:after="0"/>
      <w:jc w:val="both"/>
    </w:pPr>
    <w:rPr>
      <w:rFonts w:ascii="Times New Roman" w:eastAsiaTheme="minorEastAsia" w:hAnsi="Times New Roman" w:cs="Times New Roman"/>
      <w:sz w:val="24"/>
    </w:rPr>
  </w:style>
  <w:style w:type="paragraph" w:customStyle="1" w:styleId="Disclaimer">
    <w:name w:val="Disclaimer"/>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SecurityMarking">
    <w:name w:val="SecurityMarking"/>
    <w:basedOn w:val="Normal"/>
    <w:uiPriority w:val="1"/>
    <w:rsid w:val="00B4580D"/>
    <w:pPr>
      <w:spacing w:after="0"/>
      <w:ind w:left="5103"/>
    </w:pPr>
    <w:rPr>
      <w:rFonts w:ascii="Times New Roman" w:hAnsi="Times New Roman" w:cs="Times New Roman"/>
      <w:sz w:val="28"/>
    </w:rPr>
  </w:style>
  <w:style w:type="paragraph" w:customStyle="1" w:styleId="DateMarking">
    <w:name w:val="DateMarking"/>
    <w:basedOn w:val="Normal"/>
    <w:uiPriority w:val="1"/>
    <w:rsid w:val="00B4580D"/>
    <w:pPr>
      <w:spacing w:after="0"/>
      <w:ind w:left="5103"/>
    </w:pPr>
    <w:rPr>
      <w:rFonts w:ascii="Times New Roman" w:hAnsi="Times New Roman" w:cs="Times New Roman"/>
      <w:i/>
      <w:sz w:val="28"/>
    </w:rPr>
  </w:style>
  <w:style w:type="paragraph" w:customStyle="1" w:styleId="ReleasableTo">
    <w:name w:val="ReleasableTo"/>
    <w:basedOn w:val="Normal"/>
    <w:uiPriority w:val="1"/>
    <w:rsid w:val="00B4580D"/>
    <w:pPr>
      <w:spacing w:after="0"/>
      <w:ind w:left="5103"/>
    </w:pPr>
    <w:rPr>
      <w:rFonts w:ascii="Times New Roman" w:hAnsi="Times New Roman" w:cs="Times New Roman"/>
      <w:i/>
      <w:sz w:val="28"/>
    </w:rPr>
  </w:style>
  <w:style w:type="paragraph" w:customStyle="1" w:styleId="Annexetitreexpos">
    <w:name w:val="Annexe titre (exposé)"/>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nnexetitre">
    <w:name w:val="Annexe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nnexetitrefichefinancire">
    <w:name w:val="Annexe titre (fiche financiè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pplicationdirecte">
    <w:name w:val="Application directe"/>
    <w:basedOn w:val="Normal"/>
    <w:next w:val="Fait"/>
    <w:uiPriority w:val="1"/>
    <w:rsid w:val="14F0B435"/>
    <w:pPr>
      <w:keepNext/>
      <w:spacing w:before="480" w:after="0"/>
      <w:jc w:val="both"/>
    </w:pPr>
    <w:rPr>
      <w:rFonts w:ascii="Times New Roman" w:eastAsiaTheme="minorEastAsia" w:hAnsi="Times New Roman" w:cs="Times New Roman"/>
      <w:sz w:val="24"/>
    </w:rPr>
  </w:style>
  <w:style w:type="paragraph" w:customStyle="1" w:styleId="Avertissementtitre">
    <w:name w:val="Avertissement titre"/>
    <w:basedOn w:val="Normal"/>
    <w:next w:val="Normal"/>
    <w:uiPriority w:val="1"/>
    <w:rsid w:val="14F0B435"/>
    <w:pPr>
      <w:keepNext/>
      <w:spacing w:before="480" w:after="0"/>
      <w:jc w:val="both"/>
    </w:pPr>
    <w:rPr>
      <w:rFonts w:ascii="Times New Roman" w:eastAsiaTheme="minorEastAsia" w:hAnsi="Times New Roman" w:cs="Times New Roman"/>
      <w:sz w:val="24"/>
      <w:u w:val="single"/>
    </w:rPr>
  </w:style>
  <w:style w:type="paragraph" w:customStyle="1" w:styleId="Confidence">
    <w:name w:val="Confidence"/>
    <w:basedOn w:val="Normal"/>
    <w:next w:val="Normal"/>
    <w:uiPriority w:val="1"/>
    <w:rsid w:val="14F0B435"/>
    <w:pPr>
      <w:keepNext/>
      <w:spacing w:before="360" w:after="0"/>
      <w:jc w:val="center"/>
    </w:pPr>
    <w:rPr>
      <w:rFonts w:ascii="Times New Roman" w:eastAsiaTheme="minorEastAsia" w:hAnsi="Times New Roman" w:cs="Times New Roman"/>
      <w:sz w:val="24"/>
    </w:rPr>
  </w:style>
  <w:style w:type="paragraph" w:customStyle="1" w:styleId="Confidentialit">
    <w:name w:val="Confidentialité"/>
    <w:basedOn w:val="Normal"/>
    <w:next w:val="TypedudocumentPagedecouverture"/>
    <w:uiPriority w:val="1"/>
    <w:rsid w:val="14F0B435"/>
    <w:pPr>
      <w:keepNext/>
      <w:spacing w:before="240" w:after="0"/>
      <w:ind w:left="5103"/>
      <w:jc w:val="both"/>
    </w:pPr>
    <w:rPr>
      <w:rFonts w:ascii="Times New Roman" w:eastAsiaTheme="minorEastAsia" w:hAnsi="Times New Roman" w:cs="Times New Roman"/>
      <w:i/>
      <w:sz w:val="32"/>
    </w:rPr>
  </w:style>
  <w:style w:type="paragraph" w:customStyle="1" w:styleId="Considrant">
    <w:name w:val="Considérant"/>
    <w:basedOn w:val="Normal"/>
    <w:uiPriority w:val="1"/>
    <w:rsid w:val="29DEDBAE"/>
    <w:pPr>
      <w:keepNext/>
      <w:numPr>
        <w:numId w:val="14"/>
      </w:numPr>
      <w:spacing w:before="40" w:after="0"/>
      <w:jc w:val="both"/>
    </w:pPr>
    <w:rPr>
      <w:rFonts w:ascii="Times New Roman" w:eastAsiaTheme="minorEastAsia" w:hAnsi="Times New Roman" w:cs="Times New Roman"/>
      <w:sz w:val="24"/>
    </w:rPr>
  </w:style>
  <w:style w:type="paragraph" w:customStyle="1" w:styleId="Corrigendum">
    <w:name w:val="Corrigendum"/>
    <w:basedOn w:val="Normal"/>
    <w:next w:val="Normal"/>
    <w:uiPriority w:val="1"/>
    <w:rsid w:val="14F0B435"/>
    <w:pPr>
      <w:keepNext/>
      <w:spacing w:after="0"/>
      <w:jc w:val="both"/>
    </w:pPr>
    <w:rPr>
      <w:rFonts w:ascii="Times New Roman" w:eastAsiaTheme="minorEastAsia" w:hAnsi="Times New Roman" w:cs="Times New Roman"/>
      <w:sz w:val="24"/>
    </w:rPr>
  </w:style>
  <w:style w:type="paragraph" w:customStyle="1" w:styleId="Datedadoption">
    <w:name w:val="Date d'adoption"/>
    <w:basedOn w:val="Normal"/>
    <w:next w:val="IntrtEEE"/>
    <w:uiPriority w:val="1"/>
    <w:rsid w:val="14F0B435"/>
    <w:pPr>
      <w:keepNext/>
      <w:spacing w:before="360" w:after="0"/>
      <w:jc w:val="center"/>
    </w:pPr>
    <w:rPr>
      <w:rFonts w:ascii="Times New Roman" w:eastAsiaTheme="minorEastAsia" w:hAnsi="Times New Roman" w:cs="Times New Roman"/>
      <w:b/>
      <w:sz w:val="24"/>
    </w:rPr>
  </w:style>
  <w:style w:type="paragraph" w:customStyle="1" w:styleId="Exposdesmotifstitre">
    <w:name w:val="Exposé des motifs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Fait">
    <w:name w:val="Fait à"/>
    <w:basedOn w:val="Normal"/>
    <w:next w:val="Institutionquisigne"/>
    <w:uiPriority w:val="1"/>
    <w:rsid w:val="14F0B435"/>
    <w:pPr>
      <w:keepNext/>
      <w:spacing w:before="40" w:after="0"/>
      <w:jc w:val="both"/>
    </w:pPr>
    <w:rPr>
      <w:rFonts w:ascii="Times New Roman" w:eastAsiaTheme="minorEastAsia" w:hAnsi="Times New Roman" w:cs="Times New Roman"/>
      <w:sz w:val="24"/>
    </w:rPr>
  </w:style>
  <w:style w:type="paragraph" w:customStyle="1" w:styleId="Formuledadoption">
    <w:name w:val="Formule d'adoption"/>
    <w:basedOn w:val="Normal"/>
    <w:next w:val="Titrearticle"/>
    <w:uiPriority w:val="1"/>
    <w:rsid w:val="14F0B435"/>
    <w:pPr>
      <w:keepNext/>
      <w:spacing w:before="40" w:after="0"/>
      <w:jc w:val="both"/>
    </w:pPr>
    <w:rPr>
      <w:rFonts w:ascii="Times New Roman" w:eastAsiaTheme="minorEastAsia" w:hAnsi="Times New Roman" w:cs="Times New Roman"/>
      <w:sz w:val="24"/>
    </w:rPr>
  </w:style>
  <w:style w:type="paragraph" w:customStyle="1" w:styleId="Institutionquiagit">
    <w:name w:val="Institution qui agit"/>
    <w:basedOn w:val="Normal"/>
    <w:next w:val="Normal"/>
    <w:uiPriority w:val="1"/>
    <w:rsid w:val="14F0B435"/>
    <w:pPr>
      <w:keepNext/>
      <w:spacing w:before="600" w:after="0"/>
      <w:jc w:val="both"/>
    </w:pPr>
    <w:rPr>
      <w:rFonts w:ascii="Times New Roman" w:eastAsiaTheme="minorEastAsia" w:hAnsi="Times New Roman" w:cs="Times New Roman"/>
      <w:sz w:val="24"/>
    </w:rPr>
  </w:style>
  <w:style w:type="paragraph" w:customStyle="1" w:styleId="Institutionquisigne">
    <w:name w:val="Institution qui signe"/>
    <w:basedOn w:val="Normal"/>
    <w:next w:val="Personnequisigne"/>
    <w:uiPriority w:val="1"/>
    <w:rsid w:val="14F0B435"/>
    <w:pPr>
      <w:keepNext/>
      <w:tabs>
        <w:tab w:val="left" w:pos="4252"/>
      </w:tabs>
      <w:spacing w:before="720" w:after="0"/>
      <w:jc w:val="both"/>
    </w:pPr>
    <w:rPr>
      <w:rFonts w:ascii="Times New Roman" w:eastAsiaTheme="minorEastAsia" w:hAnsi="Times New Roman" w:cs="Times New Roman"/>
      <w:i/>
      <w:sz w:val="24"/>
    </w:rPr>
  </w:style>
  <w:style w:type="paragraph" w:customStyle="1" w:styleId="ManualConsidrant">
    <w:name w:val="Manual Considérant"/>
    <w:basedOn w:val="Normal"/>
    <w:uiPriority w:val="1"/>
    <w:rsid w:val="14F0B435"/>
    <w:pPr>
      <w:keepNext/>
      <w:spacing w:before="40" w:after="0"/>
      <w:ind w:left="709" w:hanging="709"/>
      <w:jc w:val="both"/>
    </w:pPr>
    <w:rPr>
      <w:rFonts w:ascii="Times New Roman" w:eastAsiaTheme="minorEastAsia" w:hAnsi="Times New Roman" w:cs="Times New Roman"/>
      <w:sz w:val="24"/>
    </w:rPr>
  </w:style>
  <w:style w:type="paragraph" w:customStyle="1" w:styleId="Personnequisigne">
    <w:name w:val="Personne qui signe"/>
    <w:basedOn w:val="Normal"/>
    <w:next w:val="Institutionquisigne"/>
    <w:uiPriority w:val="1"/>
    <w:rsid w:val="14F0B435"/>
    <w:pPr>
      <w:keepNext/>
      <w:tabs>
        <w:tab w:val="left" w:pos="4252"/>
      </w:tabs>
      <w:spacing w:after="0"/>
      <w:jc w:val="both"/>
    </w:pPr>
    <w:rPr>
      <w:rFonts w:ascii="Times New Roman" w:eastAsiaTheme="minorEastAsia" w:hAnsi="Times New Roman" w:cs="Times New Roman"/>
      <w:i/>
      <w:sz w:val="24"/>
    </w:rPr>
  </w:style>
  <w:style w:type="paragraph" w:customStyle="1" w:styleId="Rfrenceinterinstitutionnelle">
    <w:name w:val="Référence interinstitutionnelle"/>
    <w:basedOn w:val="Normal"/>
    <w:next w:val="Statut"/>
    <w:uiPriority w:val="1"/>
    <w:rsid w:val="14F0B435"/>
    <w:pPr>
      <w:keepNext/>
      <w:spacing w:after="0"/>
      <w:ind w:left="5103"/>
      <w:jc w:val="both"/>
    </w:pPr>
    <w:rPr>
      <w:rFonts w:ascii="Times New Roman" w:eastAsiaTheme="minorEastAsia" w:hAnsi="Times New Roman" w:cs="Times New Roman"/>
      <w:sz w:val="24"/>
    </w:rPr>
  </w:style>
  <w:style w:type="paragraph" w:customStyle="1" w:styleId="Rfrenceinterne">
    <w:name w:val="Référence interne"/>
    <w:basedOn w:val="Normal"/>
    <w:next w:val="Rfrenceinterinstitutionnelle"/>
    <w:uiPriority w:val="1"/>
    <w:rsid w:val="14F0B435"/>
    <w:pPr>
      <w:keepNext/>
      <w:spacing w:after="0"/>
      <w:ind w:left="5103"/>
      <w:jc w:val="both"/>
    </w:pPr>
    <w:rPr>
      <w:rFonts w:ascii="Times New Roman" w:eastAsiaTheme="minorEastAsia" w:hAnsi="Times New Roman" w:cs="Times New Roman"/>
      <w:sz w:val="24"/>
    </w:rPr>
  </w:style>
  <w:style w:type="paragraph" w:customStyle="1" w:styleId="Statut">
    <w:name w:val="Statut"/>
    <w:basedOn w:val="Normal"/>
    <w:next w:val="Typedudocument"/>
    <w:uiPriority w:val="1"/>
    <w:rsid w:val="14F0B435"/>
    <w:pPr>
      <w:keepNext/>
      <w:spacing w:after="0"/>
      <w:jc w:val="center"/>
    </w:pPr>
    <w:rPr>
      <w:rFonts w:ascii="Times New Roman" w:eastAsiaTheme="minorEastAsia" w:hAnsi="Times New Roman" w:cs="Times New Roman"/>
      <w:sz w:val="24"/>
    </w:rPr>
  </w:style>
  <w:style w:type="paragraph" w:customStyle="1" w:styleId="Titrearticle">
    <w:name w:val="Titre article"/>
    <w:basedOn w:val="Normal"/>
    <w:next w:val="Normal"/>
    <w:uiPriority w:val="1"/>
    <w:rsid w:val="14F0B435"/>
    <w:pPr>
      <w:keepNext/>
      <w:spacing w:before="360" w:after="0"/>
      <w:jc w:val="center"/>
    </w:pPr>
    <w:rPr>
      <w:rFonts w:ascii="Times New Roman" w:eastAsiaTheme="minorEastAsia" w:hAnsi="Times New Roman" w:cs="Times New Roman"/>
      <w:i/>
      <w:sz w:val="24"/>
    </w:rPr>
  </w:style>
  <w:style w:type="paragraph" w:customStyle="1" w:styleId="Typedudocument">
    <w:name w:val="Type du document"/>
    <w:basedOn w:val="Normal"/>
    <w:next w:val="Accompagnant"/>
    <w:uiPriority w:val="1"/>
    <w:rsid w:val="14F0B435"/>
    <w:pPr>
      <w:keepNext/>
      <w:spacing w:before="360" w:after="180"/>
      <w:jc w:val="center"/>
    </w:pPr>
    <w:rPr>
      <w:rFonts w:ascii="Times New Roman" w:eastAsiaTheme="minorEastAsia" w:hAnsi="Times New Roman" w:cs="Times New Roman"/>
      <w:b/>
      <w:sz w:val="24"/>
    </w:rPr>
  </w:style>
  <w:style w:type="character" w:customStyle="1" w:styleId="Added">
    <w:name w:val="Added"/>
    <w:basedOn w:val="DefaultParagraphFont"/>
    <w:rsid w:val="00B4580D"/>
    <w:rPr>
      <w:b/>
      <w:u w:val="single"/>
      <w:shd w:val="clear" w:color="auto" w:fill="auto"/>
    </w:rPr>
  </w:style>
  <w:style w:type="character" w:customStyle="1" w:styleId="Deleted">
    <w:name w:val="Deleted"/>
    <w:basedOn w:val="DefaultParagraphFont"/>
    <w:rsid w:val="00B4580D"/>
    <w:rPr>
      <w:strike/>
      <w:dstrike w:val="0"/>
      <w:shd w:val="clear" w:color="auto" w:fill="auto"/>
    </w:rPr>
  </w:style>
  <w:style w:type="paragraph" w:customStyle="1" w:styleId="Address">
    <w:name w:val="Address"/>
    <w:basedOn w:val="Normal"/>
    <w:next w:val="Normal"/>
    <w:uiPriority w:val="1"/>
    <w:rsid w:val="14F0B435"/>
    <w:pPr>
      <w:keepNext/>
      <w:keepLines/>
      <w:spacing w:before="40" w:after="0"/>
      <w:ind w:left="3402"/>
      <w:jc w:val="both"/>
    </w:pPr>
    <w:rPr>
      <w:rFonts w:ascii="Times New Roman" w:eastAsiaTheme="minorEastAsia" w:hAnsi="Times New Roman" w:cs="Times New Roman"/>
      <w:sz w:val="24"/>
    </w:rPr>
  </w:style>
  <w:style w:type="paragraph" w:customStyle="1" w:styleId="Objetexterne">
    <w:name w:val="Objet externe"/>
    <w:basedOn w:val="Normal"/>
    <w:next w:val="Normal"/>
    <w:uiPriority w:val="1"/>
    <w:rsid w:val="14F0B435"/>
    <w:pPr>
      <w:keepNext/>
      <w:spacing w:before="40" w:after="0"/>
      <w:jc w:val="both"/>
    </w:pPr>
    <w:rPr>
      <w:rFonts w:ascii="Times New Roman" w:eastAsiaTheme="minorEastAsia" w:hAnsi="Times New Roman" w:cs="Times New Roman"/>
      <w:i/>
      <w:caps/>
      <w:sz w:val="24"/>
    </w:rPr>
  </w:style>
  <w:style w:type="paragraph" w:customStyle="1" w:styleId="Supertitre">
    <w:name w:val="Supertitre"/>
    <w:basedOn w:val="Normal"/>
    <w:next w:val="Normal"/>
    <w:uiPriority w:val="1"/>
    <w:rsid w:val="14F0B435"/>
    <w:pPr>
      <w:keepNext/>
      <w:spacing w:after="600"/>
      <w:jc w:val="center"/>
    </w:pPr>
    <w:rPr>
      <w:rFonts w:ascii="Times New Roman" w:eastAsiaTheme="minorEastAsia" w:hAnsi="Times New Roman" w:cs="Times New Roman"/>
      <w:b/>
      <w:sz w:val="24"/>
    </w:rPr>
  </w:style>
  <w:style w:type="paragraph" w:customStyle="1" w:styleId="Languesfaisantfoi">
    <w:name w:val="Langues faisant foi"/>
    <w:basedOn w:val="Normal"/>
    <w:next w:val="Normal"/>
    <w:uiPriority w:val="1"/>
    <w:rsid w:val="14F0B435"/>
    <w:pPr>
      <w:keepNext/>
      <w:spacing w:before="360" w:after="0"/>
      <w:jc w:val="center"/>
    </w:pPr>
    <w:rPr>
      <w:rFonts w:ascii="Times New Roman" w:eastAsiaTheme="minorEastAsia" w:hAnsi="Times New Roman" w:cs="Times New Roman"/>
      <w:sz w:val="24"/>
    </w:rPr>
  </w:style>
  <w:style w:type="paragraph" w:customStyle="1" w:styleId="Rfrencecroise">
    <w:name w:val="Référence croisée"/>
    <w:basedOn w:val="Normal"/>
    <w:uiPriority w:val="1"/>
    <w:rsid w:val="14F0B435"/>
    <w:pPr>
      <w:keepNext/>
      <w:spacing w:after="0"/>
      <w:jc w:val="center"/>
    </w:pPr>
    <w:rPr>
      <w:rFonts w:ascii="Times New Roman" w:eastAsiaTheme="minorEastAsia" w:hAnsi="Times New Roman" w:cs="Times New Roman"/>
      <w:sz w:val="24"/>
    </w:rPr>
  </w:style>
  <w:style w:type="paragraph" w:customStyle="1" w:styleId="Fichefinanciretitre">
    <w:name w:val="Fiche financière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DatedadoptionPagedecouverture">
    <w:name w:val="Date d'adoption (Page de couverture)"/>
    <w:basedOn w:val="Datedadoption"/>
    <w:next w:val="IntrtEEEPagedecouverture"/>
    <w:uiPriority w:val="1"/>
    <w:rsid w:val="00B4580D"/>
  </w:style>
  <w:style w:type="paragraph" w:customStyle="1" w:styleId="RfrenceinterinstitutionnellePagedecouverture">
    <w:name w:val="Référence interinstitutionnelle (Page de couverture)"/>
    <w:basedOn w:val="Rfrenceinterinstitutionnelle"/>
    <w:next w:val="Confidentialit"/>
    <w:uiPriority w:val="1"/>
    <w:rsid w:val="00B4580D"/>
  </w:style>
  <w:style w:type="paragraph" w:customStyle="1" w:styleId="StatutPagedecouverture">
    <w:name w:val="Statut (Page de couverture)"/>
    <w:basedOn w:val="Statut"/>
    <w:next w:val="TypedudocumentPagedecouverture"/>
    <w:uiPriority w:val="1"/>
    <w:rsid w:val="00B4580D"/>
  </w:style>
  <w:style w:type="paragraph" w:customStyle="1" w:styleId="TypedudocumentPagedecouverture">
    <w:name w:val="Type du document (Page de couverture)"/>
    <w:basedOn w:val="Typedudocument"/>
    <w:next w:val="AccompagnantPagedecouverture"/>
    <w:uiPriority w:val="1"/>
    <w:rsid w:val="00B4580D"/>
  </w:style>
  <w:style w:type="paragraph" w:customStyle="1" w:styleId="Volume">
    <w:name w:val="Volume"/>
    <w:basedOn w:val="Normal"/>
    <w:next w:val="Confidentialit"/>
    <w:uiPriority w:val="1"/>
    <w:rsid w:val="14F0B435"/>
    <w:pPr>
      <w:keepNext/>
      <w:spacing w:after="0"/>
      <w:ind w:left="5103"/>
      <w:jc w:val="both"/>
    </w:pPr>
    <w:rPr>
      <w:rFonts w:ascii="Times New Roman" w:eastAsiaTheme="minorEastAsia" w:hAnsi="Times New Roman" w:cs="Times New Roman"/>
      <w:sz w:val="24"/>
    </w:rPr>
  </w:style>
  <w:style w:type="paragraph" w:customStyle="1" w:styleId="IntrtEEE">
    <w:name w:val="Intérêt EEE"/>
    <w:basedOn w:val="Languesfaisantfoi"/>
    <w:next w:val="Normal"/>
    <w:uiPriority w:val="1"/>
    <w:rsid w:val="00B4580D"/>
  </w:style>
  <w:style w:type="paragraph" w:customStyle="1" w:styleId="Accompagnant">
    <w:name w:val="Accompagnant"/>
    <w:basedOn w:val="Normal"/>
    <w:next w:val="Typeacteprincipal"/>
    <w:uiPriority w:val="1"/>
    <w:rsid w:val="14F0B435"/>
    <w:pPr>
      <w:keepNext/>
      <w:spacing w:before="180" w:after="0"/>
      <w:jc w:val="center"/>
    </w:pPr>
    <w:rPr>
      <w:rFonts w:ascii="Times New Roman" w:eastAsiaTheme="minorEastAsia" w:hAnsi="Times New Roman" w:cs="Times New Roman"/>
      <w:b/>
      <w:sz w:val="24"/>
    </w:rPr>
  </w:style>
  <w:style w:type="paragraph" w:customStyle="1" w:styleId="Typeacteprincipal">
    <w:name w:val="Type acte principal"/>
    <w:basedOn w:val="Normal"/>
    <w:next w:val="Objetacteprincipal"/>
    <w:uiPriority w:val="1"/>
    <w:rsid w:val="14F0B435"/>
    <w:pPr>
      <w:keepNext/>
      <w:spacing w:after="0"/>
      <w:jc w:val="center"/>
    </w:pPr>
    <w:rPr>
      <w:rFonts w:ascii="Times New Roman" w:eastAsiaTheme="minorEastAsia" w:hAnsi="Times New Roman" w:cs="Times New Roman"/>
      <w:b/>
      <w:sz w:val="24"/>
    </w:rPr>
  </w:style>
  <w:style w:type="paragraph" w:customStyle="1" w:styleId="Objetacteprincipal">
    <w:name w:val="Objet acte principal"/>
    <w:basedOn w:val="Normal"/>
    <w:next w:val="Titrearticle"/>
    <w:uiPriority w:val="1"/>
    <w:rsid w:val="14F0B435"/>
    <w:pPr>
      <w:keepNext/>
      <w:spacing w:after="360"/>
      <w:jc w:val="center"/>
    </w:pPr>
    <w:rPr>
      <w:rFonts w:ascii="Times New Roman" w:eastAsiaTheme="minorEastAsia" w:hAnsi="Times New Roman" w:cs="Times New Roman"/>
      <w:b/>
      <w:sz w:val="24"/>
    </w:rPr>
  </w:style>
  <w:style w:type="paragraph" w:customStyle="1" w:styleId="IntrtEEEPagedecouverture">
    <w:name w:val="Intérêt EEE (Page de couverture)"/>
    <w:basedOn w:val="IntrtEEE"/>
    <w:next w:val="Rfrencecroise"/>
    <w:uiPriority w:val="1"/>
    <w:rsid w:val="00B4580D"/>
  </w:style>
  <w:style w:type="paragraph" w:customStyle="1" w:styleId="AccompagnantPagedecouverture">
    <w:name w:val="Accompagnant (Page de couverture)"/>
    <w:basedOn w:val="Accompagnant"/>
    <w:next w:val="TypeacteprincipalPagedecouverture"/>
    <w:uiPriority w:val="1"/>
    <w:rsid w:val="00B4580D"/>
  </w:style>
  <w:style w:type="paragraph" w:customStyle="1" w:styleId="TypeacteprincipalPagedecouverture">
    <w:name w:val="Type acte principal (Page de couverture)"/>
    <w:basedOn w:val="Typeacteprincipal"/>
    <w:next w:val="ObjetacteprincipalPagedecouverture"/>
    <w:uiPriority w:val="1"/>
    <w:rsid w:val="00B4580D"/>
  </w:style>
  <w:style w:type="paragraph" w:customStyle="1" w:styleId="ObjetacteprincipalPagedecouverture">
    <w:name w:val="Objet acte principal (Page de couverture)"/>
    <w:basedOn w:val="Objetacteprincipal"/>
    <w:next w:val="Rfrencecroise"/>
    <w:uiPriority w:val="1"/>
    <w:rsid w:val="00B4580D"/>
  </w:style>
  <w:style w:type="paragraph" w:customStyle="1" w:styleId="LanguesfaisantfoiPagedecouverture">
    <w:name w:val="Langues faisant foi (Page de couverture)"/>
    <w:basedOn w:val="Normal"/>
    <w:next w:val="Normal"/>
    <w:uiPriority w:val="1"/>
    <w:rsid w:val="14F0B435"/>
    <w:pPr>
      <w:keepNext/>
      <w:spacing w:before="360" w:after="0"/>
      <w:jc w:val="center"/>
    </w:pPr>
    <w:rPr>
      <w:rFonts w:ascii="Times New Roman" w:eastAsiaTheme="minorEastAsia" w:hAnsi="Times New Roman" w:cs="Times New Roman"/>
      <w:sz w:val="24"/>
    </w:rPr>
  </w:style>
  <w:style w:type="character" w:styleId="CommentReference">
    <w:name w:val="annotation reference"/>
    <w:basedOn w:val="DefaultParagraphFont"/>
    <w:uiPriority w:val="99"/>
    <w:unhideWhenUsed/>
    <w:rsid w:val="00B4580D"/>
    <w:rPr>
      <w:sz w:val="16"/>
    </w:rPr>
  </w:style>
  <w:style w:type="paragraph" w:styleId="CommentText">
    <w:name w:val="annotation text"/>
    <w:basedOn w:val="Normal"/>
    <w:link w:val="CommentTextChar"/>
    <w:uiPriority w:val="99"/>
    <w:unhideWhenUsed/>
    <w:rsid w:val="14F0B435"/>
    <w:pPr>
      <w:keepNext/>
      <w:spacing w:before="40" w:after="0"/>
      <w:jc w:val="both"/>
    </w:pPr>
    <w:rPr>
      <w:rFonts w:ascii="Times New Roman" w:eastAsiaTheme="minorEastAsia" w:hAnsi="Times New Roman" w:cs="Times New Roman"/>
      <w:sz w:val="20"/>
    </w:rPr>
  </w:style>
  <w:style w:type="character" w:customStyle="1" w:styleId="CommentTextChar">
    <w:name w:val="Comment Text Char"/>
    <w:basedOn w:val="DefaultParagraphFont"/>
    <w:link w:val="CommentText"/>
    <w:uiPriority w:val="99"/>
    <w:rsid w:val="00B4580D"/>
    <w:rPr>
      <w:rFonts w:ascii="Times New Roman" w:eastAsiaTheme="minorEastAsia" w:hAnsi="Times New Roman" w:cs="Times New Roman"/>
      <w:sz w:val="20"/>
    </w:rPr>
  </w:style>
  <w:style w:type="paragraph" w:styleId="ListParagraph">
    <w:name w:val="List Paragraph"/>
    <w:basedOn w:val="Normal"/>
    <w:link w:val="ListParagraphChar"/>
    <w:uiPriority w:val="34"/>
    <w:qFormat/>
    <w:rsid w:val="14F0B435"/>
    <w:pPr>
      <w:keepNext/>
      <w:spacing w:after="160"/>
      <w:ind w:left="1571" w:hanging="360"/>
      <w:contextualSpacing/>
      <w:jc w:val="both"/>
    </w:pPr>
    <w:rPr>
      <w:rFonts w:ascii="Times New Roman" w:eastAsiaTheme="minorEastAsia" w:hAnsi="Times New Roman" w:cs="Times New Roman"/>
      <w:sz w:val="24"/>
    </w:rPr>
  </w:style>
  <w:style w:type="character" w:customStyle="1" w:styleId="ListParagraphChar">
    <w:name w:val="List Paragraph Char"/>
    <w:basedOn w:val="DefaultParagraphFont"/>
    <w:link w:val="ListParagraph"/>
    <w:uiPriority w:val="1"/>
    <w:qFormat/>
    <w:rsid w:val="00B4580D"/>
    <w:rPr>
      <w:rFonts w:ascii="Times New Roman" w:eastAsiaTheme="minorEastAsia" w:hAnsi="Times New Roman" w:cs="Times New Roman"/>
      <w:sz w:val="24"/>
    </w:rPr>
  </w:style>
  <w:style w:type="character" w:styleId="IntenseEmphasis">
    <w:name w:val="Intense Emphasis"/>
    <w:basedOn w:val="DefaultParagraphFont"/>
    <w:uiPriority w:val="21"/>
    <w:qFormat/>
    <w:rsid w:val="00B4580D"/>
    <w:rPr>
      <w:i/>
      <w:color w:val="4F81BD" w:themeColor="accent1"/>
    </w:rPr>
  </w:style>
  <w:style w:type="paragraph" w:styleId="BalloonText">
    <w:name w:val="Balloon Text"/>
    <w:basedOn w:val="Normal"/>
    <w:link w:val="BalloonTextChar"/>
    <w:uiPriority w:val="99"/>
    <w:semiHidden/>
    <w:unhideWhenUsed/>
    <w:rsid w:val="14F0B435"/>
    <w:pPr>
      <w:keepNext/>
      <w:spacing w:after="0"/>
      <w:jc w:val="both"/>
    </w:pPr>
    <w:rPr>
      <w:rFonts w:ascii="Segoe UI" w:eastAsiaTheme="minorEastAsia" w:hAnsi="Segoe UI" w:cs="Segoe UI"/>
      <w:sz w:val="18"/>
    </w:rPr>
  </w:style>
  <w:style w:type="character" w:customStyle="1" w:styleId="BalloonTextChar">
    <w:name w:val="Balloon Text Char"/>
    <w:basedOn w:val="DefaultParagraphFont"/>
    <w:link w:val="BalloonText"/>
    <w:uiPriority w:val="99"/>
    <w:semiHidden/>
    <w:rsid w:val="00B4580D"/>
    <w:rPr>
      <w:rFonts w:ascii="Segoe UI" w:eastAsiaTheme="minorEastAsia" w:hAnsi="Segoe UI" w:cs="Segoe UI"/>
      <w:sz w:val="18"/>
    </w:rPr>
  </w:style>
  <w:style w:type="paragraph" w:styleId="ListBullet">
    <w:name w:val="List Bullet"/>
    <w:basedOn w:val="Normal"/>
    <w:uiPriority w:val="99"/>
    <w:semiHidden/>
    <w:unhideWhenUsed/>
    <w:rsid w:val="29DEDBAE"/>
    <w:pPr>
      <w:keepNext/>
      <w:numPr>
        <w:numId w:val="15"/>
      </w:numPr>
      <w:spacing w:before="40" w:after="0"/>
      <w:contextualSpacing/>
      <w:jc w:val="both"/>
    </w:pPr>
    <w:rPr>
      <w:rFonts w:ascii="Times New Roman" w:eastAsiaTheme="minorEastAsia" w:hAnsi="Times New Roman" w:cs="Times New Roman"/>
      <w:sz w:val="24"/>
    </w:rPr>
  </w:style>
  <w:style w:type="paragraph" w:styleId="ListBullet2">
    <w:name w:val="List Bullet 2"/>
    <w:basedOn w:val="Normal"/>
    <w:uiPriority w:val="99"/>
    <w:semiHidden/>
    <w:unhideWhenUsed/>
    <w:rsid w:val="29DEDBAE"/>
    <w:pPr>
      <w:keepNext/>
      <w:numPr>
        <w:numId w:val="16"/>
      </w:numPr>
      <w:spacing w:before="40" w:after="0"/>
      <w:contextualSpacing/>
      <w:jc w:val="both"/>
    </w:pPr>
    <w:rPr>
      <w:rFonts w:ascii="Times New Roman" w:eastAsiaTheme="minorEastAsia" w:hAnsi="Times New Roman" w:cs="Times New Roman"/>
      <w:sz w:val="24"/>
    </w:rPr>
  </w:style>
  <w:style w:type="paragraph" w:styleId="ListBullet3">
    <w:name w:val="List Bullet 3"/>
    <w:basedOn w:val="Normal"/>
    <w:uiPriority w:val="99"/>
    <w:semiHidden/>
    <w:unhideWhenUsed/>
    <w:rsid w:val="29DEDBAE"/>
    <w:pPr>
      <w:keepNext/>
      <w:numPr>
        <w:numId w:val="17"/>
      </w:numPr>
      <w:spacing w:before="40" w:after="0"/>
      <w:contextualSpacing/>
      <w:jc w:val="both"/>
    </w:pPr>
    <w:rPr>
      <w:rFonts w:ascii="Times New Roman" w:eastAsiaTheme="minorEastAsia" w:hAnsi="Times New Roman" w:cs="Times New Roman"/>
      <w:sz w:val="24"/>
    </w:rPr>
  </w:style>
  <w:style w:type="paragraph" w:styleId="ListBullet4">
    <w:name w:val="List Bullet 4"/>
    <w:basedOn w:val="Normal"/>
    <w:uiPriority w:val="99"/>
    <w:semiHidden/>
    <w:unhideWhenUsed/>
    <w:rsid w:val="29DEDBAE"/>
    <w:pPr>
      <w:keepNext/>
      <w:numPr>
        <w:numId w:val="18"/>
      </w:numPr>
      <w:spacing w:before="40" w:after="0"/>
      <w:contextualSpacing/>
      <w:jc w:val="both"/>
    </w:pPr>
    <w:rPr>
      <w:rFonts w:ascii="Times New Roman" w:eastAsiaTheme="minorEastAsia" w:hAnsi="Times New Roman" w:cs="Times New Roman"/>
      <w:sz w:val="24"/>
    </w:rPr>
  </w:style>
  <w:style w:type="paragraph" w:styleId="CommentSubject">
    <w:name w:val="annotation subject"/>
    <w:basedOn w:val="CommentText"/>
    <w:next w:val="CommentText"/>
    <w:link w:val="CommentSubjectChar"/>
    <w:uiPriority w:val="99"/>
    <w:semiHidden/>
    <w:unhideWhenUsed/>
    <w:rsid w:val="00B4580D"/>
    <w:rPr>
      <w:b/>
    </w:rPr>
  </w:style>
  <w:style w:type="character" w:customStyle="1" w:styleId="CommentSubjectChar">
    <w:name w:val="Comment Subject Char"/>
    <w:basedOn w:val="CommentTextChar"/>
    <w:link w:val="CommentSubject"/>
    <w:uiPriority w:val="99"/>
    <w:semiHidden/>
    <w:rsid w:val="00B4580D"/>
    <w:rPr>
      <w:rFonts w:ascii="Times New Roman" w:eastAsiaTheme="minorEastAsia" w:hAnsi="Times New Roman" w:cs="Times New Roman"/>
      <w:b/>
      <w:sz w:val="20"/>
    </w:rPr>
  </w:style>
  <w:style w:type="paragraph" w:styleId="Revision">
    <w:name w:val="Revision"/>
    <w:hidden/>
    <w:uiPriority w:val="99"/>
    <w:semiHidden/>
    <w:rsid w:val="00B4580D"/>
    <w:pPr>
      <w:spacing w:after="0" w:line="240" w:lineRule="auto"/>
    </w:pPr>
    <w:rPr>
      <w:rFonts w:ascii="Times New Roman" w:hAnsi="Times New Roman" w:cs="Times New Roman"/>
      <w:sz w:val="24"/>
    </w:rPr>
  </w:style>
  <w:style w:type="paragraph" w:customStyle="1" w:styleId="Default">
    <w:name w:val="Default"/>
    <w:rsid w:val="00B4580D"/>
    <w:pPr>
      <w:autoSpaceDE w:val="0"/>
      <w:autoSpaceDN w:val="0"/>
      <w:adjustRightInd w:val="0"/>
      <w:spacing w:after="0" w:line="240" w:lineRule="auto"/>
    </w:pPr>
    <w:rPr>
      <w:rFonts w:ascii="Times New Roman" w:hAnsi="Times New Roman" w:cs="Times New Roman"/>
      <w:color w:val="000000"/>
      <w:sz w:val="24"/>
    </w:rPr>
  </w:style>
  <w:style w:type="character" w:styleId="Hyperlink">
    <w:name w:val="Hyperlink"/>
    <w:basedOn w:val="DefaultParagraphFont"/>
    <w:uiPriority w:val="99"/>
    <w:unhideWhenUsed/>
    <w:rsid w:val="00B4580D"/>
    <w:rPr>
      <w:color w:val="0000FF" w:themeColor="hyperlink"/>
      <w:u w:val="single"/>
    </w:rPr>
  </w:style>
  <w:style w:type="paragraph" w:customStyle="1" w:styleId="paragraph">
    <w:name w:val="paragraph"/>
    <w:basedOn w:val="Normal"/>
    <w:rsid w:val="14F0B435"/>
    <w:pPr>
      <w:spacing w:beforeAutospacing="1" w:afterAutospacing="1"/>
      <w:ind w:left="851"/>
    </w:pPr>
    <w:rPr>
      <w:rFonts w:ascii="Times New Roman" w:eastAsia="Times New Roman" w:hAnsi="Times New Roman" w:cs="Times New Roman"/>
      <w:sz w:val="24"/>
    </w:rPr>
  </w:style>
  <w:style w:type="character" w:customStyle="1" w:styleId="normaltextrun">
    <w:name w:val="normaltextrun"/>
    <w:basedOn w:val="DefaultParagraphFont"/>
    <w:rsid w:val="00B4580D"/>
  </w:style>
  <w:style w:type="table" w:styleId="TableGrid">
    <w:name w:val="Table Grid"/>
    <w:basedOn w:val="TableNormal"/>
    <w:uiPriority w:val="59"/>
    <w:rsid w:val="00B458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B458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2">
    <w:name w:val="Body text|2_"/>
    <w:basedOn w:val="DefaultParagraphFont"/>
    <w:link w:val="Bodytext20"/>
    <w:rsid w:val="00B4580D"/>
    <w:rPr>
      <w:rFonts w:ascii="Calibri" w:eastAsia="Calibri" w:hAnsi="Calibri" w:cs="Calibri"/>
      <w:sz w:val="21"/>
      <w:shd w:val="clear" w:color="auto" w:fill="FFFFFF"/>
    </w:rPr>
  </w:style>
  <w:style w:type="character" w:customStyle="1" w:styleId="Bodytext2Italic">
    <w:name w:val="Body text|2 + Italic"/>
    <w:basedOn w:val="Bodytext2"/>
    <w:semiHidden/>
    <w:unhideWhenUsed/>
    <w:rsid w:val="00B4580D"/>
    <w:rPr>
      <w:rFonts w:ascii="Calibri" w:eastAsia="Calibri" w:hAnsi="Calibri" w:cs="Calibri"/>
      <w:i/>
      <w:color w:val="000000"/>
      <w:position w:val="0"/>
      <w:sz w:val="21"/>
      <w:shd w:val="clear" w:color="auto" w:fill="FFFFFF"/>
    </w:rPr>
  </w:style>
  <w:style w:type="character" w:customStyle="1" w:styleId="Heading81">
    <w:name w:val="Heading #8|1_"/>
    <w:basedOn w:val="DefaultParagraphFont"/>
    <w:link w:val="Heading810"/>
    <w:rsid w:val="00B4580D"/>
    <w:rPr>
      <w:rFonts w:ascii="Calibri" w:eastAsia="Calibri" w:hAnsi="Calibri" w:cs="Calibri"/>
      <w:b/>
      <w:sz w:val="21"/>
      <w:shd w:val="clear" w:color="auto" w:fill="FFFFFF"/>
    </w:rPr>
  </w:style>
  <w:style w:type="paragraph" w:customStyle="1" w:styleId="Bodytext20">
    <w:name w:val="Body text|2"/>
    <w:basedOn w:val="Normal"/>
    <w:link w:val="Bodytext2"/>
    <w:qFormat/>
    <w:rsid w:val="00B4580D"/>
    <w:pPr>
      <w:widowControl w:val="0"/>
      <w:shd w:val="clear" w:color="auto" w:fill="FFFFFF"/>
      <w:spacing w:before="140" w:after="140" w:line="226" w:lineRule="exact"/>
      <w:ind w:hanging="640"/>
    </w:pPr>
    <w:rPr>
      <w:rFonts w:ascii="Calibri" w:eastAsia="Calibri" w:hAnsi="Calibri" w:cs="Calibri"/>
      <w:sz w:val="21"/>
    </w:rPr>
  </w:style>
  <w:style w:type="paragraph" w:customStyle="1" w:styleId="Heading810">
    <w:name w:val="Heading #8|1"/>
    <w:basedOn w:val="Normal"/>
    <w:link w:val="Heading81"/>
    <w:qFormat/>
    <w:rsid w:val="00B4580D"/>
    <w:pPr>
      <w:widowControl w:val="0"/>
      <w:shd w:val="clear" w:color="auto" w:fill="FFFFFF"/>
      <w:spacing w:before="120" w:after="0" w:line="256" w:lineRule="exact"/>
      <w:ind w:hanging="580"/>
      <w:outlineLvl w:val="7"/>
    </w:pPr>
    <w:rPr>
      <w:rFonts w:ascii="Calibri" w:eastAsia="Calibri" w:hAnsi="Calibri" w:cs="Calibri"/>
      <w:b/>
      <w:sz w:val="21"/>
    </w:rPr>
  </w:style>
  <w:style w:type="character" w:customStyle="1" w:styleId="eop">
    <w:name w:val="eop"/>
    <w:basedOn w:val="DefaultParagraphFont"/>
    <w:rsid w:val="00B4580D"/>
  </w:style>
  <w:style w:type="character" w:customStyle="1" w:styleId="Heading81NotBold">
    <w:name w:val="Heading #8|1 + Not Bold"/>
    <w:basedOn w:val="Heading81"/>
    <w:semiHidden/>
    <w:unhideWhenUsed/>
    <w:rsid w:val="00B4580D"/>
    <w:rPr>
      <w:rFonts w:ascii="Calibri" w:eastAsia="Calibri" w:hAnsi="Calibri" w:cs="Calibri"/>
      <w:b/>
      <w:i w:val="0"/>
      <w:smallCaps w:val="0"/>
      <w:strike w:val="0"/>
      <w:color w:val="000000"/>
      <w:position w:val="0"/>
      <w:sz w:val="21"/>
      <w:u w:val="none"/>
      <w:shd w:val="clear" w:color="auto" w:fill="FFFFFF"/>
    </w:rPr>
  </w:style>
  <w:style w:type="character" w:customStyle="1" w:styleId="Bodytext2Bold">
    <w:name w:val="Body text|2 + Bold"/>
    <w:basedOn w:val="Bodytext2"/>
    <w:semiHidden/>
    <w:unhideWhenUsed/>
    <w:rsid w:val="00B4580D"/>
    <w:rPr>
      <w:rFonts w:ascii="Calibri" w:eastAsia="Calibri" w:hAnsi="Calibri" w:cs="Calibri"/>
      <w:b/>
      <w:i w:val="0"/>
      <w:smallCaps w:val="0"/>
      <w:strike w:val="0"/>
      <w:color w:val="000000"/>
      <w:position w:val="0"/>
      <w:sz w:val="21"/>
      <w:u w:val="none"/>
      <w:shd w:val="clear" w:color="auto" w:fill="FFFFFF"/>
    </w:rPr>
  </w:style>
  <w:style w:type="character" w:customStyle="1" w:styleId="Bodytext2Arial95ptBold">
    <w:name w:val="Body text|2 + Arial;9.5 pt;Bold"/>
    <w:basedOn w:val="Bodytext2"/>
    <w:semiHidden/>
    <w:unhideWhenUsed/>
    <w:rsid w:val="00B4580D"/>
    <w:rPr>
      <w:rFonts w:ascii="Arial" w:eastAsia="Arial" w:hAnsi="Arial" w:cs="Arial"/>
      <w:b/>
      <w:i w:val="0"/>
      <w:smallCaps w:val="0"/>
      <w:strike w:val="0"/>
      <w:color w:val="000000"/>
      <w:position w:val="0"/>
      <w:sz w:val="19"/>
      <w:u w:val="none"/>
      <w:shd w:val="clear" w:color="auto" w:fill="FFFFFF"/>
    </w:rPr>
  </w:style>
  <w:style w:type="character" w:customStyle="1" w:styleId="Tablecaption7">
    <w:name w:val="Table caption|7_"/>
    <w:basedOn w:val="DefaultParagraphFont"/>
    <w:link w:val="Tablecaption70"/>
    <w:rsid w:val="00B4580D"/>
    <w:rPr>
      <w:rFonts w:ascii="Calibri" w:eastAsia="Calibri" w:hAnsi="Calibri" w:cs="Calibri"/>
      <w:sz w:val="21"/>
      <w:shd w:val="clear" w:color="auto" w:fill="FFFFFF"/>
    </w:rPr>
  </w:style>
  <w:style w:type="character" w:customStyle="1" w:styleId="Heading71NotBold">
    <w:name w:val="Heading #7|1 + Not Bold"/>
    <w:basedOn w:val="DefaultParagraphFont"/>
    <w:semiHidden/>
    <w:unhideWhenUsed/>
    <w:rsid w:val="00B4580D"/>
    <w:rPr>
      <w:rFonts w:ascii="Calibri" w:eastAsia="Calibri" w:hAnsi="Calibri" w:cs="Calibri"/>
      <w:b/>
      <w:i w:val="0"/>
      <w:smallCaps w:val="0"/>
      <w:strike w:val="0"/>
      <w:color w:val="000000"/>
      <w:position w:val="0"/>
      <w:sz w:val="21"/>
      <w:u w:val="none"/>
    </w:rPr>
  </w:style>
  <w:style w:type="paragraph" w:customStyle="1" w:styleId="Tablecaption70">
    <w:name w:val="Table caption|7"/>
    <w:basedOn w:val="Normal"/>
    <w:link w:val="Tablecaption7"/>
    <w:rsid w:val="00B4580D"/>
    <w:pPr>
      <w:widowControl w:val="0"/>
      <w:shd w:val="clear" w:color="auto" w:fill="FFFFFF"/>
      <w:spacing w:after="0" w:line="256" w:lineRule="exact"/>
    </w:pPr>
    <w:rPr>
      <w:rFonts w:ascii="Calibri" w:eastAsia="Calibri" w:hAnsi="Calibri" w:cs="Calibri"/>
      <w:sz w:val="21"/>
    </w:rPr>
  </w:style>
  <w:style w:type="paragraph" w:customStyle="1" w:styleId="LegalNumPar">
    <w:name w:val="LegalNumPar"/>
    <w:basedOn w:val="Normal"/>
    <w:uiPriority w:val="1"/>
    <w:rsid w:val="14F0B435"/>
    <w:pPr>
      <w:keepNext/>
      <w:spacing w:before="40" w:after="0"/>
      <w:ind w:left="476" w:hanging="476"/>
      <w:jc w:val="both"/>
    </w:pPr>
    <w:rPr>
      <w:rFonts w:ascii="Times New Roman" w:eastAsiaTheme="minorEastAsia" w:hAnsi="Times New Roman" w:cs="Times New Roman"/>
      <w:sz w:val="24"/>
    </w:rPr>
  </w:style>
  <w:style w:type="paragraph" w:customStyle="1" w:styleId="LegalNumPar2">
    <w:name w:val="LegalNumPar2"/>
    <w:basedOn w:val="Normal"/>
    <w:uiPriority w:val="1"/>
    <w:rsid w:val="14F0B435"/>
    <w:pPr>
      <w:keepNext/>
      <w:spacing w:before="40" w:after="0"/>
      <w:ind w:left="953" w:hanging="477"/>
      <w:jc w:val="both"/>
    </w:pPr>
    <w:rPr>
      <w:rFonts w:ascii="Times New Roman" w:eastAsiaTheme="minorEastAsia" w:hAnsi="Times New Roman" w:cs="Times New Roman"/>
      <w:sz w:val="24"/>
    </w:rPr>
  </w:style>
  <w:style w:type="paragraph" w:customStyle="1" w:styleId="LegalNumPar3">
    <w:name w:val="LegalNumPar3"/>
    <w:basedOn w:val="Normal"/>
    <w:uiPriority w:val="1"/>
    <w:rsid w:val="14F0B435"/>
    <w:pPr>
      <w:keepNext/>
      <w:spacing w:before="40" w:after="0"/>
      <w:ind w:left="1429" w:hanging="476"/>
      <w:jc w:val="both"/>
    </w:pPr>
    <w:rPr>
      <w:rFonts w:ascii="Times New Roman" w:eastAsiaTheme="minorEastAsia" w:hAnsi="Times New Roman" w:cs="Times New Roman"/>
      <w:sz w:val="24"/>
    </w:rPr>
  </w:style>
  <w:style w:type="paragraph" w:styleId="NormalWeb">
    <w:name w:val="Normal (Web)"/>
    <w:basedOn w:val="Normal"/>
    <w:uiPriority w:val="99"/>
    <w:semiHidden/>
    <w:unhideWhenUsed/>
    <w:rsid w:val="14F0B435"/>
    <w:pPr>
      <w:spacing w:beforeAutospacing="1" w:afterAutospacing="1"/>
    </w:pPr>
    <w:rPr>
      <w:rFonts w:ascii="Times New Roman" w:eastAsia="Times New Roman" w:hAnsi="Times New Roman" w:cs="Times New Roman"/>
      <w:sz w:val="24"/>
    </w:rPr>
  </w:style>
  <w:style w:type="character" w:styleId="Strong">
    <w:name w:val="Strong"/>
    <w:basedOn w:val="DefaultParagraphFont"/>
    <w:uiPriority w:val="22"/>
    <w:qFormat/>
    <w:rsid w:val="00B4580D"/>
    <w:rPr>
      <w:b/>
    </w:rPr>
  </w:style>
  <w:style w:type="character" w:customStyle="1" w:styleId="h5">
    <w:name w:val="h5"/>
    <w:basedOn w:val="DefaultParagraphFont"/>
    <w:rsid w:val="00B4580D"/>
  </w:style>
  <w:style w:type="character" w:customStyle="1" w:styleId="viiyi">
    <w:name w:val="viiyi"/>
    <w:basedOn w:val="DefaultParagraphFont"/>
    <w:rsid w:val="00B4580D"/>
  </w:style>
  <w:style w:type="character" w:customStyle="1" w:styleId="jlqj4b">
    <w:name w:val="jlqj4b"/>
    <w:basedOn w:val="DefaultParagraphFont"/>
    <w:rsid w:val="00B4580D"/>
  </w:style>
  <w:style w:type="paragraph" w:customStyle="1" w:styleId="oj-doc-ti">
    <w:name w:val="oj-doc-ti"/>
    <w:basedOn w:val="Normal"/>
    <w:uiPriority w:val="1"/>
    <w:rsid w:val="14F0B435"/>
    <w:pPr>
      <w:spacing w:beforeAutospacing="1" w:afterAutospacing="1"/>
    </w:pPr>
    <w:rPr>
      <w:rFonts w:ascii="Times New Roman" w:eastAsia="Times New Roman" w:hAnsi="Times New Roman" w:cs="Times New Roman"/>
      <w:sz w:val="24"/>
    </w:rPr>
  </w:style>
  <w:style w:type="character" w:customStyle="1" w:styleId="acopre">
    <w:name w:val="acopre"/>
    <w:basedOn w:val="DefaultParagraphFont"/>
    <w:rsid w:val="00B4580D"/>
  </w:style>
  <w:style w:type="character" w:styleId="FollowedHyperlink">
    <w:name w:val="FollowedHyperlink"/>
    <w:basedOn w:val="DefaultParagraphFont"/>
    <w:uiPriority w:val="99"/>
    <w:semiHidden/>
    <w:unhideWhenUsed/>
    <w:rsid w:val="00B4580D"/>
    <w:rPr>
      <w:color w:val="800080" w:themeColor="followedHyperlink"/>
      <w:u w:val="single"/>
    </w:rPr>
  </w:style>
  <w:style w:type="character" w:styleId="PlaceholderText">
    <w:name w:val="Placeholder Text"/>
    <w:basedOn w:val="DefaultParagraphFont"/>
    <w:uiPriority w:val="99"/>
    <w:semiHidden/>
    <w:rsid w:val="00B4580D"/>
    <w:rPr>
      <w:color w:val="808080"/>
    </w:rPr>
  </w:style>
  <w:style w:type="paragraph" w:customStyle="1" w:styleId="FooterCoverPage">
    <w:name w:val="Footer Cover Page"/>
    <w:basedOn w:val="Normal"/>
    <w:link w:val="FooterCoverPageChar"/>
    <w:uiPriority w:val="1"/>
    <w:rsid w:val="14F0B435"/>
    <w:pPr>
      <w:keepNext/>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uiPriority w:val="1"/>
    <w:rsid w:val="00B4580D"/>
    <w:rPr>
      <w:rFonts w:ascii="Times New Roman" w:hAnsi="Times New Roman" w:cs="Times New Roman"/>
      <w:sz w:val="24"/>
    </w:rPr>
  </w:style>
  <w:style w:type="paragraph" w:customStyle="1" w:styleId="HeaderCoverPage">
    <w:name w:val="Header Cover Page"/>
    <w:basedOn w:val="Normal"/>
    <w:link w:val="HeaderCoverPageChar"/>
    <w:uiPriority w:val="1"/>
    <w:rsid w:val="14F0B435"/>
    <w:pPr>
      <w:keepNext/>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uiPriority w:val="1"/>
    <w:rsid w:val="00B4580D"/>
    <w:rPr>
      <w:rFonts w:ascii="Times New Roman" w:hAnsi="Times New Roman" w:cs="Times New Roman"/>
      <w:sz w:val="24"/>
    </w:rPr>
  </w:style>
  <w:style w:type="paragraph" w:styleId="NoSpacing">
    <w:name w:val="No Spacing"/>
    <w:uiPriority w:val="1"/>
    <w:qFormat/>
    <w:rsid w:val="00B4580D"/>
    <w:pPr>
      <w:spacing w:after="0" w:line="240" w:lineRule="auto"/>
    </w:pPr>
  </w:style>
  <w:style w:type="paragraph" w:customStyle="1" w:styleId="TechnicalBlock">
    <w:name w:val="Technical Block"/>
    <w:basedOn w:val="Pagedecouverture"/>
    <w:link w:val="TechnicalBlockChar"/>
    <w:uiPriority w:val="1"/>
    <w:rsid w:val="14F0B435"/>
    <w:pPr>
      <w:spacing w:after="240"/>
      <w:jc w:val="center"/>
    </w:pPr>
  </w:style>
  <w:style w:type="character" w:customStyle="1" w:styleId="PagedecouvertureChar">
    <w:name w:val="Page de couverture Char"/>
    <w:basedOn w:val="DefaultParagraphFont"/>
    <w:link w:val="Pagedecouverture"/>
    <w:uiPriority w:val="1"/>
    <w:rsid w:val="00B4580D"/>
    <w:rPr>
      <w:rFonts w:ascii="Times New Roman" w:eastAsiaTheme="minorEastAsia" w:hAnsi="Times New Roman" w:cs="Times New Roman"/>
      <w:sz w:val="24"/>
    </w:rPr>
  </w:style>
  <w:style w:type="character" w:customStyle="1" w:styleId="TechnicalBlockChar">
    <w:name w:val="Technical Block Char"/>
    <w:basedOn w:val="PagedecouvertureChar"/>
    <w:link w:val="TechnicalBlock"/>
    <w:uiPriority w:val="1"/>
    <w:rsid w:val="00B4580D"/>
    <w:rPr>
      <w:rFonts w:ascii="Times New Roman" w:eastAsiaTheme="minorEastAsia" w:hAnsi="Times New Roman" w:cs="Times New Roman"/>
      <w:sz w:val="24"/>
    </w:rPr>
  </w:style>
  <w:style w:type="paragraph" w:customStyle="1" w:styleId="EntText">
    <w:name w:val="EntText"/>
    <w:basedOn w:val="Normal"/>
    <w:uiPriority w:val="1"/>
    <w:rsid w:val="14F0B435"/>
    <w:pPr>
      <w:spacing w:before="120" w:after="120"/>
    </w:pPr>
    <w:rPr>
      <w:rFonts w:ascii="Times New Roman" w:eastAsiaTheme="minorEastAsia" w:hAnsi="Times New Roman" w:cs="Times New Roman"/>
      <w:sz w:val="24"/>
    </w:rPr>
  </w:style>
  <w:style w:type="paragraph" w:customStyle="1" w:styleId="Lignefinal">
    <w:name w:val="Ligne final"/>
    <w:basedOn w:val="Normal"/>
    <w:next w:val="Normal"/>
    <w:uiPriority w:val="1"/>
    <w:rsid w:val="14F0B435"/>
    <w:pPr>
      <w:spacing w:before="360" w:after="120"/>
      <w:ind w:left="3400" w:right="3400"/>
      <w:jc w:val="center"/>
    </w:pPr>
    <w:rPr>
      <w:rFonts w:ascii="Times New Roman" w:eastAsiaTheme="minorEastAsia" w:hAnsi="Times New Roman" w:cs="Times New Roman"/>
      <w:b/>
      <w:sz w:val="24"/>
    </w:rPr>
  </w:style>
  <w:style w:type="paragraph" w:customStyle="1" w:styleId="pj">
    <w:name w:val="p.j."/>
    <w:basedOn w:val="Normal"/>
    <w:link w:val="pjChar"/>
    <w:uiPriority w:val="1"/>
    <w:rsid w:val="14F0B435"/>
    <w:pPr>
      <w:spacing w:before="1200" w:after="120"/>
      <w:ind w:left="1440" w:hanging="1440"/>
    </w:pPr>
    <w:rPr>
      <w:rFonts w:ascii="Times New Roman" w:eastAsiaTheme="minorEastAsia" w:hAnsi="Times New Roman" w:cs="Times New Roman"/>
      <w:sz w:val="24"/>
    </w:rPr>
  </w:style>
  <w:style w:type="character" w:customStyle="1" w:styleId="pjChar">
    <w:name w:val="p.j. Char"/>
    <w:basedOn w:val="PagedecouvertureChar"/>
    <w:link w:val="pj"/>
    <w:uiPriority w:val="1"/>
    <w:rsid w:val="00B4580D"/>
    <w:rPr>
      <w:rFonts w:ascii="Times New Roman" w:eastAsiaTheme="minorEastAsia" w:hAnsi="Times New Roman" w:cs="Times New Roman"/>
      <w:sz w:val="24"/>
    </w:rPr>
  </w:style>
  <w:style w:type="paragraph" w:customStyle="1" w:styleId="nbbordered">
    <w:name w:val="nb bordered"/>
    <w:basedOn w:val="Normal"/>
    <w:link w:val="nbborderedChar"/>
    <w:uiPriority w:val="1"/>
    <w:rsid w:val="14F0B435"/>
    <w:pPr>
      <w:spacing w:after="160"/>
      <w:ind w:left="480" w:hanging="480"/>
    </w:pPr>
    <w:rPr>
      <w:rFonts w:ascii="Times New Roman" w:eastAsiaTheme="minorEastAsia" w:hAnsi="Times New Roman" w:cs="Times New Roman"/>
      <w:b/>
      <w:sz w:val="24"/>
    </w:rPr>
  </w:style>
  <w:style w:type="character" w:customStyle="1" w:styleId="nbborderedChar">
    <w:name w:val="nb bordered Char"/>
    <w:basedOn w:val="PagedecouvertureChar"/>
    <w:link w:val="nbbordered"/>
    <w:uiPriority w:val="1"/>
    <w:rsid w:val="00B4580D"/>
    <w:rPr>
      <w:rFonts w:ascii="Times New Roman" w:eastAsiaTheme="minorEastAsia" w:hAnsi="Times New Roman" w:cs="Times New Roman"/>
      <w:b/>
      <w:sz w:val="24"/>
    </w:rPr>
  </w:style>
  <w:style w:type="paragraph" w:customStyle="1" w:styleId="HeaderCouncil">
    <w:name w:val="Header Council"/>
    <w:basedOn w:val="Normal"/>
    <w:link w:val="HeaderCouncilChar"/>
    <w:uiPriority w:val="1"/>
    <w:rsid w:val="00B4580D"/>
    <w:pPr>
      <w:spacing w:after="0"/>
    </w:pPr>
    <w:rPr>
      <w:sz w:val="2"/>
    </w:rPr>
  </w:style>
  <w:style w:type="character" w:customStyle="1" w:styleId="HeaderCouncilChar">
    <w:name w:val="Header Council Char"/>
    <w:basedOn w:val="DefaultParagraphFont"/>
    <w:link w:val="HeaderCouncil"/>
    <w:rsid w:val="00B4580D"/>
    <w:rPr>
      <w:sz w:val="2"/>
    </w:rPr>
  </w:style>
  <w:style w:type="paragraph" w:customStyle="1" w:styleId="HeaderCouncilLarge">
    <w:name w:val="Header Council Large"/>
    <w:basedOn w:val="Normal"/>
    <w:link w:val="HeaderCouncilLargeChar"/>
    <w:uiPriority w:val="1"/>
    <w:rsid w:val="00B4580D"/>
    <w:pPr>
      <w:spacing w:after="440"/>
    </w:pPr>
    <w:rPr>
      <w:sz w:val="2"/>
    </w:rPr>
  </w:style>
  <w:style w:type="character" w:customStyle="1" w:styleId="HeaderCouncilLargeChar">
    <w:name w:val="Header Council Large Char"/>
    <w:basedOn w:val="DefaultParagraphFont"/>
    <w:link w:val="HeaderCouncilLarge"/>
    <w:rsid w:val="00B4580D"/>
    <w:rPr>
      <w:sz w:val="2"/>
    </w:rPr>
  </w:style>
  <w:style w:type="paragraph" w:customStyle="1" w:styleId="FooterCouncil">
    <w:name w:val="Footer Council"/>
    <w:basedOn w:val="Normal"/>
    <w:link w:val="FooterCouncilChar"/>
    <w:uiPriority w:val="1"/>
    <w:rsid w:val="00B4580D"/>
    <w:pPr>
      <w:spacing w:after="0"/>
    </w:pPr>
    <w:rPr>
      <w:sz w:val="2"/>
    </w:rPr>
  </w:style>
  <w:style w:type="character" w:customStyle="1" w:styleId="FooterCouncilChar">
    <w:name w:val="Footer Council Char"/>
    <w:basedOn w:val="DefaultParagraphFont"/>
    <w:link w:val="FooterCouncil"/>
    <w:rsid w:val="00B4580D"/>
    <w:rPr>
      <w:sz w:val="2"/>
    </w:rPr>
  </w:style>
  <w:style w:type="paragraph" w:customStyle="1" w:styleId="FooterText">
    <w:name w:val="Footer Text"/>
    <w:basedOn w:val="Normal"/>
    <w:uiPriority w:val="1"/>
    <w:rsid w:val="14F0B435"/>
    <w:pPr>
      <w:spacing w:after="0"/>
    </w:pPr>
    <w:rPr>
      <w:rFonts w:ascii="Times New Roman" w:eastAsia="Times New Roman" w:hAnsi="Times New Roman" w:cs="Times New Roman"/>
      <w:sz w:val="24"/>
    </w:rPr>
  </w:style>
  <w:style w:type="character" w:customStyle="1" w:styleId="Bodytext1">
    <w:name w:val="Body text|1_"/>
    <w:basedOn w:val="DefaultParagraphFont"/>
    <w:link w:val="Bodytext10"/>
    <w:rsid w:val="001707B2"/>
    <w:rPr>
      <w:rFonts w:ascii="Arial" w:eastAsia="Arial" w:hAnsi="Arial" w:cs="Arial"/>
      <w:sz w:val="20"/>
    </w:rPr>
  </w:style>
  <w:style w:type="paragraph" w:customStyle="1" w:styleId="Bodytext10">
    <w:name w:val="Body text|1"/>
    <w:basedOn w:val="Normal"/>
    <w:link w:val="Bodytext1"/>
    <w:rsid w:val="001707B2"/>
    <w:pPr>
      <w:widowControl w:val="0"/>
      <w:spacing w:after="260"/>
    </w:pPr>
    <w:rPr>
      <w:rFonts w:ascii="Arial" w:eastAsia="Arial" w:hAnsi="Arial" w:cs="Arial"/>
      <w:sz w:val="20"/>
    </w:rPr>
  </w:style>
  <w:style w:type="character" w:customStyle="1" w:styleId="Other1">
    <w:name w:val="Other|1_"/>
    <w:basedOn w:val="DefaultParagraphFont"/>
    <w:link w:val="Other10"/>
    <w:rsid w:val="00B24A83"/>
    <w:rPr>
      <w:rFonts w:ascii="Arial" w:eastAsia="Arial" w:hAnsi="Arial" w:cs="Arial"/>
      <w:sz w:val="20"/>
    </w:rPr>
  </w:style>
  <w:style w:type="paragraph" w:customStyle="1" w:styleId="Other10">
    <w:name w:val="Other|1"/>
    <w:basedOn w:val="Normal"/>
    <w:link w:val="Other1"/>
    <w:rsid w:val="00B24A83"/>
    <w:pPr>
      <w:widowControl w:val="0"/>
      <w:spacing w:after="0"/>
    </w:pPr>
    <w:rPr>
      <w:rFonts w:ascii="Arial" w:eastAsia="Arial" w:hAnsi="Arial" w:cs="Arial"/>
      <w:sz w:val="20"/>
    </w:rPr>
  </w:style>
  <w:style w:type="character" w:customStyle="1" w:styleId="Mention1">
    <w:name w:val="Mention1"/>
    <w:basedOn w:val="DefaultParagraphFont"/>
    <w:uiPriority w:val="99"/>
    <w:unhideWhenUsed/>
    <w:rsid w:val="005109BE"/>
    <w:rPr>
      <w:color w:val="2B579A"/>
      <w:shd w:val="clear" w:color="auto" w:fill="E6E6E6"/>
    </w:rPr>
  </w:style>
  <w:style w:type="character" w:customStyle="1" w:styleId="UnresolvedMention1">
    <w:name w:val="Unresolved Mention1"/>
    <w:basedOn w:val="DefaultParagraphFont"/>
    <w:uiPriority w:val="99"/>
    <w:unhideWhenUsed/>
    <w:rsid w:val="005109BE"/>
    <w:rPr>
      <w:color w:val="605E5C"/>
      <w:shd w:val="clear" w:color="auto" w:fill="E1DFDD"/>
    </w:rPr>
  </w:style>
  <w:style w:type="character" w:customStyle="1" w:styleId="UnresolvedMention2">
    <w:name w:val="Unresolved Mention2"/>
    <w:basedOn w:val="DefaultParagraphFont"/>
    <w:uiPriority w:val="99"/>
    <w:unhideWhenUsed/>
    <w:rsid w:val="00BE3CE5"/>
    <w:rPr>
      <w:color w:val="605E5C"/>
      <w:shd w:val="clear" w:color="auto" w:fill="E1DFDD"/>
    </w:rPr>
  </w:style>
  <w:style w:type="character" w:customStyle="1" w:styleId="Mention2">
    <w:name w:val="Mention2"/>
    <w:basedOn w:val="DefaultParagraphFont"/>
    <w:uiPriority w:val="99"/>
    <w:unhideWhenUsed/>
    <w:rsid w:val="00BE3CE5"/>
    <w:rPr>
      <w:color w:val="2B579A"/>
      <w:shd w:val="clear" w:color="auto" w:fill="E1DFDD"/>
    </w:rPr>
  </w:style>
  <w:style w:type="character" w:customStyle="1" w:styleId="Heading5Char">
    <w:name w:val="Heading 5 Char"/>
    <w:basedOn w:val="DefaultParagraphFont"/>
    <w:link w:val="Heading5"/>
    <w:uiPriority w:val="9"/>
    <w:rsid w:val="00510B5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510B5B"/>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510B5B"/>
    <w:rPr>
      <w:rFonts w:asciiTheme="majorHAnsi" w:eastAsiaTheme="majorEastAsia" w:hAnsiTheme="majorHAnsi" w:cstheme="majorBidi"/>
      <w:i/>
      <w:color w:val="243F60"/>
    </w:rPr>
  </w:style>
  <w:style w:type="character" w:customStyle="1" w:styleId="Heading8Char">
    <w:name w:val="Heading 8 Char"/>
    <w:basedOn w:val="DefaultParagraphFont"/>
    <w:link w:val="Heading8"/>
    <w:uiPriority w:val="9"/>
    <w:rsid w:val="00510B5B"/>
    <w:rPr>
      <w:rFonts w:asciiTheme="majorHAnsi" w:eastAsiaTheme="majorEastAsia" w:hAnsiTheme="majorHAnsi" w:cstheme="majorBidi"/>
      <w:color w:val="272727"/>
      <w:sz w:val="21"/>
    </w:rPr>
  </w:style>
  <w:style w:type="character" w:customStyle="1" w:styleId="Heading9Char">
    <w:name w:val="Heading 9 Char"/>
    <w:basedOn w:val="DefaultParagraphFont"/>
    <w:link w:val="Heading9"/>
    <w:uiPriority w:val="9"/>
    <w:rsid w:val="00510B5B"/>
    <w:rPr>
      <w:rFonts w:asciiTheme="majorHAnsi" w:eastAsiaTheme="majorEastAsia" w:hAnsiTheme="majorHAnsi" w:cstheme="majorBidi"/>
      <w:i/>
      <w:color w:val="272727"/>
      <w:sz w:val="21"/>
    </w:rPr>
  </w:style>
  <w:style w:type="paragraph" w:styleId="Title">
    <w:name w:val="Title"/>
    <w:basedOn w:val="Normal"/>
    <w:next w:val="Normal"/>
    <w:link w:val="TitleChar"/>
    <w:uiPriority w:val="10"/>
    <w:qFormat/>
    <w:rsid w:val="00510B5B"/>
    <w:pPr>
      <w:spacing w:after="0"/>
      <w:contextualSpacing/>
    </w:pPr>
    <w:rPr>
      <w:rFonts w:asciiTheme="majorHAnsi" w:eastAsiaTheme="majorEastAsia" w:hAnsiTheme="majorHAnsi" w:cstheme="majorBidi"/>
      <w:sz w:val="56"/>
    </w:rPr>
  </w:style>
  <w:style w:type="character" w:customStyle="1" w:styleId="TitleChar">
    <w:name w:val="Title Char"/>
    <w:basedOn w:val="DefaultParagraphFont"/>
    <w:link w:val="Title"/>
    <w:uiPriority w:val="10"/>
    <w:rsid w:val="00510B5B"/>
    <w:rPr>
      <w:rFonts w:asciiTheme="majorHAnsi" w:eastAsiaTheme="majorEastAsia" w:hAnsiTheme="majorHAnsi" w:cstheme="majorBidi"/>
      <w:sz w:val="56"/>
    </w:rPr>
  </w:style>
  <w:style w:type="paragraph" w:styleId="Subtitle">
    <w:name w:val="Subtitle"/>
    <w:basedOn w:val="Normal"/>
    <w:next w:val="Normal"/>
    <w:link w:val="SubtitleChar"/>
    <w:uiPriority w:val="11"/>
    <w:qFormat/>
    <w:rsid w:val="00510B5B"/>
    <w:rPr>
      <w:rFonts w:eastAsiaTheme="minorEastAsia"/>
      <w:color w:val="5A5A5A"/>
    </w:rPr>
  </w:style>
  <w:style w:type="character" w:customStyle="1" w:styleId="SubtitleChar">
    <w:name w:val="Subtitle Char"/>
    <w:basedOn w:val="DefaultParagraphFont"/>
    <w:link w:val="Subtitle"/>
    <w:uiPriority w:val="11"/>
    <w:rsid w:val="00510B5B"/>
    <w:rPr>
      <w:rFonts w:eastAsiaTheme="minorEastAsia"/>
      <w:color w:val="5A5A5A"/>
    </w:rPr>
  </w:style>
  <w:style w:type="paragraph" w:styleId="Quote">
    <w:name w:val="Quote"/>
    <w:basedOn w:val="Normal"/>
    <w:next w:val="Normal"/>
    <w:link w:val="QuoteChar"/>
    <w:uiPriority w:val="29"/>
    <w:qFormat/>
    <w:rsid w:val="00510B5B"/>
    <w:pPr>
      <w:spacing w:before="200"/>
      <w:ind w:left="864" w:right="864"/>
      <w:jc w:val="center"/>
    </w:pPr>
    <w:rPr>
      <w:i/>
      <w:color w:val="404040" w:themeColor="text1" w:themeTint="BF"/>
    </w:rPr>
  </w:style>
  <w:style w:type="character" w:customStyle="1" w:styleId="QuoteChar">
    <w:name w:val="Quote Char"/>
    <w:basedOn w:val="DefaultParagraphFont"/>
    <w:link w:val="Quote"/>
    <w:uiPriority w:val="29"/>
    <w:rsid w:val="00510B5B"/>
    <w:rPr>
      <w:i/>
      <w:color w:val="404040" w:themeColor="text1" w:themeTint="BF"/>
    </w:rPr>
  </w:style>
  <w:style w:type="paragraph" w:styleId="IntenseQuote">
    <w:name w:val="Intense Quote"/>
    <w:basedOn w:val="Normal"/>
    <w:next w:val="Normal"/>
    <w:link w:val="IntenseQuoteChar"/>
    <w:uiPriority w:val="30"/>
    <w:qFormat/>
    <w:rsid w:val="00510B5B"/>
    <w:pPr>
      <w:spacing w:before="360" w:after="360"/>
      <w:ind w:left="864" w:right="864"/>
      <w:jc w:val="center"/>
    </w:pPr>
    <w:rPr>
      <w:i/>
      <w:color w:val="4F81BD" w:themeColor="accent1"/>
    </w:rPr>
  </w:style>
  <w:style w:type="character" w:customStyle="1" w:styleId="IntenseQuoteChar">
    <w:name w:val="Intense Quote Char"/>
    <w:basedOn w:val="DefaultParagraphFont"/>
    <w:link w:val="IntenseQuote"/>
    <w:uiPriority w:val="30"/>
    <w:rsid w:val="00510B5B"/>
    <w:rPr>
      <w:i/>
      <w:color w:val="4F81BD" w:themeColor="accent1"/>
    </w:rPr>
  </w:style>
  <w:style w:type="paragraph" w:styleId="EndnoteText">
    <w:name w:val="endnote text"/>
    <w:basedOn w:val="Normal"/>
    <w:link w:val="EndnoteTextChar"/>
    <w:uiPriority w:val="99"/>
    <w:semiHidden/>
    <w:unhideWhenUsed/>
    <w:rsid w:val="00510B5B"/>
    <w:pPr>
      <w:spacing w:after="0"/>
    </w:pPr>
    <w:rPr>
      <w:sz w:val="20"/>
    </w:rPr>
  </w:style>
  <w:style w:type="character" w:customStyle="1" w:styleId="EndnoteTextChar">
    <w:name w:val="Endnote Text Char"/>
    <w:basedOn w:val="DefaultParagraphFont"/>
    <w:link w:val="EndnoteText"/>
    <w:uiPriority w:val="99"/>
    <w:semiHidden/>
    <w:rsid w:val="00510B5B"/>
    <w:rPr>
      <w:sz w:val="20"/>
    </w:rPr>
  </w:style>
  <w:style w:type="character" w:customStyle="1" w:styleId="findhit">
    <w:name w:val="findhit"/>
    <w:basedOn w:val="DefaultParagraphFont"/>
    <w:rsid w:val="00510B5B"/>
  </w:style>
  <w:style w:type="character" w:customStyle="1" w:styleId="Mention3">
    <w:name w:val="Mention3"/>
    <w:basedOn w:val="DefaultParagraphFont"/>
    <w:uiPriority w:val="99"/>
    <w:unhideWhenUsed/>
    <w:rsid w:val="000776D0"/>
    <w:rPr>
      <w:color w:val="2B579A"/>
      <w:shd w:val="clear" w:color="auto" w:fill="E6E6E6"/>
    </w:rPr>
  </w:style>
  <w:style w:type="character" w:customStyle="1" w:styleId="UnresolvedMention3">
    <w:name w:val="Unresolved Mention3"/>
    <w:basedOn w:val="DefaultParagraphFont"/>
    <w:uiPriority w:val="99"/>
    <w:unhideWhenUsed/>
    <w:rsid w:val="000776D0"/>
    <w:rPr>
      <w:color w:val="605E5C"/>
      <w:shd w:val="clear" w:color="auto" w:fill="E1DFDD"/>
    </w:rPr>
  </w:style>
  <w:style w:type="character" w:customStyle="1" w:styleId="UnresolvedMention4">
    <w:name w:val="Unresolved Mention4"/>
    <w:basedOn w:val="DefaultParagraphFont"/>
    <w:uiPriority w:val="99"/>
    <w:unhideWhenUsed/>
    <w:rsid w:val="00234BD4"/>
    <w:rPr>
      <w:color w:val="605E5C"/>
      <w:shd w:val="clear" w:color="auto" w:fill="E1DFDD"/>
    </w:rPr>
  </w:style>
  <w:style w:type="character" w:customStyle="1" w:styleId="Mention4">
    <w:name w:val="Mention4"/>
    <w:basedOn w:val="DefaultParagraphFont"/>
    <w:uiPriority w:val="99"/>
    <w:unhideWhenUsed/>
    <w:rsid w:val="00234BD4"/>
    <w:rPr>
      <w:color w:val="2B579A"/>
      <w:shd w:val="clear" w:color="auto" w:fill="E1DFDD"/>
    </w:rPr>
  </w:style>
  <w:style w:type="paragraph" w:customStyle="1" w:styleId="commentcontentpara">
    <w:name w:val="commentcontentpara"/>
    <w:basedOn w:val="Normal"/>
    <w:rsid w:val="00AC7B48"/>
    <w:pPr>
      <w:spacing w:before="100" w:beforeAutospacing="1" w:after="100" w:afterAutospacing="1" w:line="240" w:lineRule="auto"/>
    </w:pPr>
    <w:rPr>
      <w:rFonts w:ascii="Times New Roman" w:eastAsia="Times New Roman" w:hAnsi="Times New Roman" w:cs="Times New Roman"/>
      <w:sz w:val="24"/>
    </w:rPr>
  </w:style>
  <w:style w:type="character" w:customStyle="1" w:styleId="Bodytext3">
    <w:name w:val="Body text|3_"/>
    <w:basedOn w:val="DefaultParagraphFont"/>
    <w:link w:val="Bodytext30"/>
    <w:rsid w:val="00D66508"/>
    <w:rPr>
      <w:rFonts w:ascii="@MS Mincho" w:eastAsia="@MS Mincho" w:hAnsi="@MS Mincho" w:cs="@MS Mincho"/>
      <w:sz w:val="20"/>
    </w:rPr>
  </w:style>
  <w:style w:type="paragraph" w:customStyle="1" w:styleId="Bodytext30">
    <w:name w:val="Body text|3"/>
    <w:basedOn w:val="Normal"/>
    <w:link w:val="Bodytext3"/>
    <w:rsid w:val="00D66508"/>
    <w:pPr>
      <w:widowControl w:val="0"/>
      <w:spacing w:after="140" w:line="293" w:lineRule="auto"/>
    </w:pPr>
    <w:rPr>
      <w:rFonts w:ascii="@MS Mincho" w:eastAsia="@MS Mincho" w:hAnsi="@MS Mincho" w:cs="@MS Mincho"/>
      <w:sz w:val="20"/>
    </w:rPr>
  </w:style>
  <w:style w:type="character" w:customStyle="1" w:styleId="Mention5">
    <w:name w:val="Mention5"/>
    <w:basedOn w:val="DefaultParagraphFont"/>
    <w:uiPriority w:val="99"/>
    <w:unhideWhenUsed/>
    <w:rsid w:val="002671B2"/>
    <w:rPr>
      <w:color w:val="2B579A"/>
      <w:shd w:val="clear" w:color="auto" w:fill="E1DFDD"/>
    </w:rPr>
  </w:style>
  <w:style w:type="character" w:customStyle="1" w:styleId="UnresolvedMention5">
    <w:name w:val="Unresolved Mention5"/>
    <w:basedOn w:val="DefaultParagraphFont"/>
    <w:uiPriority w:val="99"/>
    <w:unhideWhenUsed/>
    <w:rsid w:val="002671B2"/>
    <w:rPr>
      <w:color w:val="605E5C"/>
      <w:shd w:val="clear" w:color="auto" w:fill="E1DFDD"/>
    </w:rPr>
  </w:style>
  <w:style w:type="character" w:customStyle="1" w:styleId="Mention6">
    <w:name w:val="Mention6"/>
    <w:basedOn w:val="DefaultParagraphFont"/>
    <w:uiPriority w:val="99"/>
    <w:unhideWhenUsed/>
    <w:rsid w:val="002671B2"/>
    <w:rPr>
      <w:color w:val="2B579A"/>
      <w:shd w:val="clear" w:color="auto" w:fill="E1DFDD"/>
    </w:rPr>
  </w:style>
  <w:style w:type="character" w:customStyle="1" w:styleId="Mention7">
    <w:name w:val="Mention7"/>
    <w:basedOn w:val="DefaultParagraphFont"/>
    <w:uiPriority w:val="99"/>
    <w:unhideWhenUsed/>
    <w:rsid w:val="001349D8"/>
    <w:rPr>
      <w:color w:val="2B579A"/>
      <w:shd w:val="clear" w:color="auto" w:fill="E6E6E6"/>
    </w:rPr>
  </w:style>
  <w:style w:type="character" w:customStyle="1" w:styleId="Mention">
    <w:name w:val="Mention"/>
    <w:basedOn w:val="DefaultParagraphFont"/>
    <w:uiPriority w:val="99"/>
    <w:unhideWhenUsed/>
    <w:rsid w:val="00F94BC6"/>
    <w:rPr>
      <w:color w:val="2B579A"/>
      <w:shd w:val="clear" w:color="auto" w:fill="E1DFDD"/>
    </w:rPr>
  </w:style>
  <w:style w:type="paragraph" w:customStyle="1" w:styleId="NumPar5">
    <w:name w:val="NumPar 5"/>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paragraph" w:customStyle="1" w:styleId="NumPar6">
    <w:name w:val="NumPar 6"/>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paragraph" w:customStyle="1" w:styleId="NumPar7">
    <w:name w:val="NumPar 7"/>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character" w:customStyle="1" w:styleId="Mention8">
    <w:name w:val="Mention8"/>
    <w:basedOn w:val="DefaultParagraphFont"/>
    <w:uiPriority w:val="99"/>
    <w:unhideWhenUsed/>
    <w:rsid w:val="00DC1162"/>
    <w:rPr>
      <w:color w:val="2B579A"/>
      <w:shd w:val="clear" w:color="auto" w:fill="E1DFDD"/>
    </w:rPr>
  </w:style>
  <w:style w:type="paragraph" w:customStyle="1" w:styleId="P68B1DB1-Normal1">
    <w:name w:val="P68B1DB1-Normal1"/>
    <w:basedOn w:val="Normal"/>
    <w:rPr>
      <w:rFonts w:ascii="Times New Roman" w:hAnsi="Times New Roman"/>
      <w:b/>
      <w:sz w:val="24"/>
    </w:rPr>
  </w:style>
  <w:style w:type="paragraph" w:customStyle="1" w:styleId="P68B1DB1-Normal2">
    <w:name w:val="P68B1DB1-Normal2"/>
    <w:basedOn w:val="Normal"/>
    <w:rPr>
      <w:rFonts w:ascii="Times New Roman" w:hAnsi="Times New Roman"/>
      <w:b/>
      <w:smallCaps/>
      <w:sz w:val="24"/>
    </w:rPr>
  </w:style>
  <w:style w:type="paragraph" w:customStyle="1" w:styleId="P68B1DB1-Normal3">
    <w:name w:val="P68B1DB1-Normal3"/>
    <w:basedOn w:val="Normal"/>
    <w:rPr>
      <w:rFonts w:ascii="Times New Roman" w:hAnsi="Times New Roman"/>
      <w:b/>
      <w:sz w:val="24"/>
      <w:u w:val="single"/>
    </w:rPr>
  </w:style>
  <w:style w:type="paragraph" w:customStyle="1" w:styleId="P68B1DB1-Normal4">
    <w:name w:val="P68B1DB1-Normal4"/>
    <w:basedOn w:val="Normal"/>
    <w:rPr>
      <w:rFonts w:ascii="Times New Roman" w:hAnsi="Times New Roman"/>
      <w:sz w:val="24"/>
    </w:rPr>
  </w:style>
  <w:style w:type="paragraph" w:customStyle="1" w:styleId="P68B1DB1-Normal5">
    <w:name w:val="P68B1DB1-Normal5"/>
    <w:basedOn w:val="Normal"/>
    <w:rPr>
      <w:rFonts w:ascii="Times New Roman" w:hAnsi="Times New Roman"/>
      <w:sz w:val="24"/>
      <w:u w:val="single"/>
    </w:rPr>
  </w:style>
  <w:style w:type="paragraph" w:customStyle="1" w:styleId="P68B1DB1-Normal6">
    <w:name w:val="P68B1DB1-Normal6"/>
    <w:basedOn w:val="Normal"/>
    <w:rPr>
      <w:rFonts w:ascii="Times New Roman" w:hAnsi="Times New Roman"/>
      <w:b/>
      <w:sz w:val="18"/>
    </w:rPr>
  </w:style>
  <w:style w:type="paragraph" w:customStyle="1" w:styleId="P68B1DB1-Normal7">
    <w:name w:val="P68B1DB1-Normal7"/>
    <w:basedOn w:val="Normal"/>
    <w:rPr>
      <w:rFonts w:ascii="Calibri" w:hAnsi="Calibri"/>
      <w:b/>
      <w:sz w:val="16"/>
    </w:rPr>
  </w:style>
  <w:style w:type="paragraph" w:customStyle="1" w:styleId="P68B1DB1-Normal8">
    <w:name w:val="P68B1DB1-Normal8"/>
    <w:basedOn w:val="Normal"/>
    <w:rPr>
      <w:rFonts w:ascii="Calibri" w:hAnsi="Calibri"/>
      <w:sz w:val="16"/>
    </w:rPr>
  </w:style>
  <w:style w:type="paragraph" w:customStyle="1" w:styleId="P68B1DB1-Normal9">
    <w:name w:val="P68B1DB1-Normal9"/>
    <w:basedOn w:val="Normal"/>
    <w:rPr>
      <w:rFonts w:ascii="Calibri" w:hAnsi="Calibri"/>
    </w:rPr>
  </w:style>
  <w:style w:type="paragraph" w:customStyle="1" w:styleId="P68B1DB1-Normal10">
    <w:name w:val="P68B1DB1-Normal10"/>
    <w:basedOn w:val="Normal"/>
    <w:rPr>
      <w:rFonts w:ascii="Calibri" w:hAnsi="Calibri"/>
      <w:sz w:val="16"/>
      <w:shd w:val="clear" w:color="auto" w:fill="E6E6E6"/>
    </w:rPr>
  </w:style>
  <w:style w:type="paragraph" w:customStyle="1" w:styleId="P68B1DB1-Normal11">
    <w:name w:val="P68B1DB1-Normal11"/>
    <w:basedOn w:val="Normal"/>
    <w:rPr>
      <w:b/>
      <w:sz w:val="16"/>
    </w:rPr>
  </w:style>
  <w:style w:type="paragraph" w:customStyle="1" w:styleId="P68B1DB1-Normal12">
    <w:name w:val="P68B1DB1-Normal12"/>
    <w:basedOn w:val="Normal"/>
    <w:rPr>
      <w:sz w:val="16"/>
    </w:rPr>
  </w:style>
  <w:style w:type="paragraph" w:customStyle="1" w:styleId="P68B1DB1-Bodytext1013">
    <w:name w:val="P68B1DB1-Bodytext1013"/>
    <w:basedOn w:val="Bodytext10"/>
    <w:rPr>
      <w:rFonts w:asciiTheme="minorHAnsi" w:hAnsiTheme="minorHAnsi"/>
      <w:sz w:val="16"/>
    </w:rPr>
  </w:style>
  <w:style w:type="paragraph" w:customStyle="1" w:styleId="P68B1DB1-Heading214">
    <w:name w:val="P68B1DB1-Heading214"/>
    <w:basedOn w:val="Heading2"/>
    <w:rPr>
      <w:b w:val="0"/>
    </w:rPr>
  </w:style>
  <w:style w:type="paragraph" w:customStyle="1" w:styleId="P68B1DB1-Normal15">
    <w:name w:val="P68B1DB1-Normal15"/>
    <w:basedOn w:val="Normal"/>
    <w:rPr>
      <w:rFonts w:ascii="Calibri" w:hAnsi="Calibri"/>
      <w:sz w:val="2"/>
    </w:rPr>
  </w:style>
  <w:style w:type="paragraph" w:customStyle="1" w:styleId="P68B1DB1-Normal16">
    <w:name w:val="P68B1DB1-Normal16"/>
    <w:basedOn w:val="Normal"/>
    <w:rPr>
      <w:rFonts w:ascii="Times New Roman" w:hAnsi="Times New Roman"/>
      <w:sz w:val="18"/>
    </w:rPr>
  </w:style>
  <w:style w:type="paragraph" w:customStyle="1" w:styleId="P68B1DB1-Normal17">
    <w:name w:val="P68B1DB1-Normal17"/>
    <w:basedOn w:val="Normal"/>
    <w:rPr>
      <w:sz w:val="24"/>
    </w:rPr>
  </w:style>
  <w:style w:type="paragraph" w:customStyle="1" w:styleId="P68B1DB1-Bodytext1018">
    <w:name w:val="P68B1DB1-Bodytext1018"/>
    <w:basedOn w:val="Bodytext10"/>
    <w:rPr>
      <w:rFonts w:ascii="Calibri" w:hAnsi="Calibri"/>
      <w:sz w:val="16"/>
    </w:rPr>
  </w:style>
  <w:style w:type="paragraph" w:customStyle="1" w:styleId="P68B1DB1-Normal19">
    <w:name w:val="P68B1DB1-Normal19"/>
    <w:basedOn w:val="Normal"/>
    <w:rPr>
      <w:rFonts w:ascii="Times New Roman" w:hAnsi="Times New Roman"/>
    </w:rPr>
  </w:style>
  <w:style w:type="paragraph" w:customStyle="1" w:styleId="P68B1DB1-Bodytext2020">
    <w:name w:val="P68B1DB1-Bodytext2020"/>
    <w:basedOn w:val="Bodytext20"/>
    <w:rPr>
      <w:rFonts w:ascii="Times New Roman" w:hAnsi="Times New Roman"/>
      <w:sz w:val="24"/>
    </w:rPr>
  </w:style>
  <w:style w:type="paragraph" w:customStyle="1" w:styleId="P68B1DB1-CommentText21">
    <w:name w:val="P68B1DB1-CommentText21"/>
    <w:basedOn w:val="CommentText"/>
    <w:rPr>
      <w:rFonts w:asciiTheme="minorHAnsi" w:hAnsiTheme="minorHAnsi"/>
      <w:sz w:val="16"/>
    </w:rPr>
  </w:style>
  <w:style w:type="paragraph" w:customStyle="1" w:styleId="P68B1DB1-Normal22">
    <w:name w:val="P68B1DB1-Normal22"/>
    <w:basedOn w:val="Normal"/>
    <w:rPr>
      <w:rFonts w:ascii="Times New Roman" w:hAnsi="Times New Roman"/>
      <w:b/>
      <w:sz w:val="20"/>
    </w:rPr>
  </w:style>
  <w:style w:type="paragraph" w:customStyle="1" w:styleId="P68B1DB1-Normal23">
    <w:name w:val="P68B1DB1-Normal23"/>
    <w:basedOn w:val="Normal"/>
    <w:rPr>
      <w:rFonts w:ascii="Calibri" w:hAnsi="Calibri"/>
      <w:sz w:val="18"/>
    </w:rPr>
  </w:style>
  <w:style w:type="paragraph" w:customStyle="1" w:styleId="P68B1DB1-Normal24">
    <w:name w:val="P68B1DB1-Normal24"/>
    <w:basedOn w:val="Normal"/>
    <w:rPr>
      <w:rFonts w:ascii="Calibri" w:hAnsi="Calibri"/>
      <w:sz w:val="20"/>
    </w:rPr>
  </w:style>
  <w:style w:type="paragraph" w:customStyle="1" w:styleId="P68B1DB1-Normal25">
    <w:name w:val="P68B1DB1-Normal25"/>
    <w:basedOn w:val="Normal"/>
    <w:rPr>
      <w:rFonts w:ascii="Calibri" w:hAnsi="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6115">
      <w:bodyDiv w:val="1"/>
      <w:marLeft w:val="0"/>
      <w:marRight w:val="0"/>
      <w:marTop w:val="0"/>
      <w:marBottom w:val="0"/>
      <w:divBdr>
        <w:top w:val="none" w:sz="0" w:space="0" w:color="auto"/>
        <w:left w:val="none" w:sz="0" w:space="0" w:color="auto"/>
        <w:bottom w:val="none" w:sz="0" w:space="0" w:color="auto"/>
        <w:right w:val="none" w:sz="0" w:space="0" w:color="auto"/>
      </w:divBdr>
    </w:div>
    <w:div w:id="93717856">
      <w:bodyDiv w:val="1"/>
      <w:marLeft w:val="0"/>
      <w:marRight w:val="0"/>
      <w:marTop w:val="0"/>
      <w:marBottom w:val="0"/>
      <w:divBdr>
        <w:top w:val="none" w:sz="0" w:space="0" w:color="auto"/>
        <w:left w:val="none" w:sz="0" w:space="0" w:color="auto"/>
        <w:bottom w:val="none" w:sz="0" w:space="0" w:color="auto"/>
        <w:right w:val="none" w:sz="0" w:space="0" w:color="auto"/>
      </w:divBdr>
    </w:div>
    <w:div w:id="105124908">
      <w:bodyDiv w:val="1"/>
      <w:marLeft w:val="0"/>
      <w:marRight w:val="0"/>
      <w:marTop w:val="0"/>
      <w:marBottom w:val="0"/>
      <w:divBdr>
        <w:top w:val="none" w:sz="0" w:space="0" w:color="auto"/>
        <w:left w:val="none" w:sz="0" w:space="0" w:color="auto"/>
        <w:bottom w:val="none" w:sz="0" w:space="0" w:color="auto"/>
        <w:right w:val="none" w:sz="0" w:space="0" w:color="auto"/>
      </w:divBdr>
    </w:div>
    <w:div w:id="106392739">
      <w:bodyDiv w:val="1"/>
      <w:marLeft w:val="0"/>
      <w:marRight w:val="0"/>
      <w:marTop w:val="0"/>
      <w:marBottom w:val="0"/>
      <w:divBdr>
        <w:top w:val="none" w:sz="0" w:space="0" w:color="auto"/>
        <w:left w:val="none" w:sz="0" w:space="0" w:color="auto"/>
        <w:bottom w:val="none" w:sz="0" w:space="0" w:color="auto"/>
        <w:right w:val="none" w:sz="0" w:space="0" w:color="auto"/>
      </w:divBdr>
    </w:div>
    <w:div w:id="160197138">
      <w:bodyDiv w:val="1"/>
      <w:marLeft w:val="0"/>
      <w:marRight w:val="0"/>
      <w:marTop w:val="0"/>
      <w:marBottom w:val="0"/>
      <w:divBdr>
        <w:top w:val="none" w:sz="0" w:space="0" w:color="auto"/>
        <w:left w:val="none" w:sz="0" w:space="0" w:color="auto"/>
        <w:bottom w:val="none" w:sz="0" w:space="0" w:color="auto"/>
        <w:right w:val="none" w:sz="0" w:space="0" w:color="auto"/>
      </w:divBdr>
    </w:div>
    <w:div w:id="173224192">
      <w:bodyDiv w:val="1"/>
      <w:marLeft w:val="0"/>
      <w:marRight w:val="0"/>
      <w:marTop w:val="0"/>
      <w:marBottom w:val="0"/>
      <w:divBdr>
        <w:top w:val="none" w:sz="0" w:space="0" w:color="auto"/>
        <w:left w:val="none" w:sz="0" w:space="0" w:color="auto"/>
        <w:bottom w:val="none" w:sz="0" w:space="0" w:color="auto"/>
        <w:right w:val="none" w:sz="0" w:space="0" w:color="auto"/>
      </w:divBdr>
    </w:div>
    <w:div w:id="195849102">
      <w:bodyDiv w:val="1"/>
      <w:marLeft w:val="0"/>
      <w:marRight w:val="0"/>
      <w:marTop w:val="0"/>
      <w:marBottom w:val="0"/>
      <w:divBdr>
        <w:top w:val="none" w:sz="0" w:space="0" w:color="auto"/>
        <w:left w:val="none" w:sz="0" w:space="0" w:color="auto"/>
        <w:bottom w:val="none" w:sz="0" w:space="0" w:color="auto"/>
        <w:right w:val="none" w:sz="0" w:space="0" w:color="auto"/>
      </w:divBdr>
    </w:div>
    <w:div w:id="236524132">
      <w:bodyDiv w:val="1"/>
      <w:marLeft w:val="0"/>
      <w:marRight w:val="0"/>
      <w:marTop w:val="0"/>
      <w:marBottom w:val="0"/>
      <w:divBdr>
        <w:top w:val="none" w:sz="0" w:space="0" w:color="auto"/>
        <w:left w:val="none" w:sz="0" w:space="0" w:color="auto"/>
        <w:bottom w:val="none" w:sz="0" w:space="0" w:color="auto"/>
        <w:right w:val="none" w:sz="0" w:space="0" w:color="auto"/>
      </w:divBdr>
    </w:div>
    <w:div w:id="241181868">
      <w:bodyDiv w:val="1"/>
      <w:marLeft w:val="0"/>
      <w:marRight w:val="0"/>
      <w:marTop w:val="0"/>
      <w:marBottom w:val="0"/>
      <w:divBdr>
        <w:top w:val="none" w:sz="0" w:space="0" w:color="auto"/>
        <w:left w:val="none" w:sz="0" w:space="0" w:color="auto"/>
        <w:bottom w:val="none" w:sz="0" w:space="0" w:color="auto"/>
        <w:right w:val="none" w:sz="0" w:space="0" w:color="auto"/>
      </w:divBdr>
    </w:div>
    <w:div w:id="243271335">
      <w:bodyDiv w:val="1"/>
      <w:marLeft w:val="0"/>
      <w:marRight w:val="0"/>
      <w:marTop w:val="0"/>
      <w:marBottom w:val="0"/>
      <w:divBdr>
        <w:top w:val="none" w:sz="0" w:space="0" w:color="auto"/>
        <w:left w:val="none" w:sz="0" w:space="0" w:color="auto"/>
        <w:bottom w:val="none" w:sz="0" w:space="0" w:color="auto"/>
        <w:right w:val="none" w:sz="0" w:space="0" w:color="auto"/>
      </w:divBdr>
    </w:div>
    <w:div w:id="361133139">
      <w:bodyDiv w:val="1"/>
      <w:marLeft w:val="0"/>
      <w:marRight w:val="0"/>
      <w:marTop w:val="0"/>
      <w:marBottom w:val="0"/>
      <w:divBdr>
        <w:top w:val="none" w:sz="0" w:space="0" w:color="auto"/>
        <w:left w:val="none" w:sz="0" w:space="0" w:color="auto"/>
        <w:bottom w:val="none" w:sz="0" w:space="0" w:color="auto"/>
        <w:right w:val="none" w:sz="0" w:space="0" w:color="auto"/>
      </w:divBdr>
    </w:div>
    <w:div w:id="399523781">
      <w:bodyDiv w:val="1"/>
      <w:marLeft w:val="0"/>
      <w:marRight w:val="0"/>
      <w:marTop w:val="0"/>
      <w:marBottom w:val="0"/>
      <w:divBdr>
        <w:top w:val="none" w:sz="0" w:space="0" w:color="auto"/>
        <w:left w:val="none" w:sz="0" w:space="0" w:color="auto"/>
        <w:bottom w:val="none" w:sz="0" w:space="0" w:color="auto"/>
        <w:right w:val="none" w:sz="0" w:space="0" w:color="auto"/>
      </w:divBdr>
    </w:div>
    <w:div w:id="401219657">
      <w:bodyDiv w:val="1"/>
      <w:marLeft w:val="0"/>
      <w:marRight w:val="0"/>
      <w:marTop w:val="0"/>
      <w:marBottom w:val="0"/>
      <w:divBdr>
        <w:top w:val="none" w:sz="0" w:space="0" w:color="auto"/>
        <w:left w:val="none" w:sz="0" w:space="0" w:color="auto"/>
        <w:bottom w:val="none" w:sz="0" w:space="0" w:color="auto"/>
        <w:right w:val="none" w:sz="0" w:space="0" w:color="auto"/>
      </w:divBdr>
    </w:div>
    <w:div w:id="441844892">
      <w:bodyDiv w:val="1"/>
      <w:marLeft w:val="0"/>
      <w:marRight w:val="0"/>
      <w:marTop w:val="0"/>
      <w:marBottom w:val="0"/>
      <w:divBdr>
        <w:top w:val="none" w:sz="0" w:space="0" w:color="auto"/>
        <w:left w:val="none" w:sz="0" w:space="0" w:color="auto"/>
        <w:bottom w:val="none" w:sz="0" w:space="0" w:color="auto"/>
        <w:right w:val="none" w:sz="0" w:space="0" w:color="auto"/>
      </w:divBdr>
    </w:div>
    <w:div w:id="535584251">
      <w:bodyDiv w:val="1"/>
      <w:marLeft w:val="0"/>
      <w:marRight w:val="0"/>
      <w:marTop w:val="0"/>
      <w:marBottom w:val="0"/>
      <w:divBdr>
        <w:top w:val="none" w:sz="0" w:space="0" w:color="auto"/>
        <w:left w:val="none" w:sz="0" w:space="0" w:color="auto"/>
        <w:bottom w:val="none" w:sz="0" w:space="0" w:color="auto"/>
        <w:right w:val="none" w:sz="0" w:space="0" w:color="auto"/>
      </w:divBdr>
      <w:divsChild>
        <w:div w:id="1283269662">
          <w:marLeft w:val="0"/>
          <w:marRight w:val="0"/>
          <w:marTop w:val="0"/>
          <w:marBottom w:val="0"/>
          <w:divBdr>
            <w:top w:val="none" w:sz="0" w:space="0" w:color="auto"/>
            <w:left w:val="none" w:sz="0" w:space="0" w:color="auto"/>
            <w:bottom w:val="none" w:sz="0" w:space="0" w:color="auto"/>
            <w:right w:val="none" w:sz="0" w:space="0" w:color="auto"/>
          </w:divBdr>
        </w:div>
      </w:divsChild>
    </w:div>
    <w:div w:id="572739600">
      <w:bodyDiv w:val="1"/>
      <w:marLeft w:val="0"/>
      <w:marRight w:val="0"/>
      <w:marTop w:val="0"/>
      <w:marBottom w:val="0"/>
      <w:divBdr>
        <w:top w:val="none" w:sz="0" w:space="0" w:color="auto"/>
        <w:left w:val="none" w:sz="0" w:space="0" w:color="auto"/>
        <w:bottom w:val="none" w:sz="0" w:space="0" w:color="auto"/>
        <w:right w:val="none" w:sz="0" w:space="0" w:color="auto"/>
      </w:divBdr>
    </w:div>
    <w:div w:id="578053008">
      <w:bodyDiv w:val="1"/>
      <w:marLeft w:val="0"/>
      <w:marRight w:val="0"/>
      <w:marTop w:val="0"/>
      <w:marBottom w:val="0"/>
      <w:divBdr>
        <w:top w:val="none" w:sz="0" w:space="0" w:color="auto"/>
        <w:left w:val="none" w:sz="0" w:space="0" w:color="auto"/>
        <w:bottom w:val="none" w:sz="0" w:space="0" w:color="auto"/>
        <w:right w:val="none" w:sz="0" w:space="0" w:color="auto"/>
      </w:divBdr>
    </w:div>
    <w:div w:id="598756477">
      <w:bodyDiv w:val="1"/>
      <w:marLeft w:val="0"/>
      <w:marRight w:val="0"/>
      <w:marTop w:val="0"/>
      <w:marBottom w:val="0"/>
      <w:divBdr>
        <w:top w:val="none" w:sz="0" w:space="0" w:color="auto"/>
        <w:left w:val="none" w:sz="0" w:space="0" w:color="auto"/>
        <w:bottom w:val="none" w:sz="0" w:space="0" w:color="auto"/>
        <w:right w:val="none" w:sz="0" w:space="0" w:color="auto"/>
      </w:divBdr>
    </w:div>
    <w:div w:id="621809595">
      <w:bodyDiv w:val="1"/>
      <w:marLeft w:val="0"/>
      <w:marRight w:val="0"/>
      <w:marTop w:val="0"/>
      <w:marBottom w:val="0"/>
      <w:divBdr>
        <w:top w:val="none" w:sz="0" w:space="0" w:color="auto"/>
        <w:left w:val="none" w:sz="0" w:space="0" w:color="auto"/>
        <w:bottom w:val="none" w:sz="0" w:space="0" w:color="auto"/>
        <w:right w:val="none" w:sz="0" w:space="0" w:color="auto"/>
      </w:divBdr>
    </w:div>
    <w:div w:id="809637549">
      <w:bodyDiv w:val="1"/>
      <w:marLeft w:val="0"/>
      <w:marRight w:val="0"/>
      <w:marTop w:val="0"/>
      <w:marBottom w:val="0"/>
      <w:divBdr>
        <w:top w:val="none" w:sz="0" w:space="0" w:color="auto"/>
        <w:left w:val="none" w:sz="0" w:space="0" w:color="auto"/>
        <w:bottom w:val="none" w:sz="0" w:space="0" w:color="auto"/>
        <w:right w:val="none" w:sz="0" w:space="0" w:color="auto"/>
      </w:divBdr>
    </w:div>
    <w:div w:id="811288788">
      <w:bodyDiv w:val="1"/>
      <w:marLeft w:val="0"/>
      <w:marRight w:val="0"/>
      <w:marTop w:val="0"/>
      <w:marBottom w:val="0"/>
      <w:divBdr>
        <w:top w:val="none" w:sz="0" w:space="0" w:color="auto"/>
        <w:left w:val="none" w:sz="0" w:space="0" w:color="auto"/>
        <w:bottom w:val="none" w:sz="0" w:space="0" w:color="auto"/>
        <w:right w:val="none" w:sz="0" w:space="0" w:color="auto"/>
      </w:divBdr>
    </w:div>
    <w:div w:id="815344484">
      <w:bodyDiv w:val="1"/>
      <w:marLeft w:val="0"/>
      <w:marRight w:val="0"/>
      <w:marTop w:val="0"/>
      <w:marBottom w:val="0"/>
      <w:divBdr>
        <w:top w:val="none" w:sz="0" w:space="0" w:color="auto"/>
        <w:left w:val="none" w:sz="0" w:space="0" w:color="auto"/>
        <w:bottom w:val="none" w:sz="0" w:space="0" w:color="auto"/>
        <w:right w:val="none" w:sz="0" w:space="0" w:color="auto"/>
      </w:divBdr>
    </w:div>
    <w:div w:id="816723792">
      <w:bodyDiv w:val="1"/>
      <w:marLeft w:val="0"/>
      <w:marRight w:val="0"/>
      <w:marTop w:val="0"/>
      <w:marBottom w:val="0"/>
      <w:divBdr>
        <w:top w:val="none" w:sz="0" w:space="0" w:color="auto"/>
        <w:left w:val="none" w:sz="0" w:space="0" w:color="auto"/>
        <w:bottom w:val="none" w:sz="0" w:space="0" w:color="auto"/>
        <w:right w:val="none" w:sz="0" w:space="0" w:color="auto"/>
      </w:divBdr>
      <w:divsChild>
        <w:div w:id="1773434833">
          <w:marLeft w:val="0"/>
          <w:marRight w:val="0"/>
          <w:marTop w:val="0"/>
          <w:marBottom w:val="0"/>
          <w:divBdr>
            <w:top w:val="none" w:sz="0" w:space="0" w:color="auto"/>
            <w:left w:val="none" w:sz="0" w:space="0" w:color="auto"/>
            <w:bottom w:val="none" w:sz="0" w:space="0" w:color="auto"/>
            <w:right w:val="none" w:sz="0" w:space="0" w:color="auto"/>
          </w:divBdr>
        </w:div>
      </w:divsChild>
    </w:div>
    <w:div w:id="850224950">
      <w:bodyDiv w:val="1"/>
      <w:marLeft w:val="0"/>
      <w:marRight w:val="0"/>
      <w:marTop w:val="0"/>
      <w:marBottom w:val="0"/>
      <w:divBdr>
        <w:top w:val="none" w:sz="0" w:space="0" w:color="auto"/>
        <w:left w:val="none" w:sz="0" w:space="0" w:color="auto"/>
        <w:bottom w:val="none" w:sz="0" w:space="0" w:color="auto"/>
        <w:right w:val="none" w:sz="0" w:space="0" w:color="auto"/>
      </w:divBdr>
      <w:divsChild>
        <w:div w:id="1094280320">
          <w:marLeft w:val="0"/>
          <w:marRight w:val="0"/>
          <w:marTop w:val="0"/>
          <w:marBottom w:val="0"/>
          <w:divBdr>
            <w:top w:val="none" w:sz="0" w:space="0" w:color="auto"/>
            <w:left w:val="none" w:sz="0" w:space="0" w:color="auto"/>
            <w:bottom w:val="none" w:sz="0" w:space="0" w:color="auto"/>
            <w:right w:val="none" w:sz="0" w:space="0" w:color="auto"/>
          </w:divBdr>
        </w:div>
      </w:divsChild>
    </w:div>
    <w:div w:id="876115162">
      <w:bodyDiv w:val="1"/>
      <w:marLeft w:val="0"/>
      <w:marRight w:val="0"/>
      <w:marTop w:val="0"/>
      <w:marBottom w:val="0"/>
      <w:divBdr>
        <w:top w:val="none" w:sz="0" w:space="0" w:color="auto"/>
        <w:left w:val="none" w:sz="0" w:space="0" w:color="auto"/>
        <w:bottom w:val="none" w:sz="0" w:space="0" w:color="auto"/>
        <w:right w:val="none" w:sz="0" w:space="0" w:color="auto"/>
      </w:divBdr>
    </w:div>
    <w:div w:id="905722726">
      <w:bodyDiv w:val="1"/>
      <w:marLeft w:val="0"/>
      <w:marRight w:val="0"/>
      <w:marTop w:val="0"/>
      <w:marBottom w:val="0"/>
      <w:divBdr>
        <w:top w:val="none" w:sz="0" w:space="0" w:color="auto"/>
        <w:left w:val="none" w:sz="0" w:space="0" w:color="auto"/>
        <w:bottom w:val="none" w:sz="0" w:space="0" w:color="auto"/>
        <w:right w:val="none" w:sz="0" w:space="0" w:color="auto"/>
      </w:divBdr>
    </w:div>
    <w:div w:id="925115020">
      <w:bodyDiv w:val="1"/>
      <w:marLeft w:val="0"/>
      <w:marRight w:val="0"/>
      <w:marTop w:val="0"/>
      <w:marBottom w:val="0"/>
      <w:divBdr>
        <w:top w:val="none" w:sz="0" w:space="0" w:color="auto"/>
        <w:left w:val="none" w:sz="0" w:space="0" w:color="auto"/>
        <w:bottom w:val="none" w:sz="0" w:space="0" w:color="auto"/>
        <w:right w:val="none" w:sz="0" w:space="0" w:color="auto"/>
      </w:divBdr>
    </w:div>
    <w:div w:id="959067621">
      <w:bodyDiv w:val="1"/>
      <w:marLeft w:val="0"/>
      <w:marRight w:val="0"/>
      <w:marTop w:val="0"/>
      <w:marBottom w:val="0"/>
      <w:divBdr>
        <w:top w:val="none" w:sz="0" w:space="0" w:color="auto"/>
        <w:left w:val="none" w:sz="0" w:space="0" w:color="auto"/>
        <w:bottom w:val="none" w:sz="0" w:space="0" w:color="auto"/>
        <w:right w:val="none" w:sz="0" w:space="0" w:color="auto"/>
      </w:divBdr>
      <w:divsChild>
        <w:div w:id="867137636">
          <w:marLeft w:val="0"/>
          <w:marRight w:val="0"/>
          <w:marTop w:val="0"/>
          <w:marBottom w:val="0"/>
          <w:divBdr>
            <w:top w:val="none" w:sz="0" w:space="0" w:color="auto"/>
            <w:left w:val="none" w:sz="0" w:space="0" w:color="auto"/>
            <w:bottom w:val="none" w:sz="0" w:space="0" w:color="auto"/>
            <w:right w:val="none" w:sz="0" w:space="0" w:color="auto"/>
          </w:divBdr>
        </w:div>
        <w:div w:id="959721263">
          <w:marLeft w:val="0"/>
          <w:marRight w:val="0"/>
          <w:marTop w:val="0"/>
          <w:marBottom w:val="0"/>
          <w:divBdr>
            <w:top w:val="none" w:sz="0" w:space="0" w:color="auto"/>
            <w:left w:val="none" w:sz="0" w:space="0" w:color="auto"/>
            <w:bottom w:val="none" w:sz="0" w:space="0" w:color="auto"/>
            <w:right w:val="none" w:sz="0" w:space="0" w:color="auto"/>
          </w:divBdr>
        </w:div>
      </w:divsChild>
    </w:div>
    <w:div w:id="1037973770">
      <w:bodyDiv w:val="1"/>
      <w:marLeft w:val="0"/>
      <w:marRight w:val="0"/>
      <w:marTop w:val="0"/>
      <w:marBottom w:val="0"/>
      <w:divBdr>
        <w:top w:val="none" w:sz="0" w:space="0" w:color="auto"/>
        <w:left w:val="none" w:sz="0" w:space="0" w:color="auto"/>
        <w:bottom w:val="none" w:sz="0" w:space="0" w:color="auto"/>
        <w:right w:val="none" w:sz="0" w:space="0" w:color="auto"/>
      </w:divBdr>
    </w:div>
    <w:div w:id="1077020176">
      <w:bodyDiv w:val="1"/>
      <w:marLeft w:val="0"/>
      <w:marRight w:val="0"/>
      <w:marTop w:val="0"/>
      <w:marBottom w:val="0"/>
      <w:divBdr>
        <w:top w:val="none" w:sz="0" w:space="0" w:color="auto"/>
        <w:left w:val="none" w:sz="0" w:space="0" w:color="auto"/>
        <w:bottom w:val="none" w:sz="0" w:space="0" w:color="auto"/>
        <w:right w:val="none" w:sz="0" w:space="0" w:color="auto"/>
      </w:divBdr>
    </w:div>
    <w:div w:id="1119762649">
      <w:bodyDiv w:val="1"/>
      <w:marLeft w:val="0"/>
      <w:marRight w:val="0"/>
      <w:marTop w:val="0"/>
      <w:marBottom w:val="0"/>
      <w:divBdr>
        <w:top w:val="none" w:sz="0" w:space="0" w:color="auto"/>
        <w:left w:val="none" w:sz="0" w:space="0" w:color="auto"/>
        <w:bottom w:val="none" w:sz="0" w:space="0" w:color="auto"/>
        <w:right w:val="none" w:sz="0" w:space="0" w:color="auto"/>
      </w:divBdr>
    </w:div>
    <w:div w:id="1126973197">
      <w:bodyDiv w:val="1"/>
      <w:marLeft w:val="0"/>
      <w:marRight w:val="0"/>
      <w:marTop w:val="0"/>
      <w:marBottom w:val="0"/>
      <w:divBdr>
        <w:top w:val="none" w:sz="0" w:space="0" w:color="auto"/>
        <w:left w:val="none" w:sz="0" w:space="0" w:color="auto"/>
        <w:bottom w:val="none" w:sz="0" w:space="0" w:color="auto"/>
        <w:right w:val="none" w:sz="0" w:space="0" w:color="auto"/>
      </w:divBdr>
    </w:div>
    <w:div w:id="1154102352">
      <w:bodyDiv w:val="1"/>
      <w:marLeft w:val="0"/>
      <w:marRight w:val="0"/>
      <w:marTop w:val="0"/>
      <w:marBottom w:val="0"/>
      <w:divBdr>
        <w:top w:val="none" w:sz="0" w:space="0" w:color="auto"/>
        <w:left w:val="none" w:sz="0" w:space="0" w:color="auto"/>
        <w:bottom w:val="none" w:sz="0" w:space="0" w:color="auto"/>
        <w:right w:val="none" w:sz="0" w:space="0" w:color="auto"/>
      </w:divBdr>
    </w:div>
    <w:div w:id="1215317537">
      <w:bodyDiv w:val="1"/>
      <w:marLeft w:val="0"/>
      <w:marRight w:val="0"/>
      <w:marTop w:val="0"/>
      <w:marBottom w:val="0"/>
      <w:divBdr>
        <w:top w:val="none" w:sz="0" w:space="0" w:color="auto"/>
        <w:left w:val="none" w:sz="0" w:space="0" w:color="auto"/>
        <w:bottom w:val="none" w:sz="0" w:space="0" w:color="auto"/>
        <w:right w:val="none" w:sz="0" w:space="0" w:color="auto"/>
      </w:divBdr>
    </w:div>
    <w:div w:id="1233781754">
      <w:bodyDiv w:val="1"/>
      <w:marLeft w:val="0"/>
      <w:marRight w:val="0"/>
      <w:marTop w:val="0"/>
      <w:marBottom w:val="0"/>
      <w:divBdr>
        <w:top w:val="none" w:sz="0" w:space="0" w:color="auto"/>
        <w:left w:val="none" w:sz="0" w:space="0" w:color="auto"/>
        <w:bottom w:val="none" w:sz="0" w:space="0" w:color="auto"/>
        <w:right w:val="none" w:sz="0" w:space="0" w:color="auto"/>
      </w:divBdr>
    </w:div>
    <w:div w:id="1248003550">
      <w:bodyDiv w:val="1"/>
      <w:marLeft w:val="0"/>
      <w:marRight w:val="0"/>
      <w:marTop w:val="0"/>
      <w:marBottom w:val="0"/>
      <w:divBdr>
        <w:top w:val="none" w:sz="0" w:space="0" w:color="auto"/>
        <w:left w:val="none" w:sz="0" w:space="0" w:color="auto"/>
        <w:bottom w:val="none" w:sz="0" w:space="0" w:color="auto"/>
        <w:right w:val="none" w:sz="0" w:space="0" w:color="auto"/>
      </w:divBdr>
    </w:div>
    <w:div w:id="1261256812">
      <w:bodyDiv w:val="1"/>
      <w:marLeft w:val="0"/>
      <w:marRight w:val="0"/>
      <w:marTop w:val="0"/>
      <w:marBottom w:val="0"/>
      <w:divBdr>
        <w:top w:val="none" w:sz="0" w:space="0" w:color="auto"/>
        <w:left w:val="none" w:sz="0" w:space="0" w:color="auto"/>
        <w:bottom w:val="none" w:sz="0" w:space="0" w:color="auto"/>
        <w:right w:val="none" w:sz="0" w:space="0" w:color="auto"/>
      </w:divBdr>
    </w:div>
    <w:div w:id="1320188408">
      <w:bodyDiv w:val="1"/>
      <w:marLeft w:val="0"/>
      <w:marRight w:val="0"/>
      <w:marTop w:val="0"/>
      <w:marBottom w:val="0"/>
      <w:divBdr>
        <w:top w:val="none" w:sz="0" w:space="0" w:color="auto"/>
        <w:left w:val="none" w:sz="0" w:space="0" w:color="auto"/>
        <w:bottom w:val="none" w:sz="0" w:space="0" w:color="auto"/>
        <w:right w:val="none" w:sz="0" w:space="0" w:color="auto"/>
      </w:divBdr>
    </w:div>
    <w:div w:id="1351950884">
      <w:bodyDiv w:val="1"/>
      <w:marLeft w:val="0"/>
      <w:marRight w:val="0"/>
      <w:marTop w:val="0"/>
      <w:marBottom w:val="0"/>
      <w:divBdr>
        <w:top w:val="none" w:sz="0" w:space="0" w:color="auto"/>
        <w:left w:val="none" w:sz="0" w:space="0" w:color="auto"/>
        <w:bottom w:val="none" w:sz="0" w:space="0" w:color="auto"/>
        <w:right w:val="none" w:sz="0" w:space="0" w:color="auto"/>
      </w:divBdr>
    </w:div>
    <w:div w:id="1399551650">
      <w:bodyDiv w:val="1"/>
      <w:marLeft w:val="0"/>
      <w:marRight w:val="0"/>
      <w:marTop w:val="0"/>
      <w:marBottom w:val="0"/>
      <w:divBdr>
        <w:top w:val="none" w:sz="0" w:space="0" w:color="auto"/>
        <w:left w:val="none" w:sz="0" w:space="0" w:color="auto"/>
        <w:bottom w:val="none" w:sz="0" w:space="0" w:color="auto"/>
        <w:right w:val="none" w:sz="0" w:space="0" w:color="auto"/>
      </w:divBdr>
    </w:div>
    <w:div w:id="1543901368">
      <w:bodyDiv w:val="1"/>
      <w:marLeft w:val="0"/>
      <w:marRight w:val="0"/>
      <w:marTop w:val="0"/>
      <w:marBottom w:val="0"/>
      <w:divBdr>
        <w:top w:val="none" w:sz="0" w:space="0" w:color="auto"/>
        <w:left w:val="none" w:sz="0" w:space="0" w:color="auto"/>
        <w:bottom w:val="none" w:sz="0" w:space="0" w:color="auto"/>
        <w:right w:val="none" w:sz="0" w:space="0" w:color="auto"/>
      </w:divBdr>
    </w:div>
    <w:div w:id="1561750171">
      <w:bodyDiv w:val="1"/>
      <w:marLeft w:val="0"/>
      <w:marRight w:val="0"/>
      <w:marTop w:val="0"/>
      <w:marBottom w:val="0"/>
      <w:divBdr>
        <w:top w:val="none" w:sz="0" w:space="0" w:color="auto"/>
        <w:left w:val="none" w:sz="0" w:space="0" w:color="auto"/>
        <w:bottom w:val="none" w:sz="0" w:space="0" w:color="auto"/>
        <w:right w:val="none" w:sz="0" w:space="0" w:color="auto"/>
      </w:divBdr>
    </w:div>
    <w:div w:id="1571765828">
      <w:bodyDiv w:val="1"/>
      <w:marLeft w:val="0"/>
      <w:marRight w:val="0"/>
      <w:marTop w:val="0"/>
      <w:marBottom w:val="0"/>
      <w:divBdr>
        <w:top w:val="none" w:sz="0" w:space="0" w:color="auto"/>
        <w:left w:val="none" w:sz="0" w:space="0" w:color="auto"/>
        <w:bottom w:val="none" w:sz="0" w:space="0" w:color="auto"/>
        <w:right w:val="none" w:sz="0" w:space="0" w:color="auto"/>
      </w:divBdr>
    </w:div>
    <w:div w:id="1577670648">
      <w:bodyDiv w:val="1"/>
      <w:marLeft w:val="0"/>
      <w:marRight w:val="0"/>
      <w:marTop w:val="0"/>
      <w:marBottom w:val="0"/>
      <w:divBdr>
        <w:top w:val="none" w:sz="0" w:space="0" w:color="auto"/>
        <w:left w:val="none" w:sz="0" w:space="0" w:color="auto"/>
        <w:bottom w:val="none" w:sz="0" w:space="0" w:color="auto"/>
        <w:right w:val="none" w:sz="0" w:space="0" w:color="auto"/>
      </w:divBdr>
    </w:div>
    <w:div w:id="1586300771">
      <w:bodyDiv w:val="1"/>
      <w:marLeft w:val="0"/>
      <w:marRight w:val="0"/>
      <w:marTop w:val="0"/>
      <w:marBottom w:val="0"/>
      <w:divBdr>
        <w:top w:val="none" w:sz="0" w:space="0" w:color="auto"/>
        <w:left w:val="none" w:sz="0" w:space="0" w:color="auto"/>
        <w:bottom w:val="none" w:sz="0" w:space="0" w:color="auto"/>
        <w:right w:val="none" w:sz="0" w:space="0" w:color="auto"/>
      </w:divBdr>
    </w:div>
    <w:div w:id="1593275867">
      <w:bodyDiv w:val="1"/>
      <w:marLeft w:val="0"/>
      <w:marRight w:val="0"/>
      <w:marTop w:val="0"/>
      <w:marBottom w:val="0"/>
      <w:divBdr>
        <w:top w:val="none" w:sz="0" w:space="0" w:color="auto"/>
        <w:left w:val="none" w:sz="0" w:space="0" w:color="auto"/>
        <w:bottom w:val="none" w:sz="0" w:space="0" w:color="auto"/>
        <w:right w:val="none" w:sz="0" w:space="0" w:color="auto"/>
      </w:divBdr>
    </w:div>
    <w:div w:id="1617172271">
      <w:bodyDiv w:val="1"/>
      <w:marLeft w:val="0"/>
      <w:marRight w:val="0"/>
      <w:marTop w:val="0"/>
      <w:marBottom w:val="0"/>
      <w:divBdr>
        <w:top w:val="none" w:sz="0" w:space="0" w:color="auto"/>
        <w:left w:val="none" w:sz="0" w:space="0" w:color="auto"/>
        <w:bottom w:val="none" w:sz="0" w:space="0" w:color="auto"/>
        <w:right w:val="none" w:sz="0" w:space="0" w:color="auto"/>
      </w:divBdr>
    </w:div>
    <w:div w:id="1667391532">
      <w:bodyDiv w:val="1"/>
      <w:marLeft w:val="0"/>
      <w:marRight w:val="0"/>
      <w:marTop w:val="0"/>
      <w:marBottom w:val="0"/>
      <w:divBdr>
        <w:top w:val="none" w:sz="0" w:space="0" w:color="auto"/>
        <w:left w:val="none" w:sz="0" w:space="0" w:color="auto"/>
        <w:bottom w:val="none" w:sz="0" w:space="0" w:color="auto"/>
        <w:right w:val="none" w:sz="0" w:space="0" w:color="auto"/>
      </w:divBdr>
    </w:div>
    <w:div w:id="1703094983">
      <w:bodyDiv w:val="1"/>
      <w:marLeft w:val="0"/>
      <w:marRight w:val="0"/>
      <w:marTop w:val="0"/>
      <w:marBottom w:val="0"/>
      <w:divBdr>
        <w:top w:val="none" w:sz="0" w:space="0" w:color="auto"/>
        <w:left w:val="none" w:sz="0" w:space="0" w:color="auto"/>
        <w:bottom w:val="none" w:sz="0" w:space="0" w:color="auto"/>
        <w:right w:val="none" w:sz="0" w:space="0" w:color="auto"/>
      </w:divBdr>
    </w:div>
    <w:div w:id="1802770173">
      <w:bodyDiv w:val="1"/>
      <w:marLeft w:val="0"/>
      <w:marRight w:val="0"/>
      <w:marTop w:val="0"/>
      <w:marBottom w:val="0"/>
      <w:divBdr>
        <w:top w:val="none" w:sz="0" w:space="0" w:color="auto"/>
        <w:left w:val="none" w:sz="0" w:space="0" w:color="auto"/>
        <w:bottom w:val="none" w:sz="0" w:space="0" w:color="auto"/>
        <w:right w:val="none" w:sz="0" w:space="0" w:color="auto"/>
      </w:divBdr>
    </w:div>
    <w:div w:id="1804539587">
      <w:bodyDiv w:val="1"/>
      <w:marLeft w:val="0"/>
      <w:marRight w:val="0"/>
      <w:marTop w:val="0"/>
      <w:marBottom w:val="0"/>
      <w:divBdr>
        <w:top w:val="none" w:sz="0" w:space="0" w:color="auto"/>
        <w:left w:val="none" w:sz="0" w:space="0" w:color="auto"/>
        <w:bottom w:val="none" w:sz="0" w:space="0" w:color="auto"/>
        <w:right w:val="none" w:sz="0" w:space="0" w:color="auto"/>
      </w:divBdr>
    </w:div>
    <w:div w:id="1836023479">
      <w:bodyDiv w:val="1"/>
      <w:marLeft w:val="0"/>
      <w:marRight w:val="0"/>
      <w:marTop w:val="0"/>
      <w:marBottom w:val="0"/>
      <w:divBdr>
        <w:top w:val="none" w:sz="0" w:space="0" w:color="auto"/>
        <w:left w:val="none" w:sz="0" w:space="0" w:color="auto"/>
        <w:bottom w:val="none" w:sz="0" w:space="0" w:color="auto"/>
        <w:right w:val="none" w:sz="0" w:space="0" w:color="auto"/>
      </w:divBdr>
    </w:div>
    <w:div w:id="1851674397">
      <w:bodyDiv w:val="1"/>
      <w:marLeft w:val="0"/>
      <w:marRight w:val="0"/>
      <w:marTop w:val="0"/>
      <w:marBottom w:val="0"/>
      <w:divBdr>
        <w:top w:val="none" w:sz="0" w:space="0" w:color="auto"/>
        <w:left w:val="none" w:sz="0" w:space="0" w:color="auto"/>
        <w:bottom w:val="none" w:sz="0" w:space="0" w:color="auto"/>
        <w:right w:val="none" w:sz="0" w:space="0" w:color="auto"/>
      </w:divBdr>
    </w:div>
    <w:div w:id="1924340328">
      <w:bodyDiv w:val="1"/>
      <w:marLeft w:val="0"/>
      <w:marRight w:val="0"/>
      <w:marTop w:val="0"/>
      <w:marBottom w:val="0"/>
      <w:divBdr>
        <w:top w:val="none" w:sz="0" w:space="0" w:color="auto"/>
        <w:left w:val="none" w:sz="0" w:space="0" w:color="auto"/>
        <w:bottom w:val="none" w:sz="0" w:space="0" w:color="auto"/>
        <w:right w:val="none" w:sz="0" w:space="0" w:color="auto"/>
      </w:divBdr>
      <w:divsChild>
        <w:div w:id="1846702775">
          <w:marLeft w:val="0"/>
          <w:marRight w:val="0"/>
          <w:marTop w:val="0"/>
          <w:marBottom w:val="0"/>
          <w:divBdr>
            <w:top w:val="none" w:sz="0" w:space="0" w:color="auto"/>
            <w:left w:val="none" w:sz="0" w:space="0" w:color="auto"/>
            <w:bottom w:val="none" w:sz="0" w:space="0" w:color="auto"/>
            <w:right w:val="none" w:sz="0" w:space="0" w:color="auto"/>
          </w:divBdr>
        </w:div>
        <w:div w:id="1924676225">
          <w:marLeft w:val="0"/>
          <w:marRight w:val="0"/>
          <w:marTop w:val="0"/>
          <w:marBottom w:val="0"/>
          <w:divBdr>
            <w:top w:val="none" w:sz="0" w:space="0" w:color="auto"/>
            <w:left w:val="none" w:sz="0" w:space="0" w:color="auto"/>
            <w:bottom w:val="none" w:sz="0" w:space="0" w:color="auto"/>
            <w:right w:val="none" w:sz="0" w:space="0" w:color="auto"/>
          </w:divBdr>
        </w:div>
      </w:divsChild>
    </w:div>
    <w:div w:id="1927419320">
      <w:bodyDiv w:val="1"/>
      <w:marLeft w:val="0"/>
      <w:marRight w:val="0"/>
      <w:marTop w:val="0"/>
      <w:marBottom w:val="0"/>
      <w:divBdr>
        <w:top w:val="none" w:sz="0" w:space="0" w:color="auto"/>
        <w:left w:val="none" w:sz="0" w:space="0" w:color="auto"/>
        <w:bottom w:val="none" w:sz="0" w:space="0" w:color="auto"/>
        <w:right w:val="none" w:sz="0" w:space="0" w:color="auto"/>
      </w:divBdr>
    </w:div>
    <w:div w:id="2031836471">
      <w:bodyDiv w:val="1"/>
      <w:marLeft w:val="0"/>
      <w:marRight w:val="0"/>
      <w:marTop w:val="0"/>
      <w:marBottom w:val="0"/>
      <w:divBdr>
        <w:top w:val="none" w:sz="0" w:space="0" w:color="auto"/>
        <w:left w:val="none" w:sz="0" w:space="0" w:color="auto"/>
        <w:bottom w:val="none" w:sz="0" w:space="0" w:color="auto"/>
        <w:right w:val="none" w:sz="0" w:space="0" w:color="auto"/>
      </w:divBdr>
    </w:div>
    <w:div w:id="20353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footer" Target="footer144.xml"/><Relationship Id="rId21" Type="http://schemas.openxmlformats.org/officeDocument/2006/relationships/footer" Target="footer5.xml"/><Relationship Id="rId63" Type="http://schemas.openxmlformats.org/officeDocument/2006/relationships/footer" Target="footer26.xml"/><Relationship Id="rId159" Type="http://schemas.openxmlformats.org/officeDocument/2006/relationships/footer" Target="footer74.xml"/><Relationship Id="rId324" Type="http://schemas.openxmlformats.org/officeDocument/2006/relationships/header" Target="header157.xml"/><Relationship Id="rId366" Type="http://schemas.openxmlformats.org/officeDocument/2006/relationships/header" Target="header177.xml"/><Relationship Id="rId170" Type="http://schemas.openxmlformats.org/officeDocument/2006/relationships/footer" Target="footer79.xml"/><Relationship Id="rId226" Type="http://schemas.openxmlformats.org/officeDocument/2006/relationships/header" Target="header108.xml"/><Relationship Id="rId107" Type="http://schemas.openxmlformats.org/officeDocument/2006/relationships/footer" Target="footer48.xml"/><Relationship Id="rId268" Type="http://schemas.openxmlformats.org/officeDocument/2006/relationships/header" Target="header129.xml"/><Relationship Id="rId289" Type="http://schemas.openxmlformats.org/officeDocument/2006/relationships/header" Target="header140.xml"/><Relationship Id="rId11" Type="http://schemas.openxmlformats.org/officeDocument/2006/relationships/image" Target="media/image1.emf"/><Relationship Id="rId32" Type="http://schemas.openxmlformats.org/officeDocument/2006/relationships/footer" Target="footer10.xml"/><Relationship Id="rId53" Type="http://schemas.openxmlformats.org/officeDocument/2006/relationships/footer" Target="footer21.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footer" Target="footer69.xml"/><Relationship Id="rId314" Type="http://schemas.openxmlformats.org/officeDocument/2006/relationships/footer" Target="footer151.xml"/><Relationship Id="rId335" Type="http://schemas.openxmlformats.org/officeDocument/2006/relationships/footer" Target="footer162.xml"/><Relationship Id="rId356" Type="http://schemas.openxmlformats.org/officeDocument/2006/relationships/header" Target="header172.xml"/><Relationship Id="rId377" Type="http://schemas.openxmlformats.org/officeDocument/2006/relationships/footer" Target="footer182.xml"/><Relationship Id="rId398"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footer" Target="footer42.xml"/><Relationship Id="rId160" Type="http://schemas.openxmlformats.org/officeDocument/2006/relationships/header" Target="header75.xml"/><Relationship Id="rId181" Type="http://schemas.openxmlformats.org/officeDocument/2006/relationships/header" Target="header86.xml"/><Relationship Id="rId216" Type="http://schemas.openxmlformats.org/officeDocument/2006/relationships/header" Target="header103.xml"/><Relationship Id="rId237" Type="http://schemas.openxmlformats.org/officeDocument/2006/relationships/footer" Target="footer113.xml"/><Relationship Id="rId258" Type="http://schemas.openxmlformats.org/officeDocument/2006/relationships/header" Target="header124.xml"/><Relationship Id="rId279" Type="http://schemas.openxmlformats.org/officeDocument/2006/relationships/footer" Target="footer134.xml"/><Relationship Id="rId22" Type="http://schemas.openxmlformats.org/officeDocument/2006/relationships/header" Target="header6.xml"/><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header" Target="header65.xml"/><Relationship Id="rId290" Type="http://schemas.openxmlformats.org/officeDocument/2006/relationships/footer" Target="footer139.xml"/><Relationship Id="rId304" Type="http://schemas.openxmlformats.org/officeDocument/2006/relationships/header" Target="header147.xml"/><Relationship Id="rId325" Type="http://schemas.openxmlformats.org/officeDocument/2006/relationships/header" Target="header158.xml"/><Relationship Id="rId346" Type="http://schemas.openxmlformats.org/officeDocument/2006/relationships/header" Target="header168.xml"/><Relationship Id="rId367" Type="http://schemas.openxmlformats.org/officeDocument/2006/relationships/footer" Target="footer177.xml"/><Relationship Id="rId388" Type="http://schemas.openxmlformats.org/officeDocument/2006/relationships/footer" Target="footer187.xml"/><Relationship Id="rId85" Type="http://schemas.openxmlformats.org/officeDocument/2006/relationships/header" Target="header38.xml"/><Relationship Id="rId150" Type="http://schemas.openxmlformats.org/officeDocument/2006/relationships/header" Target="header70.xml"/><Relationship Id="rId171" Type="http://schemas.openxmlformats.org/officeDocument/2006/relationships/footer" Target="footer80.xml"/><Relationship Id="rId192" Type="http://schemas.openxmlformats.org/officeDocument/2006/relationships/header" Target="header91.xml"/><Relationship Id="rId206" Type="http://schemas.openxmlformats.org/officeDocument/2006/relationships/footer" Target="footer97.xml"/><Relationship Id="rId227" Type="http://schemas.openxmlformats.org/officeDocument/2006/relationships/footer" Target="footer108.xml"/><Relationship Id="rId248" Type="http://schemas.openxmlformats.org/officeDocument/2006/relationships/footer" Target="footer118.xml"/><Relationship Id="rId269" Type="http://schemas.openxmlformats.org/officeDocument/2006/relationships/footer" Target="footer129.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9.xml"/><Relationship Id="rId129" Type="http://schemas.openxmlformats.org/officeDocument/2006/relationships/footer" Target="footer59.xml"/><Relationship Id="rId280" Type="http://schemas.openxmlformats.org/officeDocument/2006/relationships/header" Target="header135.xml"/><Relationship Id="rId315" Type="http://schemas.openxmlformats.org/officeDocument/2006/relationships/footer" Target="footer152.xml"/><Relationship Id="rId336" Type="http://schemas.openxmlformats.org/officeDocument/2006/relationships/header" Target="header163.xml"/><Relationship Id="rId357" Type="http://schemas.openxmlformats.org/officeDocument/2006/relationships/header" Target="header173.xml"/><Relationship Id="rId54" Type="http://schemas.openxmlformats.org/officeDocument/2006/relationships/header" Target="header22.xml"/><Relationship Id="rId75" Type="http://schemas.openxmlformats.org/officeDocument/2006/relationships/footer" Target="footer32.xml"/><Relationship Id="rId96" Type="http://schemas.openxmlformats.org/officeDocument/2006/relationships/header" Target="header43.xml"/><Relationship Id="rId140" Type="http://schemas.openxmlformats.org/officeDocument/2006/relationships/footer" Target="footer64.xml"/><Relationship Id="rId161" Type="http://schemas.openxmlformats.org/officeDocument/2006/relationships/footer" Target="footer75.xml"/><Relationship Id="rId182" Type="http://schemas.openxmlformats.org/officeDocument/2006/relationships/footer" Target="footer85.xml"/><Relationship Id="rId217" Type="http://schemas.openxmlformats.org/officeDocument/2006/relationships/header" Target="header104.xml"/><Relationship Id="rId378" Type="http://schemas.openxmlformats.org/officeDocument/2006/relationships/header" Target="header183.xml"/><Relationship Id="rId399" Type="http://schemas.openxmlformats.org/officeDocument/2006/relationships/theme" Target="theme/theme1.xml"/><Relationship Id="rId6" Type="http://schemas.openxmlformats.org/officeDocument/2006/relationships/styles" Target="styles.xml"/><Relationship Id="rId238" Type="http://schemas.openxmlformats.org/officeDocument/2006/relationships/header" Target="header114.xml"/><Relationship Id="rId259" Type="http://schemas.openxmlformats.org/officeDocument/2006/relationships/header" Target="header125.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header" Target="header130.xml"/><Relationship Id="rId291" Type="http://schemas.openxmlformats.org/officeDocument/2006/relationships/footer" Target="footer140.xml"/><Relationship Id="rId305" Type="http://schemas.openxmlformats.org/officeDocument/2006/relationships/footer" Target="footer147.xml"/><Relationship Id="rId326" Type="http://schemas.openxmlformats.org/officeDocument/2006/relationships/footer" Target="footer157.xml"/><Relationship Id="rId347" Type="http://schemas.openxmlformats.org/officeDocument/2006/relationships/footer" Target="footer168.xml"/><Relationship Id="rId44" Type="http://schemas.openxmlformats.org/officeDocument/2006/relationships/footer" Target="footer16.xml"/><Relationship Id="rId65" Type="http://schemas.openxmlformats.org/officeDocument/2006/relationships/footer" Target="footer27.xml"/><Relationship Id="rId86" Type="http://schemas.openxmlformats.org/officeDocument/2006/relationships/footer" Target="footer37.xml"/><Relationship Id="rId130" Type="http://schemas.openxmlformats.org/officeDocument/2006/relationships/header" Target="header60.xml"/><Relationship Id="rId151" Type="http://schemas.openxmlformats.org/officeDocument/2006/relationships/header" Target="header71.xml"/><Relationship Id="rId368" Type="http://schemas.openxmlformats.org/officeDocument/2006/relationships/header" Target="header178.xml"/><Relationship Id="rId389" Type="http://schemas.openxmlformats.org/officeDocument/2006/relationships/footer" Target="footer188.xml"/><Relationship Id="rId172" Type="http://schemas.openxmlformats.org/officeDocument/2006/relationships/header" Target="header81.xml"/><Relationship Id="rId193" Type="http://schemas.openxmlformats.org/officeDocument/2006/relationships/header" Target="header92.xml"/><Relationship Id="rId207" Type="http://schemas.openxmlformats.org/officeDocument/2006/relationships/footer" Target="footer98.xml"/><Relationship Id="rId228" Type="http://schemas.openxmlformats.org/officeDocument/2006/relationships/header" Target="header109.xml"/><Relationship Id="rId249" Type="http://schemas.openxmlformats.org/officeDocument/2006/relationships/footer" Target="footer119.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124.xml"/><Relationship Id="rId281" Type="http://schemas.openxmlformats.org/officeDocument/2006/relationships/footer" Target="footer135.xml"/><Relationship Id="rId316" Type="http://schemas.openxmlformats.org/officeDocument/2006/relationships/header" Target="header153.xml"/><Relationship Id="rId337" Type="http://schemas.openxmlformats.org/officeDocument/2006/relationships/header" Target="header164.xml"/><Relationship Id="rId34" Type="http://schemas.openxmlformats.org/officeDocument/2006/relationships/header" Target="header12.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20" Type="http://schemas.openxmlformats.org/officeDocument/2006/relationships/header" Target="header55.xml"/><Relationship Id="rId141" Type="http://schemas.openxmlformats.org/officeDocument/2006/relationships/footer" Target="footer65.xml"/><Relationship Id="rId358" Type="http://schemas.openxmlformats.org/officeDocument/2006/relationships/footer" Target="footer172.xml"/><Relationship Id="rId379" Type="http://schemas.openxmlformats.org/officeDocument/2006/relationships/footer" Target="footer183.xml"/><Relationship Id="rId7" Type="http://schemas.openxmlformats.org/officeDocument/2006/relationships/settings" Target="settings.xml"/><Relationship Id="rId162" Type="http://schemas.openxmlformats.org/officeDocument/2006/relationships/header" Target="header76.xml"/><Relationship Id="rId183" Type="http://schemas.openxmlformats.org/officeDocument/2006/relationships/footer" Target="footer86.xml"/><Relationship Id="rId218" Type="http://schemas.openxmlformats.org/officeDocument/2006/relationships/footer" Target="footer103.xml"/><Relationship Id="rId239" Type="http://schemas.openxmlformats.org/officeDocument/2006/relationships/footer" Target="footer114.xml"/><Relationship Id="rId390" Type="http://schemas.openxmlformats.org/officeDocument/2006/relationships/header" Target="header189.xml"/><Relationship Id="rId250" Type="http://schemas.openxmlformats.org/officeDocument/2006/relationships/header" Target="header120.xml"/><Relationship Id="rId271" Type="http://schemas.openxmlformats.org/officeDocument/2006/relationships/header" Target="header131.xml"/><Relationship Id="rId292" Type="http://schemas.openxmlformats.org/officeDocument/2006/relationships/header" Target="header141.xml"/><Relationship Id="rId306" Type="http://schemas.openxmlformats.org/officeDocument/2006/relationships/header" Target="header148.xml"/><Relationship Id="rId24" Type="http://schemas.openxmlformats.org/officeDocument/2006/relationships/header" Target="header7.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31" Type="http://schemas.openxmlformats.org/officeDocument/2006/relationships/footer" Target="footer60.xml"/><Relationship Id="rId327" Type="http://schemas.openxmlformats.org/officeDocument/2006/relationships/footer" Target="footer158.xml"/><Relationship Id="rId348" Type="http://schemas.openxmlformats.org/officeDocument/2006/relationships/hyperlink" Target="http://www.dados.gov.pt/" TargetMode="External"/><Relationship Id="rId369" Type="http://schemas.openxmlformats.org/officeDocument/2006/relationships/header" Target="header179.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208" Type="http://schemas.openxmlformats.org/officeDocument/2006/relationships/header" Target="header99.xml"/><Relationship Id="rId229" Type="http://schemas.openxmlformats.org/officeDocument/2006/relationships/header" Target="header110.xml"/><Relationship Id="rId380" Type="http://schemas.openxmlformats.org/officeDocument/2006/relationships/header" Target="header184.xml"/><Relationship Id="rId240" Type="http://schemas.openxmlformats.org/officeDocument/2006/relationships/header" Target="header115.xml"/><Relationship Id="rId261" Type="http://schemas.openxmlformats.org/officeDocument/2006/relationships/footer" Target="footer125.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282" Type="http://schemas.openxmlformats.org/officeDocument/2006/relationships/header" Target="header136.xml"/><Relationship Id="rId317" Type="http://schemas.openxmlformats.org/officeDocument/2006/relationships/footer" Target="footer153.xml"/><Relationship Id="rId338" Type="http://schemas.openxmlformats.org/officeDocument/2006/relationships/footer" Target="footer163.xml"/><Relationship Id="rId359" Type="http://schemas.openxmlformats.org/officeDocument/2006/relationships/footer" Target="footer173.xml"/><Relationship Id="rId8" Type="http://schemas.openxmlformats.org/officeDocument/2006/relationships/webSettings" Target="webSettings.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219" Type="http://schemas.openxmlformats.org/officeDocument/2006/relationships/footer" Target="footer104.xml"/><Relationship Id="rId370" Type="http://schemas.openxmlformats.org/officeDocument/2006/relationships/footer" Target="footer178.xml"/><Relationship Id="rId391" Type="http://schemas.openxmlformats.org/officeDocument/2006/relationships/footer" Target="footer189.xml"/><Relationship Id="rId230" Type="http://schemas.openxmlformats.org/officeDocument/2006/relationships/footer" Target="footer109.xml"/><Relationship Id="rId251" Type="http://schemas.openxmlformats.org/officeDocument/2006/relationships/footer" Target="footer120.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272" Type="http://schemas.openxmlformats.org/officeDocument/2006/relationships/footer" Target="footer130.xml"/><Relationship Id="rId293" Type="http://schemas.openxmlformats.org/officeDocument/2006/relationships/footer" Target="footer141.xml"/><Relationship Id="rId307" Type="http://schemas.openxmlformats.org/officeDocument/2006/relationships/header" Target="header149.xml"/><Relationship Id="rId328" Type="http://schemas.openxmlformats.org/officeDocument/2006/relationships/header" Target="header159.xml"/><Relationship Id="rId349" Type="http://schemas.openxmlformats.org/officeDocument/2006/relationships/hyperlink" Target="http://www.dados.gov.pt/" TargetMode="Externa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header" Target="header174.xml"/><Relationship Id="rId381" Type="http://schemas.openxmlformats.org/officeDocument/2006/relationships/header" Target="header185.xml"/><Relationship Id="rId220" Type="http://schemas.openxmlformats.org/officeDocument/2006/relationships/header" Target="header105.xml"/><Relationship Id="rId241" Type="http://schemas.openxmlformats.org/officeDocument/2006/relationships/header" Target="header116.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262" Type="http://schemas.openxmlformats.org/officeDocument/2006/relationships/header" Target="header126.xml"/><Relationship Id="rId283" Type="http://schemas.openxmlformats.org/officeDocument/2006/relationships/header" Target="header137.xml"/><Relationship Id="rId318" Type="http://schemas.openxmlformats.org/officeDocument/2006/relationships/header" Target="header154.xml"/><Relationship Id="rId339" Type="http://schemas.openxmlformats.org/officeDocument/2006/relationships/footer" Target="footer164.xml"/><Relationship Id="rId78" Type="http://schemas.openxmlformats.org/officeDocument/2006/relationships/header" Target="header34.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64" Type="http://schemas.openxmlformats.org/officeDocument/2006/relationships/footer" Target="footer76.xml"/><Relationship Id="rId185" Type="http://schemas.openxmlformats.org/officeDocument/2006/relationships/footer" Target="footer87.xml"/><Relationship Id="rId350" Type="http://schemas.openxmlformats.org/officeDocument/2006/relationships/header" Target="header169.xml"/><Relationship Id="rId371" Type="http://schemas.openxmlformats.org/officeDocument/2006/relationships/footer" Target="footer179.xml"/><Relationship Id="rId9" Type="http://schemas.openxmlformats.org/officeDocument/2006/relationships/footnotes" Target="footnotes.xml"/><Relationship Id="rId210" Type="http://schemas.openxmlformats.org/officeDocument/2006/relationships/header" Target="header100.xml"/><Relationship Id="rId392" Type="http://schemas.openxmlformats.org/officeDocument/2006/relationships/header" Target="header190.xml"/><Relationship Id="rId26" Type="http://schemas.openxmlformats.org/officeDocument/2006/relationships/footer" Target="footer7.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header" Target="header142.xml"/><Relationship Id="rId308" Type="http://schemas.openxmlformats.org/officeDocument/2006/relationships/footer" Target="footer148.xml"/><Relationship Id="rId329" Type="http://schemas.openxmlformats.org/officeDocument/2006/relationships/footer" Target="footer159.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340" Type="http://schemas.openxmlformats.org/officeDocument/2006/relationships/header" Target="header165.xml"/><Relationship Id="rId361" Type="http://schemas.openxmlformats.org/officeDocument/2006/relationships/footer" Target="footer174.xml"/><Relationship Id="rId196" Type="http://schemas.openxmlformats.org/officeDocument/2006/relationships/header" Target="header93.xml"/><Relationship Id="rId200" Type="http://schemas.openxmlformats.org/officeDocument/2006/relationships/footer" Target="footer94.xml"/><Relationship Id="rId382" Type="http://schemas.openxmlformats.org/officeDocument/2006/relationships/footer" Target="footer18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284" Type="http://schemas.openxmlformats.org/officeDocument/2006/relationships/footer" Target="footer136.xml"/><Relationship Id="rId319" Type="http://schemas.openxmlformats.org/officeDocument/2006/relationships/header" Target="header155.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330" Type="http://schemas.openxmlformats.org/officeDocument/2006/relationships/header" Target="header160.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351" Type="http://schemas.openxmlformats.org/officeDocument/2006/relationships/header" Target="header170.xml"/><Relationship Id="rId372" Type="http://schemas.openxmlformats.org/officeDocument/2006/relationships/header" Target="header180.xml"/><Relationship Id="rId393" Type="http://schemas.openxmlformats.org/officeDocument/2006/relationships/header" Target="header191.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320" Type="http://schemas.openxmlformats.org/officeDocument/2006/relationships/footer" Target="footer154.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341" Type="http://schemas.openxmlformats.org/officeDocument/2006/relationships/footer" Target="footer165.xml"/><Relationship Id="rId362" Type="http://schemas.openxmlformats.org/officeDocument/2006/relationships/header" Target="header175.xml"/><Relationship Id="rId383" Type="http://schemas.openxmlformats.org/officeDocument/2006/relationships/footer" Target="footer185.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17" Type="http://schemas.openxmlformats.org/officeDocument/2006/relationships/footer" Target="footer3.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310" Type="http://schemas.openxmlformats.org/officeDocument/2006/relationships/header" Target="header150.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331" Type="http://schemas.openxmlformats.org/officeDocument/2006/relationships/header" Target="header161.xml"/><Relationship Id="rId352" Type="http://schemas.openxmlformats.org/officeDocument/2006/relationships/footer" Target="footer169.xml"/><Relationship Id="rId373" Type="http://schemas.openxmlformats.org/officeDocument/2006/relationships/footer" Target="footer180.xml"/><Relationship Id="rId394" Type="http://schemas.openxmlformats.org/officeDocument/2006/relationships/footer" Target="footer190.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321" Type="http://schemas.openxmlformats.org/officeDocument/2006/relationships/footer" Target="footer155.xml"/><Relationship Id="rId342" Type="http://schemas.openxmlformats.org/officeDocument/2006/relationships/header" Target="header166.xml"/><Relationship Id="rId363" Type="http://schemas.openxmlformats.org/officeDocument/2006/relationships/header" Target="header176.xml"/><Relationship Id="rId384" Type="http://schemas.openxmlformats.org/officeDocument/2006/relationships/header" Target="header186.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header" Target="header128.xml"/><Relationship Id="rId286" Type="http://schemas.openxmlformats.org/officeDocument/2006/relationships/header" Target="header138.xml"/><Relationship Id="rId50" Type="http://schemas.openxmlformats.org/officeDocument/2006/relationships/footer" Target="footer19.xml"/><Relationship Id="rId104" Type="http://schemas.openxmlformats.org/officeDocument/2006/relationships/footer" Target="footer46.xml"/><Relationship Id="rId125" Type="http://schemas.openxmlformats.org/officeDocument/2006/relationships/footer" Target="footer57.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311" Type="http://schemas.openxmlformats.org/officeDocument/2006/relationships/footer" Target="footer150.xml"/><Relationship Id="rId332" Type="http://schemas.openxmlformats.org/officeDocument/2006/relationships/footer" Target="footer160.xml"/><Relationship Id="rId353" Type="http://schemas.openxmlformats.org/officeDocument/2006/relationships/footer" Target="footer170.xml"/><Relationship Id="rId374" Type="http://schemas.openxmlformats.org/officeDocument/2006/relationships/header" Target="header181.xml"/><Relationship Id="rId395" Type="http://schemas.openxmlformats.org/officeDocument/2006/relationships/footer" Target="footer191.xml"/><Relationship Id="rId71" Type="http://schemas.openxmlformats.org/officeDocument/2006/relationships/footer" Target="footer30.xml"/><Relationship Id="rId92" Type="http://schemas.openxmlformats.org/officeDocument/2006/relationships/footer" Target="footer40.xml"/><Relationship Id="rId213" Type="http://schemas.openxmlformats.org/officeDocument/2006/relationships/footer" Target="footer101.xml"/><Relationship Id="rId234" Type="http://schemas.openxmlformats.org/officeDocument/2006/relationships/header" Target="header112.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0" Type="http://schemas.openxmlformats.org/officeDocument/2006/relationships/header" Target="header15.xml"/><Relationship Id="rId115" Type="http://schemas.openxmlformats.org/officeDocument/2006/relationships/header" Target="header53.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header" Target="header146.xml"/><Relationship Id="rId322" Type="http://schemas.openxmlformats.org/officeDocument/2006/relationships/header" Target="header156.xml"/><Relationship Id="rId343" Type="http://schemas.openxmlformats.org/officeDocument/2006/relationships/header" Target="header167.xml"/><Relationship Id="rId364" Type="http://schemas.openxmlformats.org/officeDocument/2006/relationships/footer" Target="footer175.xml"/><Relationship Id="rId61" Type="http://schemas.openxmlformats.org/officeDocument/2006/relationships/header" Target="header26.xml"/><Relationship Id="rId82" Type="http://schemas.openxmlformats.org/officeDocument/2006/relationships/header" Target="header36.xml"/><Relationship Id="rId199" Type="http://schemas.openxmlformats.org/officeDocument/2006/relationships/header" Target="header95.xml"/><Relationship Id="rId203" Type="http://schemas.openxmlformats.org/officeDocument/2006/relationships/footer" Target="footer96.xml"/><Relationship Id="rId385" Type="http://schemas.openxmlformats.org/officeDocument/2006/relationships/footer" Target="footer186.xml"/><Relationship Id="rId19" Type="http://schemas.openxmlformats.org/officeDocument/2006/relationships/header" Target="header5.xml"/><Relationship Id="rId224" Type="http://schemas.openxmlformats.org/officeDocument/2006/relationships/footer" Target="footer106.xml"/><Relationship Id="rId245" Type="http://schemas.openxmlformats.org/officeDocument/2006/relationships/footer" Target="footer117.xml"/><Relationship Id="rId266" Type="http://schemas.openxmlformats.org/officeDocument/2006/relationships/footer" Target="footer127.xml"/><Relationship Id="rId287" Type="http://schemas.openxmlformats.org/officeDocument/2006/relationships/footer" Target="footer138.xml"/><Relationship Id="rId30" Type="http://schemas.openxmlformats.org/officeDocument/2006/relationships/header" Target="header10.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312" Type="http://schemas.openxmlformats.org/officeDocument/2006/relationships/header" Target="header151.xml"/><Relationship Id="rId333" Type="http://schemas.openxmlformats.org/officeDocument/2006/relationships/footer" Target="footer161.xml"/><Relationship Id="rId354" Type="http://schemas.openxmlformats.org/officeDocument/2006/relationships/header" Target="header171.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189" Type="http://schemas.openxmlformats.org/officeDocument/2006/relationships/footer" Target="footer89.xml"/><Relationship Id="rId375" Type="http://schemas.openxmlformats.org/officeDocument/2006/relationships/header" Target="header182.xml"/><Relationship Id="rId396" Type="http://schemas.openxmlformats.org/officeDocument/2006/relationships/header" Target="header192.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header" Target="header113.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302" Type="http://schemas.openxmlformats.org/officeDocument/2006/relationships/footer" Target="footer145.xml"/><Relationship Id="rId323" Type="http://schemas.openxmlformats.org/officeDocument/2006/relationships/footer" Target="footer156.xml"/><Relationship Id="rId344" Type="http://schemas.openxmlformats.org/officeDocument/2006/relationships/footer" Target="footer166.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179" Type="http://schemas.openxmlformats.org/officeDocument/2006/relationships/footer" Target="footer84.xml"/><Relationship Id="rId365" Type="http://schemas.openxmlformats.org/officeDocument/2006/relationships/footer" Target="footer176.xml"/><Relationship Id="rId386" Type="http://schemas.openxmlformats.org/officeDocument/2006/relationships/header" Target="header187.xml"/><Relationship Id="rId190" Type="http://schemas.openxmlformats.org/officeDocument/2006/relationships/header" Target="header90.xml"/><Relationship Id="rId204" Type="http://schemas.openxmlformats.org/officeDocument/2006/relationships/header" Target="header97.xml"/><Relationship Id="rId225" Type="http://schemas.openxmlformats.org/officeDocument/2006/relationships/footer" Target="footer107.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106" Type="http://schemas.openxmlformats.org/officeDocument/2006/relationships/header" Target="header48.xml"/><Relationship Id="rId127" Type="http://schemas.openxmlformats.org/officeDocument/2006/relationships/header" Target="header59.xml"/><Relationship Id="rId313" Type="http://schemas.openxmlformats.org/officeDocument/2006/relationships/header" Target="header15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header" Target="header80.xml"/><Relationship Id="rId334" Type="http://schemas.openxmlformats.org/officeDocument/2006/relationships/header" Target="header162.xml"/><Relationship Id="rId355" Type="http://schemas.openxmlformats.org/officeDocument/2006/relationships/footer" Target="footer171.xml"/><Relationship Id="rId376" Type="http://schemas.openxmlformats.org/officeDocument/2006/relationships/footer" Target="footer181.xml"/><Relationship Id="rId397" Type="http://schemas.openxmlformats.org/officeDocument/2006/relationships/footer" Target="footer192.xml"/><Relationship Id="rId4" Type="http://schemas.openxmlformats.org/officeDocument/2006/relationships/customXml" Target="../customXml/item4.xml"/><Relationship Id="rId180" Type="http://schemas.openxmlformats.org/officeDocument/2006/relationships/header" Target="header85.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303" Type="http://schemas.openxmlformats.org/officeDocument/2006/relationships/footer" Target="footer146.xml"/><Relationship Id="rId42" Type="http://schemas.openxmlformats.org/officeDocument/2006/relationships/header" Target="header16.xml"/><Relationship Id="rId84" Type="http://schemas.openxmlformats.org/officeDocument/2006/relationships/header" Target="header37.xml"/><Relationship Id="rId138" Type="http://schemas.openxmlformats.org/officeDocument/2006/relationships/header" Target="header64.xml"/><Relationship Id="rId345" Type="http://schemas.openxmlformats.org/officeDocument/2006/relationships/footer" Target="footer167.xml"/><Relationship Id="rId387" Type="http://schemas.openxmlformats.org/officeDocument/2006/relationships/header" Target="header188.xml"/><Relationship Id="rId191" Type="http://schemas.openxmlformats.org/officeDocument/2006/relationships/footer" Target="footer90.xml"/><Relationship Id="rId205" Type="http://schemas.openxmlformats.org/officeDocument/2006/relationships/header" Target="header98.xml"/><Relationship Id="rId247" Type="http://schemas.openxmlformats.org/officeDocument/2006/relationships/header" Target="header11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default/files/1_en_act_part1_v8_0.pdf" TargetMode="External"/><Relationship Id="rId2" Type="http://schemas.openxmlformats.org/officeDocument/2006/relationships/hyperlink" Target="https://ec.europa.eu/social/main.jsp?catId=738&amp;langId=en&amp;pubId=8376&amp;furtherPubs=yes" TargetMode="External"/><Relationship Id="rId1" Type="http://schemas.openxmlformats.org/officeDocument/2006/relationships/hyperlink" Target="https://www.un.org/development/desa/disabilities/convention-on-the-rights-of-persons-with-disabilities.html" TargetMode="External"/><Relationship Id="rId6" Type="http://schemas.openxmlformats.org/officeDocument/2006/relationships/hyperlink" Target="https://dre.pt/application/conteudo/114152782" TargetMode="External"/><Relationship Id="rId5" Type="http://schemas.openxmlformats.org/officeDocument/2006/relationships/hyperlink" Target="https://ec.europa.eu/social/main.jsp?catId=738&amp;langId=en&amp;pubId=8376&amp;furtherPubs=yes" TargetMode="External"/><Relationship Id="rId4" Type="http://schemas.openxmlformats.org/officeDocument/2006/relationships/hyperlink" Target="https://www.un.org/development/desa/disabilities/convention-on-the-rights-of-persons-with-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4" ma:contentTypeDescription="Create a new document." ma:contentTypeScope="" ma:versionID="d5c93e900a119563f43978a987300fc7">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85f4798ebd1fb622dfcd08e6552ffd30"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90e2cb7-5117-486c-a80c-66d1b02d57f7}"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2E18-3AF3-486E-B96C-EC2FE3E7B271}">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e6c3bc29-9e11-4027-900b-c73633d7928a"/>
    <ds:schemaRef ds:uri="1700ab43-7395-48ff-866c-657c86ba7f4e"/>
  </ds:schemaRefs>
</ds:datastoreItem>
</file>

<file path=customXml/itemProps2.xml><?xml version="1.0" encoding="utf-8"?>
<ds:datastoreItem xmlns:ds="http://schemas.openxmlformats.org/officeDocument/2006/customXml" ds:itemID="{617F86BA-8C30-4316-ABCD-3480C5FB9AD1}">
  <ds:schemaRefs>
    <ds:schemaRef ds:uri="http://schemas.microsoft.com/sharepoint/v3/contenttype/forms"/>
  </ds:schemaRefs>
</ds:datastoreItem>
</file>

<file path=customXml/itemProps3.xml><?xml version="1.0" encoding="utf-8"?>
<ds:datastoreItem xmlns:ds="http://schemas.openxmlformats.org/officeDocument/2006/customXml" ds:itemID="{3704B2E4-4F53-4AE7-B83B-C398AE08B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10A31-8CDB-47B4-930D-64C5F6F7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95055</Words>
  <Characters>541818</Characters>
  <Application>Microsoft Office Word</Application>
  <DocSecurity>0</DocSecurity>
  <Lines>4515</Lines>
  <Paragraphs>1271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635602</CharactersWithSpaces>
  <SharedDoc>false</SharedDoc>
  <HLinks>
    <vt:vector size="48" baseType="variant">
      <vt:variant>
        <vt:i4>1441861</vt:i4>
      </vt:variant>
      <vt:variant>
        <vt:i4>3</vt:i4>
      </vt:variant>
      <vt:variant>
        <vt:i4>0</vt:i4>
      </vt:variant>
      <vt:variant>
        <vt:i4>5</vt:i4>
      </vt:variant>
      <vt:variant>
        <vt:lpwstr>http://www.dados.gov.pt/</vt:lpwstr>
      </vt:variant>
      <vt:variant>
        <vt:lpwstr/>
      </vt:variant>
      <vt:variant>
        <vt:i4>1441861</vt:i4>
      </vt:variant>
      <vt:variant>
        <vt:i4>0</vt:i4>
      </vt:variant>
      <vt:variant>
        <vt:i4>0</vt:i4>
      </vt:variant>
      <vt:variant>
        <vt:i4>5</vt:i4>
      </vt:variant>
      <vt:variant>
        <vt:lpwstr>http://www.dados.gov.pt/</vt:lpwstr>
      </vt:variant>
      <vt:variant>
        <vt:lpwstr/>
      </vt:variant>
      <vt:variant>
        <vt:i4>917587</vt:i4>
      </vt:variant>
      <vt:variant>
        <vt:i4>15</vt:i4>
      </vt:variant>
      <vt:variant>
        <vt:i4>0</vt:i4>
      </vt:variant>
      <vt:variant>
        <vt:i4>5</vt:i4>
      </vt:variant>
      <vt:variant>
        <vt:lpwstr>https://dre.pt/application/conteudo/114152782</vt:lpwstr>
      </vt:variant>
      <vt:variant>
        <vt:lpwstr/>
      </vt:variant>
      <vt:variant>
        <vt:i4>3145826</vt:i4>
      </vt:variant>
      <vt:variant>
        <vt:i4>12</vt:i4>
      </vt:variant>
      <vt:variant>
        <vt:i4>0</vt:i4>
      </vt:variant>
      <vt:variant>
        <vt:i4>5</vt:i4>
      </vt:variant>
      <vt:variant>
        <vt:lpwstr>https://ec.europa.eu/social/main.jsp?catId=738&amp;langId=en&amp;pubId=8376&amp;furtherPubs=yes</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6094896</vt:i4>
      </vt:variant>
      <vt:variant>
        <vt:i4>6</vt:i4>
      </vt:variant>
      <vt:variant>
        <vt:i4>0</vt:i4>
      </vt:variant>
      <vt:variant>
        <vt:i4>5</vt:i4>
      </vt:variant>
      <vt:variant>
        <vt:lpwstr>https://ec.europa.eu/info/sites/default/files/1_en_act_part1_v8_0.pdf</vt:lpwstr>
      </vt:variant>
      <vt:variant>
        <vt:lpwstr/>
      </vt:variant>
      <vt:variant>
        <vt:i4>3145826</vt:i4>
      </vt:variant>
      <vt:variant>
        <vt:i4>3</vt:i4>
      </vt:variant>
      <vt:variant>
        <vt:i4>0</vt:i4>
      </vt:variant>
      <vt:variant>
        <vt:i4>5</vt:i4>
      </vt:variant>
      <vt:variant>
        <vt:lpwstr>https://ec.europa.eu/social/main.jsp?catId=738&amp;langId=en&amp;pubId=8376&amp;furtherPubs=yes</vt:lpwstr>
      </vt:variant>
      <vt:variant>
        <vt:lpwstr/>
      </vt:variant>
      <vt:variant>
        <vt:i4>3604583</vt:i4>
      </vt:variant>
      <vt:variant>
        <vt:i4>0</vt:i4>
      </vt:variant>
      <vt:variant>
        <vt:i4>0</vt:i4>
      </vt:variant>
      <vt:variant>
        <vt:i4>5</vt:i4>
      </vt:variant>
      <vt:variant>
        <vt:lpwstr>https://www.un.org/development/desa/disabilities/convention-on-the-rights-of-persons-with-disabilities.html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2023-08-31T11:47:00Z</cp:lastPrinted>
  <dcterms:created xsi:type="dcterms:W3CDTF">2023-09-21T10:28:00Z</dcterms:created>
  <dcterms:modified xsi:type="dcterms:W3CDTF">2023-09-28T13:12:00Z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0x01010062094E9F29D6C04F85860C631ABC812A</vt:lpwstr>
  </property>
  <property fmtid="{D5CDD505-2E9C-101B-9397-08002B2CF9AE}" pid="4" name="MSIP_Label_6bd9ddd1-4d20-43f6-abfa-fc3c07406f94_Enabled">
    <vt:lpwstr>true</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ContentBits">
    <vt:lpwstr>0</vt:lpwstr>
  </property>
  <property fmtid="{D5CDD505-2E9C-101B-9397-08002B2CF9AE}" pid="9" name="MSIP_Label_6bd9ddd1-4d20-43f6-abfa-fc3c07406f94_SetDate">
    <vt:lpwstr>2023-08-31T13:23:57Z</vt:lpwstr>
  </property>
  <property fmtid="{D5CDD505-2E9C-101B-9397-08002B2CF9AE}" pid="10" name="MSIP_Label_6bd9ddd1-4d20-43f6-abfa-fc3c07406f94_ActionId">
    <vt:lpwstr>f5076d1a-b32f-4968-9989-8cc7bc3a3494</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y fmtid="{D5CDD505-2E9C-101B-9397-08002B2CF9AE}" pid="18" name="CPTemplateID">
    <vt:lpwstr>CP-036</vt:lpwstr>
  </property>
  <property fmtid="{D5CDD505-2E9C-101B-9397-08002B2CF9AE}" pid="19" name="Last edited using">
    <vt:lpwstr>LW 9.0, Build 20230317</vt:lpwstr>
  </property>
  <property fmtid="{D5CDD505-2E9C-101B-9397-08002B2CF9AE}" pid="20" name="Created using">
    <vt:lpwstr>LW 9.0, Build 20230317</vt:lpwstr>
  </property>
</Properties>
</file>